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CENTURIUUM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Feature Specification</w:t>
      </w:r>
    </w:p>
    <w:tbl>
      <w:tblPr>
        <w:tblW w:type="dxa" w:w="97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08"/>
      </w:tblGrid>
      <w:tr>
        <w:tc>
          <w:tcPr>
            <w:tcW w:type="dxa" w:w="3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Feature ID</w:t>
            </w:r>
          </w:p>
        </w:tc>
        <w:tc>
          <w:tcPr>
            <w:tcW w:type="dxa" w:w="67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QE - 0013</w:t>
            </w:r>
          </w:p>
        </w:tc>
      </w:tr>
      <w:tr>
        <w:tc>
          <w:tcPr>
            <w:tcW w:type="dxa" w:w="3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67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Workbook Export</w:t>
            </w:r>
          </w:p>
        </w:tc>
      </w:tr>
      <w:tr>
        <w:tc>
          <w:tcPr>
            <w:tcW w:type="dxa" w:w="3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Module</w:t>
            </w:r>
          </w:p>
        </w:tc>
        <w:tc>
          <w:tcPr>
            <w:tcW w:type="dxa" w:w="67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QE - Quality of Earnings</w:t>
            </w:r>
          </w:p>
        </w:tc>
      </w:tr>
      <w:tr>
        <w:tc>
          <w:tcPr>
            <w:tcW w:type="dxa" w:w="3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7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Draft</w:t>
            </w:r>
          </w:p>
        </w:tc>
      </w:tr>
      <w:tr>
        <w:tc>
          <w:tcPr>
            <w:tcW w:type="dxa" w:w="3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Related / Recycled IDs</w:t>
            </w:r>
          </w:p>
        </w:tc>
        <w:tc>
          <w:tcPr>
            <w:tcW w:type="dxa" w:w="67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3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Author</w:t>
            </w:r>
          </w:p>
        </w:tc>
        <w:tc>
          <w:tcPr>
            <w:tcW w:type="dxa" w:w="67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Josh Tonnesen</w:t>
            </w:r>
          </w:p>
        </w:tc>
      </w:tr>
      <w:tr>
        <w:tc>
          <w:tcPr>
            <w:tcW w:type="dxa" w:w="3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7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August 15, 2026</w:t>
            </w:r>
          </w:p>
        </w:tc>
      </w:tr>
    </w:tbl>
    <w:p>
      <w:pPr>
        <w:shd w:fill="1F3864" w:val="clear"/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1. Purpose &amp; Business Context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The Quality of Earnings module produces a set of connected but individually-authored pages (financial statements, EBITDA/SDE workpapers, narrative summaries, adjustments, etc.), each rendered inside Centuriuum. Brokers, accountants, and buyers ultimately need to take this analysis outside the platform — to send to a lender, a buyer's diligence team, or a tax preparer — in a working Excel format they can review, recompute, and drill into, not a static printout.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This feature defines the export engine and workbook architecture that assembles a user-selected subset of QoE content into a single, structured .xlsx file: a title page, an Account Summary tab with collapsible account/vendor rollups and collapsible month columns, the P&amp;L and Balance Sheet in standard chart-of-accounts hierarchy order, and any other QoE narrative or workpaper pages the user chooses to include. Where practical, tabs are linked by live formula rather than pasted values, so a reviewer can trace a number (e.g., a tax return line) back to its source (e.g., Total Revenue on the P&amp;L) inside the workbook itself.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This spec covers the export architecture, the workbook's structural tabs (title page, Account Summary, P&amp;L, Balance Sheet), and the generic mechanism (the “Exportable Page Registry”) that every other QoE page plugs into. It does not re-define the content of any individual QoE page — refer to that page's own feature spec (e.g., QE - 0001, QE - 0004, QE - 0007) for what appears on it.</w:t>
      </w:r>
    </w:p>
    <w:p>
      <w:pPr>
        <w:shd w:fill="1F3864" w:val="clear"/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2. User Stories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 broker, I want to export the QoE analysis to a single Excel workbook with only the pages relevant to my buyer, so that I don't have to manually rebuild the report outside the platform.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an accountant/QoE preparer, I want the P&amp;L and account detail to be grouped and collapsible by account/vendor and by month, so that a reviewer can drill into supporting detail without me building a separate pivot workbook.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 buyer or lender, I want key figures (e.g., a tax return reconciliation) to be linked by formula back to their source tab, so that I can verify where a number came from without leaving Excel.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 company user, I want the exported workbook to look clean and functional — not a merged-cell BI printout — so that my own team can actually work in it.</w:t>
      </w:r>
    </w:p>
    <w:p>
      <w:pPr>
        <w:shd w:fill="1F3864" w:val="clear"/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3. 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present an “Export QoE Report” action, accessible from the QoE module, that opens a page/menu listing every QoE page currently registered in the Exportable Page Registry for the active deal.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render each registry entry as a checkbox item, reflecting a standard default selection defined by that page's own spec (or included-by-default if unspecified), and shall reset to this standard default set every time the export menu is opened — selections are not remembered per user or company.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always include a Title Page tab and, when included, an Account Summary tab, a P&amp;L tab, and a Balance Sheet tab, using the fixed and company-configured Chart of Accounts hierarchy (DB - 0003, DB - 0006) to order rows from top-level rollup down to lowest account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build the Account Summary tab from GL data already summarized by account and by month (and, where available, by vendor/customer within an account) — not from raw, transaction-level GL detail.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implement account/vendor row drill-down and month column drill-down using native Excel row and column grouping/outline (expand/collapse controls), with plain, unmerged cells beneath each grouping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permit cell merging only on title/header cells (e.g., a workbook title banner or tab section header) and shall not merge cells within any data grid.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link values across tabs using native Excel formulas (e.g., cell references or SUM formulas) wherever the referenced figure has a direct, unambiguous source cell, in preference to pasting a static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Where a cross-tab formula's source account/row does not exist for the company in question (e.g., no separate COGS breakout), the system shall render the destination cell as $0 or blank without displaying an error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assemble each selected QoE narrative or workpaper page (per its own spec's export layout) as its own tab, in a fixed tab order defined by the Exportable Page Registry.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render inline Q&amp;A citation tags (e.g., [QA-014]) that appear in exported narrative text as plain, non-interactive text labels, since a static Excel file cannot click through to the in-app Q&amp;A record.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generate the workbook asynchronously for exports above a to-be-determined page/size threshold, and shall notify the user when the file is ready for download (pending the Notifications Hub).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log every export event — user, deal, pages included, and timestamp — to the Activity &amp; Audit Log (SY - 0003).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NOT persist a rendered copy of the exported workbook as the system of record; the workbook is generated fresh from live underlying data at export time and is not treated as a versioned document unless the user separately uploads it back into the Data Room.</w:t>
      </w:r>
    </w:p>
    <w:p>
      <w:pPr>
        <w:shd w:fill="1F3864" w:val="clear"/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4. Data Requirements</w:t>
      </w:r>
    </w:p>
    <w:tbl>
      <w:tblPr>
        <w:tblW w:type="dxa" w:w="97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908"/>
      </w:tblGrid>
      <w:tr>
        <w:tc>
          <w:tcPr>
            <w:tcW w:type="dxa" w:w="3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Element</w:t>
            </w:r>
          </w:p>
        </w:tc>
        <w:tc>
          <w:tcPr>
            <w:tcW w:type="dxa" w:w="1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Read/Write</w:t>
            </w:r>
          </w:p>
        </w:tc>
        <w:tc>
          <w:tcPr>
            <w:tcW w:type="dxa" w:w="4908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Source / Destination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Chart of Accounts hierarchy (levels 1-15)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Read</w:t>
            </w:r>
          </w:p>
        </w:tc>
        <w:tc>
          <w:tcPr>
            <w:tcW w:type="dxa" w:w="49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DB - 0003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Firm/role-scoped hierarchy edits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Read</w:t>
            </w:r>
          </w:p>
        </w:tc>
        <w:tc>
          <w:tcPr>
            <w:tcW w:type="dxa" w:w="49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DB - 0006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GL account balances by month, by vendor/customer subledger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Read</w:t>
            </w:r>
          </w:p>
        </w:tc>
        <w:tc>
          <w:tcPr>
            <w:tcW w:type="dxa" w:w="49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DB - 0007 / DB - 0009 ingested GL data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Trial Balance / validation status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Read</w:t>
            </w:r>
          </w:p>
        </w:tc>
        <w:tc>
          <w:tcPr>
            <w:tcW w:type="dxa" w:w="49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DB - 0005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P&amp;L and Balance Sheet computed structures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Read</w:t>
            </w:r>
          </w:p>
        </w:tc>
        <w:tc>
          <w:tcPr>
            <w:tcW w:type="dxa" w:w="49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RP - 0001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Adjusted EBITDA/SDE workpaper values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Read</w:t>
            </w:r>
          </w:p>
        </w:tc>
        <w:tc>
          <w:tcPr>
            <w:tcW w:type="dxa" w:w="49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QE - 0004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QoE narrative page content (per page, per registered page type)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Read</w:t>
            </w:r>
          </w:p>
        </w:tc>
        <w:tc>
          <w:tcPr>
            <w:tcW w:type="dxa" w:w="49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Individual QE page specs, e.g. QE - 0001, QE - 0003, QE - 0004, QE - 0006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Q&amp;A citation tags embedded in narrative text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Read</w:t>
            </w:r>
          </w:p>
        </w:tc>
        <w:tc>
          <w:tcPr>
            <w:tcW w:type="dxa" w:w="49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QA - 0002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Exportable Page Registry entries (page type, tab order, default checkbox state)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Read</w:t>
            </w:r>
          </w:p>
        </w:tc>
        <w:tc>
          <w:tcPr>
            <w:tcW w:type="dxa" w:w="49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QE - 0013 (this feature) - registry defined here, populated by each page's own spec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Export event record (who exported, which pages, when)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Write</w:t>
            </w:r>
          </w:p>
        </w:tc>
        <w:tc>
          <w:tcPr>
            <w:tcW w:type="dxa" w:w="49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SY - 0003 Activity &amp; Audit Log</w:t>
            </w:r>
          </w:p>
        </w:tc>
      </w:tr>
    </w:tbl>
    <w:p>
      <w:pPr>
        <w:shd w:fill="1F3864" w:val="clear"/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5. Access &amp;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Roles with access: Broker, Accountant/QoE preparer, Company (for their own deal), Buyer (where deal stage and access grant permit).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Roles explicitly excluded: Bank, until the deal reaches a stage where export access is explicitly granted under SE - 0002.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Export availability for any given page respects that page's own module/tab-level access grant (SE - 0002) — a user cannot export a page they cannot view in-app.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Deal isolation confirmed: this feature is scoped to a single company/deal only. No cross-deal or cross-company visibility of data, documents, or search results.</w:t>
      </w:r>
    </w:p>
    <w:p>
      <w:pPr>
        <w:shd w:fill="1F3864" w:val="clear"/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6. UI / UX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Platform: Web only. Workbook generation and the export selection menu are not part of the Mobile (light) experience.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Wireframe reference: N/A — Josh to provide reference from existing QoE workbook example.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The export menu presents the Exportable Page Registry entries as a simple checklist (grouped by module — Reports, QoE, Valuation — as the registry grows), each with its standard default checkbox state pre-applied. An “Export” button generates the workbook; for larger exports, the user sees a progress or “we'll notify you” state rather than a blocking spinner.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Within the workbook, the Account Summary, P&amp;L, and Balance Sheet tabs use Excel's native outline symbols (+/−) at the left row margin and above grouped month columns. Formatting favors a clean, working-file look: consistent column widths, no merged data cells, standard number formatting, and light use of bold/shading only for rollup and header rows — explicitly avoiding a heavily merged, presentation-style layout.</w:t>
      </w:r>
    </w:p>
    <w:p>
      <w:pPr>
        <w:shd w:fill="1F3864" w:val="clear"/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7. Dependencies</w:t>
      </w:r>
    </w:p>
    <w:tbl>
      <w:tblPr>
        <w:tblW w:type="dxa" w:w="97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308"/>
      </w:tblGrid>
      <w:tr>
        <w:tc>
          <w:tcPr>
            <w:tcW w:type="dxa" w:w="2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Related Feature</w:t>
            </w:r>
          </w:p>
        </w:tc>
        <w:tc>
          <w:tcPr>
            <w:tcW w:type="dxa" w:w="2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Relationship</w:t>
            </w:r>
          </w:p>
        </w:tc>
        <w:tc>
          <w:tcPr>
            <w:tcW w:type="dxa" w:w="5308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DB - 0003 / DB - 0006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Depends on</w:t>
            </w:r>
          </w:p>
        </w:tc>
        <w:tc>
          <w:tcPr>
            <w:tcW w:type="dxa" w:w="53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Chart of Accounts hierarchy drives the account-level rollup structure used for row grouping in the P&amp;L and Balance Sheet tabs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DB - 0005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Depends on</w:t>
            </w:r>
          </w:p>
        </w:tc>
        <w:tc>
          <w:tcPr>
            <w:tcW w:type="dxa" w:w="53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Validation/severity status informs whether an export should carry a data-quality warning on the title page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DB - 0007 / DB - 0009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Depends on</w:t>
            </w:r>
          </w:p>
        </w:tc>
        <w:tc>
          <w:tcPr>
            <w:tcW w:type="dxa" w:w="53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Underlying GL ingestion and monthly summarization by account/vendor is the data source for the Account Summary tab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RP - 0001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Depends on</w:t>
            </w:r>
          </w:p>
        </w:tc>
        <w:tc>
          <w:tcPr>
            <w:tcW w:type="dxa" w:w="53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Reports module supplies the computed P&amp;L and Balance Sheet structures this feature exports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QE - 0004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Depends on</w:t>
            </w:r>
          </w:p>
        </w:tc>
        <w:tc>
          <w:tcPr>
            <w:tcW w:type="dxa" w:w="53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Adjusted EBITDA/SDE values referenced by the Tax Return and Executive Summary tabs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QE - 0001, QE - 0003, QE - 0004, QE - 0006, QE - 0007 (and future QE page specs)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Depends on</w:t>
            </w:r>
          </w:p>
        </w:tc>
        <w:tc>
          <w:tcPr>
            <w:tcW w:type="dxa" w:w="53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Each QoE narrative/workpaper page registers itself with the Exportable Page Registry defined here; content and layout of each page is owned by its own spec, not this one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QA - 0002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Depends on</w:t>
            </w:r>
          </w:p>
        </w:tc>
        <w:tc>
          <w:tcPr>
            <w:tcW w:type="dxa" w:w="53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Q&amp;A citation tags carried into narrative text must render sensibly in a static Excel export (no click-through, since Excel can't reach the in-app Q&amp;A record)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SY - 0003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Depends on</w:t>
            </w:r>
          </w:p>
        </w:tc>
        <w:tc>
          <w:tcPr>
            <w:tcW w:type="dxa" w:w="53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Every export run is logged to the Activity &amp; Audit Log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Notifications Hub (cross-cutting gap)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Depends on</w:t>
            </w:r>
          </w:p>
        </w:tc>
        <w:tc>
          <w:tcPr>
            <w:tcW w:type="dxa" w:w="53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Large exports may run asynchronously; user needs to be notified when the file is ready. No feature ID yet.</w:t>
            </w:r>
          </w:p>
        </w:tc>
      </w:tr>
    </w:tbl>
    <w:p>
      <w:pPr>
        <w:shd w:fill="1F3864" w:val="clear"/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8. Out of Scope / Deferred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content, layout, and calculation logic of any individual QoE narrative or workpaper page (e.g., Executive Summary, EBITDA/SDE workpaper, Risks &amp; Opportunities) — owned by that page's own feature spec; this feature only defines how a registered page is assembled into the workbook.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Raw, transaction-level General Ledger detail export — explicitly excluded per Josh's direction; only account/month (and vendor, where available) summary-level data is exported.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PowerPoint/CIM export of QoE financial content — owned by CM - 0001 / QE - 0014.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Any live/refreshing connection between the exported workbook and platform data after export — the workbook is a static, point-in-time file per the platform's data retrieval conventions.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Design of the Exportable Page Registry's underlying storage/versioning mechanism beyond the conceptual model described here — left to engineering design, provided each QoE page can register a tab name, default inclusion state, and export layout.</w:t>
      </w:r>
    </w:p>
    <w:p>
      <w:pPr>
        <w:shd w:fill="1F3864" w:val="clear"/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9.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page/size threshold triggers asynchronous generation instead of an immediate download, and what does the in-progress state look like without a finished Notifications Hub?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Should the Account Summary tab default to a fixed lookback (e.g., trailing 12 months) or the full engagement/deal period, and is that configurable per export?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 pages whose content spec hasn't been finalized yet, what should the export menu show — omit the checkbox entirely until that spec is drafted, or show it as “coming soon” and disabled?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Does a data-quality flag from DB - 0005 (Minor/Material validation issues) need to surface as a visible warning on the workbook's title page, and if so, what triggers it?</w:t>
      </w:r>
    </w:p>
    <w:p>
      <w:pPr>
        <w:shd w:fill="1F3864" w:val="clear"/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10.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user with export access can open the Export QoE Report menu and see a checklist of all currently registered QoE pages for the active deal, with the standard default selections pre-applied.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Generating an export with the Account Summary, P&amp;L, and Balance Sheet tabs selected produces a workbook where account/vendor rows and month columns are grouped using native Excel outline controls, with no merged cells within the data grids.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At least one cross-tab formula (e.g., a Tax Return tab referencing Total Revenue on the P&amp;L tab) resolves correctly via live Excel formula, and resolves to $0/blank without an error when the source account doesn't exist for that company.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Every export event is recorded in the Activity &amp; Audit Log with user, deal, pages included, and timestamp.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Re-opening the export menu after a prior export shows the standard default checkbox selections, not the user's last selection.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user without export access to a given page (per SE - 0002) does not see that page as an exportable option.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Centuriuum — QE - 0013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F0214BC29ADA4AA8CFF80B67D2DD03" ma:contentTypeVersion="3" ma:contentTypeDescription="Create a new document." ma:contentTypeScope="" ma:versionID="a5913b1f355fdbd3b430fc4b3e74578d">
  <xsd:schema xmlns:xsd="http://www.w3.org/2001/XMLSchema" xmlns:xs="http://www.w3.org/2001/XMLSchema" xmlns:p="http://schemas.microsoft.com/office/2006/metadata/properties" xmlns:ns2="cfc27655-a87d-44f0-8c14-97832468632f" targetNamespace="http://schemas.microsoft.com/office/2006/metadata/properties" ma:root="true" ma:fieldsID="30183fae3b956c9523af1ba6e10ee2d3" ns2:_="">
    <xsd:import namespace="cfc27655-a87d-44f0-8c14-978324686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c27655-a87d-44f0-8c14-9783246863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ADF0BBF-A87E-4E19-A888-784F0A7848EF}"/>
</file>

<file path=customXml/itemProps2.xml><?xml version="1.0" encoding="utf-8"?>
<ds:datastoreItem xmlns:ds="http://schemas.openxmlformats.org/officeDocument/2006/customXml" ds:itemID="{E3E6CDBE-BFD6-4BF8-B1D2-5B30B0E6065A}"/>
</file>

<file path=customXml/itemProps3.xml><?xml version="1.0" encoding="utf-8"?>
<ds:datastoreItem xmlns:ds="http://schemas.openxmlformats.org/officeDocument/2006/customXml" ds:itemID="{83E47765-AFC2-47BC-8A78-BAF183D5C635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2026-08-15T05:08:25Z</dcterms:created>
  <dcterms:modified xsi:type="dcterms:W3CDTF">2026-08-15T05:08:25Z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0x01010091F0214BC29ADA4AA8CFF80B67D2DD03</vt:lpwstr>
  </property>
</Properties>
</file>