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F3864"/>
          <w:sz w:val="32"/>
          <w:szCs w:val="32"/>
        </w:rPr>
        <w:t xml:space="preserve">CENTURIUUM</w:t>
      </w:r>
    </w:p>
    <w:p>
      <w:pPr>
        <w:spacing w:after="240"/>
      </w:pPr>
      <w:r>
        <w:rPr>
          <w:b/>
          <w:bCs/>
          <w:color w:val="404040"/>
          <w:sz w:val="24"/>
          <w:szCs w:val="24"/>
        </w:rPr>
        <w:t xml:space="preserve">Feature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Feature ID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DB - 0002</w:t>
            </w:r>
          </w:p>
        </w:tc>
      </w:tr>
      <w:tr>
        <w:tc>
          <w:tcPr>
            <w:tcW w:type="dxa" w:w="2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Feature Name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GL Data</w:t>
            </w:r>
          </w:p>
        </w:tc>
      </w:tr>
      <w:tr>
        <w:tc>
          <w:tcPr>
            <w:tcW w:type="dxa" w:w="2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Module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DB - Database</w:t>
            </w:r>
          </w:p>
        </w:tc>
      </w:tr>
      <w:tr>
        <w:tc>
          <w:tcPr>
            <w:tcW w:type="dxa" w:w="2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Status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Draft</w:t>
            </w:r>
          </w:p>
        </w:tc>
      </w:tr>
      <w:tr>
        <w:tc>
          <w:tcPr>
            <w:tcW w:type="dxa" w:w="2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Related / Recycled IDs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N/A</w:t>
            </w:r>
          </w:p>
        </w:tc>
      </w:tr>
      <w:tr>
        <w:tc>
          <w:tcPr>
            <w:tcW w:type="dxa" w:w="2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Author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Josh Tonnesen</w:t>
            </w:r>
          </w:p>
        </w:tc>
      </w:tr>
      <w:tr>
        <w:tc>
          <w:tcPr>
            <w:tcW w:type="dxa" w:w="2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August 14, 2026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1. Purpose &amp; Business Context</w:t>
      </w:r>
    </w:p>
    <w:p>
      <w:pPr>
        <w:spacing w:after="120"/>
      </w:pPr>
      <w:r>
        <w:rPr>
          <w:sz w:val="22"/>
          <w:szCs w:val="22"/>
        </w:rPr>
        <w:t xml:space="preserve">The General Ledger (GL) table is the foundational data structure for every Centuriuum deal. Once a company's GL report has been uploaded or retrieved into the data room (via DR-0003), the user links the specific GL file(s) to use within Key Reports, which triggers ingestion of transaction-level detail into the standardized GL table defined here. This table is the single source that the Chart of Accounts (DB-0003), Trial Balance (DB-0004), Profit &amp; Loss report (RP-0001), Tax Reconciliation (QE-0001), and the SDE/EBITDA bridge (QE-0004) are all built from — meaning any gap, error, or inconsistency introduced at ingestion propagates through the entire platform. Validations defined in DB-0005 run against this data to catch reconciliation issues and oddities before downstream modules rely on it.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2. User Stories</w:t>
      </w: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One story per user type that touches this feature. Format: "As a [role], I want to [action], so that [benefit]."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 a broker or company user, I want to select a previously uploaded or retrieved GL report from Key Reports and link it for ingestion, so that transaction-level data flows into the standard tables the rest of the platform depends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 a QoE reviewer, I want ingested GL data automatically validated against the DB-0005 ruleset, so that reconciliation issues and oddities are surfaced before I build the P&amp;L, tax reconciliation, or SDE/EBITDA bridge on top of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 a platform administrator, I want every ingestion event tied to a source file and logged to the audit trail, so that any anomaly in downstream reporting can be traced back to the exact file and user that introduced it.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3. Functional Requirements</w:t>
      </w: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Numbered, testable statements the dev team can build against directly. Avoid prose — each line should be independently verifiable.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allow a user, from Key Reports, to select one or more GL report files already uploaded to or retrieved into the data room (via DR-0001 / DR-0003) and link them for ingestion.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not allow a new GL retrieval to be triggered from the linking step itself — retrieval/upload must occur first via DR-0003 or direct data room upload.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Upon linking, the system shall parse the source GL file and create GL table rows using the standard field set defined in Section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support ingestion from QBO-sourced exports (via DR-0003), QB Desktop-derived GL reports, and generic CSV/Excel GL exports at launch.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Each ingested GL row shall retain a reference to its source file ID and the ingestion batch/timestamp that created it, so origin is traceable.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When a user links an additional or corrected GL file covering a period already ingested, the system shall append new rows rather than overwrite or delete previously ingested rows.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Immediately following ingestion, the system shall run the cross-validation ruleset defined in DB-0005 against the newly ingested rows and surface any reconciliation errors or anomalies to the user.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Ingestion shall not be blocked by validation failures — data lands in the GL table and exceptions are surfaced separately for user review and correction (per DB-0005).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GL table shall store, at minimum: transaction date, account, entry/transaction number, transaction type, debit amount, credit amount, description/memo, customer, and a reference to the source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generate the Chart of Accounts (DB-0003) from the distinct set of accounts present in ingested GL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make ingested GL data available to downstream modules including the Trial Balance (DB-0004), Profit &amp; Loss report (RP-0001), Tax Reconciliation (QE-0001), and SDE/EBITDA Tab (QE-0004).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log every ingestion event — file(s) linked, user, timestamp, and row count — to the Activity &amp; Audit Log (SY-0003).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4. Data Requirements</w:t>
      </w: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What tables/fields does this feature read from or write to? Reference the relevant Database module table blocks (DB-0001 through DB-0010) wherever applicable so every feature traces back to the reconciled data structure.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Data Element</w:t>
            </w:r>
          </w:p>
        </w:tc>
        <w:tc>
          <w:tcPr>
            <w:tcW w:type="dxa" w:w="15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Read/Write</w:t>
            </w:r>
          </w:p>
        </w:tc>
        <w:tc>
          <w:tcPr>
            <w:tcW w:type="dxa" w:w="468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Source / Destination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GL Table (DB-0002)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Write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Populated at ingestion; referenced by DB-0003 (COA), DB-0004 (Trial Balance), DB-0005 (Validations), RP-0001 (P&amp;L), QE-0001 (Tax Reconciliation), QE-0004 (SDE/EBITDA)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Source GL report file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Read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Data Room (DR-0001), populated via upload or Data Retrieve Wizard (DR-0003)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Chart of Accounts (DB-0003)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Write (derived)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Generated from distinct accounts present in ingested GL data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Trial Balance (DB-0004)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Write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Balance-related data derived alongside/from GL ingestion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Validation rules &amp; results (DB-0005)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Read/Write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Ruleset applied to ingested GL rows; exceptions written back referencing affected GL rows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Ingestion event record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Write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Activity &amp; Audit Log (SY-0003) — user, timestamp, source file, row count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5. Access &amp; Security</w:t>
      </w: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Confirm roles and deal isolation explicitly on every spec — never assume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Roles with access: Broker (deal owner/admin), Company (as granted by broker), Accountant / QoE preparer.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Roles explicitly excluded: Bank (never has GL-level access; only relevant post-underwriting per BK-0001, and never to raw transaction detail), Buyer (never — GL transaction detail is not buyer-facing at any stage).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Deal isolation confirmed: this feature is scoped to a single company/deal only. No cross-deal or cross-company visibility of GL data, ingestion history, or validation results.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6. UI / UX Notes</w:t>
      </w: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Layout, interaction notes, or wireframe reference. State platform scope explicitly per feature.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Platform: Web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Wireframe reference: N/A</w:t>
      </w:r>
    </w:p>
    <w:p>
      <w:pPr>
        <w:spacing w:after="120"/>
      </w:pPr>
      <w:r>
        <w:rPr>
          <w:sz w:val="22"/>
          <w:szCs w:val="22"/>
        </w:rPr>
        <w:t xml:space="preserve">The GL linking action lives within the Key Reports interface. Once a file is linked, the UI should show an ingestion status indicator (Queued / Processing / Complete / Complete with Exceptions) and a direct link into any validation exceptions raised by DB-0005 so the user can act on them without hunting for where the issue surfaced.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7. Dependencies</w:t>
      </w: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Upstream features that must exist first. This is the single most valuable section for sequencing the build.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Related Feature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Relationship</w:t>
            </w:r>
          </w:p>
        </w:tc>
        <w:tc>
          <w:tcPr>
            <w:tcW w:type="dxa" w:w="51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DR-0003 — Data Retrieve Wizard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Depends on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GL report files must already exist in the data room (retrieved or uploaded) before they can be linked and ingested here.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DR-0001 — Core Data Room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Depends on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Storage location for source GL files prior to linking.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DB-0005 — Validations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Depends on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Cross-validation ruleset runs against ingested GL rows immediately after ingestion.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DB-0003 — Chart of Accounts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Blocks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COA generation reads distinct accounts from ingested GL data; cannot run until GL ingestion completes.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DB-0004 — Trial Balance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Blocks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Depends on GL ingestion having occurred.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RP-0001 — Profit &amp; Loss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Blocks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P&amp;L generation requires ingested GL data as its source.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QE-0001 — Tax Reconciliation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Blocks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Tax-to-book bridge requires reconciled GL/P&amp;L data.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SY-0003 — Activity &amp; Audit Log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Depends on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Every ingestion event (file linked, user, timestamp, row count) must write to the audit log.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8. Out of Scope / Deferred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OCR extraction of scanned/PDF GL reports — governed by the platform-wide OCR pipeline convention; not solved locally in this spec (see Open Questions).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mechanics of retrieving or uploading the source GL file itself — covered in DR-0003 (Data Retrieve Wizard) and DR-0001 (Core Data Room).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Chart of Accounts hierarchy configuration, drag-and-drop rollups, and reclassification suggestions — covered in DB-0006 and DB-0007.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Detailed validation rule logic and error messaging — covered in DB-0005; this spec only confirms that validation runs post-ingestion.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Multi-entity/subsidiary tagging and class/department/employee dimensions — deferred; standard field set only for this spec.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9.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Should ingestion detect and flag exact duplicate re-ingestion of the same GL file (or an overlapping period) to prevent double-counted transactions in the P&amp;L, or is catching that left entirely to DB-0005 validation after the fact?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Does OCR apply to any GL ingestion path (e.g., a scanned GL report with no digital export available), and if so, is that in scope for DB-0002 or deferred to the broader OCR pipeline gap referenced in the conventions doc?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Confirmed assumption to validate with Josh: ingestion is non-blocking — data lands in the GL table regardless of validation outcome, with exceptions surfaced separately per DB-0005. Please confirm this is correct before dev build.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What is the expected behavior if two linked GL files cover an overlapping date range (e.g., both include March activity) — is this purely a DB-0005 validation catch, or does ingestion need its own overlap warning?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10.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 can, from Key Reports, select a previously uploaded or retrieved GL file and successfully trigger ingestion into the GL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Ingested GL rows contain all standard fields (date, account, entry/transaction number, type, debit, credit, description/memo, customer, source file reference) correctly sourced from the uploaded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Re-linking an additional GL file for the same or overlapping period appends new rows without deleting or overwriting prior rows.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DB-0005 validation rules run automatically immediately after ingestion and surface flagged discrepancies to the user.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Every ingestion event is recorded in the Activity &amp; Audit Log (SY-0003) with user, timestamp, source file, and row 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Chart of Accounts (DB-0003) reflects the distinct accounts found in ingested GL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user without assigned role/deal access cannot view GL data for that deal or company under any circumstance.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F0214BC29ADA4AA8CFF80B67D2DD03" ma:contentTypeVersion="3" ma:contentTypeDescription="Create a new document." ma:contentTypeScope="" ma:versionID="a5913b1f355fdbd3b430fc4b3e74578d">
  <xsd:schema xmlns:xsd="http://www.w3.org/2001/XMLSchema" xmlns:xs="http://www.w3.org/2001/XMLSchema" xmlns:p="http://schemas.microsoft.com/office/2006/metadata/properties" xmlns:ns2="cfc27655-a87d-44f0-8c14-97832468632f" targetNamespace="http://schemas.microsoft.com/office/2006/metadata/properties" ma:root="true" ma:fieldsID="30183fae3b956c9523af1ba6e10ee2d3" ns2:_="">
    <xsd:import namespace="cfc27655-a87d-44f0-8c14-978324686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c27655-a87d-44f0-8c14-9783246863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A062031-3EB2-4E12-BEEF-AB02B7F0EEF4}"/>
</file>

<file path=customXml/itemProps2.xml><?xml version="1.0" encoding="utf-8"?>
<ds:datastoreItem xmlns:ds="http://schemas.openxmlformats.org/officeDocument/2006/customXml" ds:itemID="{80BE7071-2D90-4743-8D04-674FD527686B}"/>
</file>

<file path=customXml/itemProps3.xml><?xml version="1.0" encoding="utf-8"?>
<ds:datastoreItem xmlns:ds="http://schemas.openxmlformats.org/officeDocument/2006/customXml" ds:itemID="{6298D472-1508-44BE-BC9B-988C93CA255A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2026-08-14T11:17:34Z</dcterms:created>
  <dcterms:modified xsi:type="dcterms:W3CDTF">2026-08-14T11:17:34Z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0x01010091F0214BC29ADA4AA8CFF80B67D2DD03</vt:lpwstr>
  </property>
</Properties>
</file>