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8981" w14:textId="77777777" w:rsidR="004511FD" w:rsidRDefault="00000000">
      <w:pPr>
        <w:spacing w:after="40"/>
      </w:pPr>
      <w:r>
        <w:rPr>
          <w:rFonts w:ascii="Calibri" w:eastAsia="Calibri" w:hAnsi="Calibri" w:cs="Calibri"/>
          <w:b/>
          <w:bCs/>
          <w:color w:val="1F3864"/>
          <w:sz w:val="32"/>
          <w:szCs w:val="32"/>
        </w:rPr>
        <w:t>CENTURIUUM</w:t>
      </w:r>
    </w:p>
    <w:p w14:paraId="57E5C58C" w14:textId="77777777" w:rsidR="004511FD" w:rsidRDefault="00000000">
      <w:pPr>
        <w:spacing w:after="200"/>
      </w:pPr>
      <w:r>
        <w:rPr>
          <w:rFonts w:ascii="Calibri" w:eastAsia="Calibri" w:hAnsi="Calibri" w:cs="Calibri"/>
          <w:b/>
          <w:bCs/>
          <w:color w:val="404040"/>
          <w:sz w:val="24"/>
          <w:szCs w:val="24"/>
        </w:rPr>
        <w:t>Feature Specification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4511FD" w14:paraId="11CAA137"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4D861BB" w14:textId="77777777" w:rsidR="004511FD" w:rsidRDefault="00000000">
            <w:r>
              <w:rPr>
                <w:rFonts w:ascii="Calibri" w:eastAsia="Calibri" w:hAnsi="Calibri" w:cs="Calibri"/>
                <w:b/>
                <w:bCs/>
                <w:sz w:val="21"/>
                <w:szCs w:val="21"/>
              </w:rPr>
              <w:t>Feature ID</w:t>
            </w:r>
          </w:p>
        </w:tc>
        <w:tc>
          <w:tcPr>
            <w:tcW w:w="6850" w:type="dxa"/>
            <w:tcMar>
              <w:top w:w="80" w:type="dxa"/>
              <w:left w:w="100" w:type="dxa"/>
              <w:bottom w:w="80" w:type="dxa"/>
              <w:right w:w="100" w:type="dxa"/>
            </w:tcMar>
            <w:vAlign w:val="center"/>
          </w:tcPr>
          <w:p w14:paraId="1C29FC8E" w14:textId="31488351" w:rsidR="004511FD" w:rsidRDefault="00000000">
            <w:r>
              <w:rPr>
                <w:rFonts w:ascii="Calibri" w:eastAsia="Calibri" w:hAnsi="Calibri" w:cs="Calibri"/>
                <w:sz w:val="21"/>
                <w:szCs w:val="21"/>
              </w:rPr>
              <w:t>SY - 000</w:t>
            </w:r>
            <w:r w:rsidR="005C7689">
              <w:rPr>
                <w:rFonts w:ascii="Calibri" w:eastAsia="Calibri" w:hAnsi="Calibri" w:cs="Calibri"/>
                <w:sz w:val="21"/>
                <w:szCs w:val="21"/>
              </w:rPr>
              <w:t>4</w:t>
            </w:r>
          </w:p>
        </w:tc>
      </w:tr>
      <w:tr w:rsidR="004511FD" w14:paraId="79DFB5A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597755A" w14:textId="77777777" w:rsidR="004511FD" w:rsidRDefault="00000000">
            <w:r>
              <w:rPr>
                <w:rFonts w:ascii="Calibri" w:eastAsia="Calibri" w:hAnsi="Calibri" w:cs="Calibri"/>
                <w:b/>
                <w:bCs/>
                <w:sz w:val="21"/>
                <w:szCs w:val="21"/>
              </w:rPr>
              <w:t>Feature Name</w:t>
            </w:r>
          </w:p>
        </w:tc>
        <w:tc>
          <w:tcPr>
            <w:tcW w:w="6850" w:type="dxa"/>
            <w:tcMar>
              <w:top w:w="80" w:type="dxa"/>
              <w:left w:w="100" w:type="dxa"/>
              <w:bottom w:w="80" w:type="dxa"/>
              <w:right w:w="100" w:type="dxa"/>
            </w:tcMar>
            <w:vAlign w:val="center"/>
          </w:tcPr>
          <w:p w14:paraId="3E7DC447" w14:textId="77777777" w:rsidR="004511FD" w:rsidRDefault="00000000">
            <w:r>
              <w:rPr>
                <w:rFonts w:ascii="Calibri" w:eastAsia="Calibri" w:hAnsi="Calibri" w:cs="Calibri"/>
                <w:sz w:val="21"/>
                <w:szCs w:val="21"/>
              </w:rPr>
              <w:t>AI &amp; Compute Usage Metering</w:t>
            </w:r>
          </w:p>
        </w:tc>
      </w:tr>
      <w:tr w:rsidR="004511FD" w14:paraId="2CF12EB7"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6499E8B" w14:textId="77777777" w:rsidR="004511FD" w:rsidRDefault="00000000">
            <w:r>
              <w:rPr>
                <w:rFonts w:ascii="Calibri" w:eastAsia="Calibri" w:hAnsi="Calibri" w:cs="Calibri"/>
                <w:b/>
                <w:bCs/>
                <w:sz w:val="21"/>
                <w:szCs w:val="21"/>
              </w:rPr>
              <w:t>Module</w:t>
            </w:r>
          </w:p>
        </w:tc>
        <w:tc>
          <w:tcPr>
            <w:tcW w:w="6850" w:type="dxa"/>
            <w:tcMar>
              <w:top w:w="80" w:type="dxa"/>
              <w:left w:w="100" w:type="dxa"/>
              <w:bottom w:w="80" w:type="dxa"/>
              <w:right w:w="100" w:type="dxa"/>
            </w:tcMar>
            <w:vAlign w:val="center"/>
          </w:tcPr>
          <w:p w14:paraId="2153F52B" w14:textId="77777777" w:rsidR="004511FD" w:rsidRDefault="00000000">
            <w:r>
              <w:rPr>
                <w:rFonts w:ascii="Calibri" w:eastAsia="Calibri" w:hAnsi="Calibri" w:cs="Calibri"/>
                <w:sz w:val="21"/>
                <w:szCs w:val="21"/>
              </w:rPr>
              <w:t>SY - System</w:t>
            </w:r>
          </w:p>
        </w:tc>
      </w:tr>
      <w:tr w:rsidR="004511FD" w14:paraId="2A898968"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3B99EFE2" w14:textId="77777777" w:rsidR="004511FD" w:rsidRDefault="00000000">
            <w:r>
              <w:rPr>
                <w:rFonts w:ascii="Calibri" w:eastAsia="Calibri" w:hAnsi="Calibri" w:cs="Calibri"/>
                <w:b/>
                <w:bCs/>
                <w:sz w:val="21"/>
                <w:szCs w:val="21"/>
              </w:rPr>
              <w:t>Status</w:t>
            </w:r>
          </w:p>
        </w:tc>
        <w:tc>
          <w:tcPr>
            <w:tcW w:w="6850" w:type="dxa"/>
            <w:tcMar>
              <w:top w:w="80" w:type="dxa"/>
              <w:left w:w="100" w:type="dxa"/>
              <w:bottom w:w="80" w:type="dxa"/>
              <w:right w:w="100" w:type="dxa"/>
            </w:tcMar>
            <w:vAlign w:val="center"/>
          </w:tcPr>
          <w:p w14:paraId="1B947CEE" w14:textId="77777777" w:rsidR="004511FD" w:rsidRDefault="00000000">
            <w:r>
              <w:rPr>
                <w:rFonts w:ascii="Calibri" w:eastAsia="Calibri" w:hAnsi="Calibri" w:cs="Calibri"/>
                <w:sz w:val="21"/>
                <w:szCs w:val="21"/>
              </w:rPr>
              <w:t>Draft</w:t>
            </w:r>
          </w:p>
        </w:tc>
      </w:tr>
      <w:tr w:rsidR="004511FD" w14:paraId="7FA36285"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969378A" w14:textId="77777777" w:rsidR="004511FD" w:rsidRDefault="00000000">
            <w:r>
              <w:rPr>
                <w:rFonts w:ascii="Calibri" w:eastAsia="Calibri" w:hAnsi="Calibri" w:cs="Calibri"/>
                <w:b/>
                <w:bCs/>
                <w:sz w:val="21"/>
                <w:szCs w:val="21"/>
              </w:rPr>
              <w:t>Related / Recycled IDs</w:t>
            </w:r>
          </w:p>
        </w:tc>
        <w:tc>
          <w:tcPr>
            <w:tcW w:w="6850" w:type="dxa"/>
            <w:tcMar>
              <w:top w:w="80" w:type="dxa"/>
              <w:left w:w="100" w:type="dxa"/>
              <w:bottom w:w="80" w:type="dxa"/>
              <w:right w:w="100" w:type="dxa"/>
            </w:tcMar>
            <w:vAlign w:val="center"/>
          </w:tcPr>
          <w:p w14:paraId="5484A464" w14:textId="77777777" w:rsidR="004511FD" w:rsidRDefault="00000000">
            <w:r>
              <w:rPr>
                <w:rFonts w:ascii="Calibri" w:eastAsia="Calibri" w:hAnsi="Calibri" w:cs="Calibri"/>
                <w:sz w:val="21"/>
                <w:szCs w:val="21"/>
              </w:rPr>
              <w:t>None</w:t>
            </w:r>
          </w:p>
        </w:tc>
      </w:tr>
      <w:tr w:rsidR="004511FD" w14:paraId="3458F1C2"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3A07927C" w14:textId="77777777" w:rsidR="004511FD" w:rsidRDefault="00000000">
            <w:r>
              <w:rPr>
                <w:rFonts w:ascii="Calibri" w:eastAsia="Calibri" w:hAnsi="Calibri" w:cs="Calibri"/>
                <w:b/>
                <w:bCs/>
                <w:sz w:val="21"/>
                <w:szCs w:val="21"/>
              </w:rPr>
              <w:t>Author</w:t>
            </w:r>
          </w:p>
        </w:tc>
        <w:tc>
          <w:tcPr>
            <w:tcW w:w="6850" w:type="dxa"/>
            <w:tcMar>
              <w:top w:w="80" w:type="dxa"/>
              <w:left w:w="100" w:type="dxa"/>
              <w:bottom w:w="80" w:type="dxa"/>
              <w:right w:w="100" w:type="dxa"/>
            </w:tcMar>
            <w:vAlign w:val="center"/>
          </w:tcPr>
          <w:p w14:paraId="4F8B76CA" w14:textId="77777777" w:rsidR="004511FD" w:rsidRDefault="00000000">
            <w:r>
              <w:rPr>
                <w:rFonts w:ascii="Calibri" w:eastAsia="Calibri" w:hAnsi="Calibri" w:cs="Calibri"/>
                <w:sz w:val="21"/>
                <w:szCs w:val="21"/>
              </w:rPr>
              <w:t>Josh Tonnesen</w:t>
            </w:r>
          </w:p>
        </w:tc>
      </w:tr>
      <w:tr w:rsidR="004511FD" w14:paraId="4B1DC6B1"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533F792A" w14:textId="77777777" w:rsidR="004511FD" w:rsidRDefault="00000000">
            <w:r>
              <w:rPr>
                <w:rFonts w:ascii="Calibri" w:eastAsia="Calibri" w:hAnsi="Calibri" w:cs="Calibri"/>
                <w:b/>
                <w:bCs/>
                <w:sz w:val="21"/>
                <w:szCs w:val="21"/>
              </w:rPr>
              <w:t>Date</w:t>
            </w:r>
          </w:p>
        </w:tc>
        <w:tc>
          <w:tcPr>
            <w:tcW w:w="6850" w:type="dxa"/>
            <w:tcMar>
              <w:top w:w="80" w:type="dxa"/>
              <w:left w:w="100" w:type="dxa"/>
              <w:bottom w:w="80" w:type="dxa"/>
              <w:right w:w="100" w:type="dxa"/>
            </w:tcMar>
            <w:vAlign w:val="center"/>
          </w:tcPr>
          <w:p w14:paraId="45182A5B" w14:textId="77777777" w:rsidR="004511FD" w:rsidRDefault="00000000">
            <w:r>
              <w:rPr>
                <w:rFonts w:ascii="Calibri" w:eastAsia="Calibri" w:hAnsi="Calibri" w:cs="Calibri"/>
                <w:sz w:val="21"/>
                <w:szCs w:val="21"/>
              </w:rPr>
              <w:t>August 14, 2026</w:t>
            </w:r>
          </w:p>
        </w:tc>
      </w:tr>
    </w:tbl>
    <w:p w14:paraId="505C41C7" w14:textId="77777777" w:rsidR="004511FD" w:rsidRDefault="004511FD">
      <w:pPr>
        <w:spacing w:after="100"/>
      </w:pPr>
    </w:p>
    <w:p w14:paraId="7E544216"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1. Purpose &amp; Business Context</w:t>
      </w:r>
    </w:p>
    <w:p w14:paraId="01783B2F" w14:textId="77777777" w:rsidR="004511FD" w:rsidRDefault="00000000">
      <w:pPr>
        <w:spacing w:after="120"/>
      </w:pPr>
      <w:proofErr w:type="spellStart"/>
      <w:r>
        <w:rPr>
          <w:rFonts w:ascii="Calibri" w:eastAsia="Calibri" w:hAnsi="Calibri" w:cs="Calibri"/>
          <w:sz w:val="22"/>
          <w:szCs w:val="22"/>
        </w:rPr>
        <w:t>Centuriuum's</w:t>
      </w:r>
      <w:proofErr w:type="spellEnd"/>
      <w:r>
        <w:rPr>
          <w:rFonts w:ascii="Calibri" w:eastAsia="Calibri" w:hAnsi="Calibri" w:cs="Calibri"/>
          <w:sz w:val="22"/>
          <w:szCs w:val="22"/>
        </w:rPr>
        <w:t xml:space="preserve"> AI capabilities (document extraction, OCR, guided Q&amp;A generation, CIM/teaser drafting assistance, and similar features) and select third-party data provider calls (e.g., market and transaction comparables under DR - 0008) carry real, variable per-use cost to </w:t>
      </w:r>
      <w:proofErr w:type="spellStart"/>
      <w:r>
        <w:rPr>
          <w:rFonts w:ascii="Calibri" w:eastAsia="Calibri" w:hAnsi="Calibri" w:cs="Calibri"/>
          <w:sz w:val="22"/>
          <w:szCs w:val="22"/>
        </w:rPr>
        <w:t>Centuriuum</w:t>
      </w:r>
      <w:proofErr w:type="spellEnd"/>
      <w:r>
        <w:rPr>
          <w:rFonts w:ascii="Calibri" w:eastAsia="Calibri" w:hAnsi="Calibri" w:cs="Calibri"/>
          <w:sz w:val="22"/>
          <w:szCs w:val="22"/>
        </w:rPr>
        <w:t xml:space="preserve">. Without usage-level tracking, the business has no way to see which users, companies/deals, or feature areas are driving that cost, no way to identify abuse of free or unmetered access, and no factual basis for future decisions on caps, tiered access, or rebilling. This feature establishes the underlying metering data layer — capturing every AI and heavy-compute usage event by user and by company/deal — so </w:t>
      </w:r>
      <w:proofErr w:type="spellStart"/>
      <w:r>
        <w:rPr>
          <w:rFonts w:ascii="Calibri" w:eastAsia="Calibri" w:hAnsi="Calibri" w:cs="Calibri"/>
          <w:sz w:val="22"/>
          <w:szCs w:val="22"/>
        </w:rPr>
        <w:t>Centuriuum</w:t>
      </w:r>
      <w:proofErr w:type="spellEnd"/>
      <w:r>
        <w:rPr>
          <w:rFonts w:ascii="Calibri" w:eastAsia="Calibri" w:hAnsi="Calibri" w:cs="Calibri"/>
          <w:sz w:val="22"/>
          <w:szCs w:val="22"/>
        </w:rPr>
        <w:t xml:space="preserve"> can analyze cost drivers, project spend, and later layer in caps or a pricing/rebilling model. This spec covers data capture and internal visibility only; it does not implement caps, limits, or a customer-facing pricing model.</w:t>
      </w:r>
    </w:p>
    <w:p w14:paraId="7C8330D8"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2. User Stories</w:t>
      </w:r>
    </w:p>
    <w:p w14:paraId="4FF5C634" w14:textId="77777777" w:rsidR="004511FD" w:rsidRDefault="00000000">
      <w:pPr>
        <w:pStyle w:val="ListParagraph"/>
        <w:numPr>
          <w:ilvl w:val="0"/>
          <w:numId w:val="1"/>
        </w:numPr>
        <w:spacing w:after="80"/>
      </w:pPr>
      <w:r>
        <w:rPr>
          <w:rFonts w:ascii="Calibri" w:eastAsia="Calibri" w:hAnsi="Calibri" w:cs="Calibri"/>
          <w:sz w:val="22"/>
          <w:szCs w:val="22"/>
        </w:rPr>
        <w:t>As an internal admin (</w:t>
      </w:r>
      <w:proofErr w:type="spellStart"/>
      <w:r>
        <w:rPr>
          <w:rFonts w:ascii="Calibri" w:eastAsia="Calibri" w:hAnsi="Calibri" w:cs="Calibri"/>
          <w:sz w:val="22"/>
          <w:szCs w:val="22"/>
        </w:rPr>
        <w:t>Centuriuum</w:t>
      </w:r>
      <w:proofErr w:type="spellEnd"/>
      <w:r>
        <w:rPr>
          <w:rFonts w:ascii="Calibri" w:eastAsia="Calibri" w:hAnsi="Calibri" w:cs="Calibri"/>
          <w:sz w:val="22"/>
          <w:szCs w:val="22"/>
        </w:rPr>
        <w:t xml:space="preserve"> ops), I want to see AI and compute usage broken down by user and by company/deal, so that I can identify which accounts or deals are driving disproportionate cost.</w:t>
      </w:r>
    </w:p>
    <w:p w14:paraId="22C1A850" w14:textId="77777777" w:rsidR="004511FD" w:rsidRDefault="00000000">
      <w:pPr>
        <w:pStyle w:val="ListParagraph"/>
        <w:numPr>
          <w:ilvl w:val="0"/>
          <w:numId w:val="1"/>
        </w:numPr>
        <w:spacing w:after="80"/>
      </w:pPr>
      <w:r>
        <w:rPr>
          <w:rFonts w:ascii="Calibri" w:eastAsia="Calibri" w:hAnsi="Calibri" w:cs="Calibri"/>
          <w:sz w:val="22"/>
          <w:szCs w:val="22"/>
        </w:rPr>
        <w:t>As an internal admin, I want usage data aggregated over time, so that I can project future AI/compute spend as usage grows.</w:t>
      </w:r>
    </w:p>
    <w:p w14:paraId="7A62BC5B" w14:textId="77777777" w:rsidR="004511FD" w:rsidRDefault="00000000">
      <w:pPr>
        <w:pStyle w:val="ListParagraph"/>
        <w:numPr>
          <w:ilvl w:val="0"/>
          <w:numId w:val="1"/>
        </w:numPr>
        <w:spacing w:after="80"/>
      </w:pPr>
      <w:r>
        <w:rPr>
          <w:rFonts w:ascii="Calibri" w:eastAsia="Calibri" w:hAnsi="Calibri" w:cs="Calibri"/>
          <w:sz w:val="22"/>
          <w:szCs w:val="22"/>
        </w:rPr>
        <w:t>As an internal admin, I want to see usage by event type (e.g., OCR extraction, AI drafting, data provider query), so that I can identify which specific features are the most expensive to run and prioritize efficiency work.</w:t>
      </w:r>
    </w:p>
    <w:p w14:paraId="38E0F136" w14:textId="77777777" w:rsidR="004511FD" w:rsidRDefault="00000000">
      <w:pPr>
        <w:pStyle w:val="ListParagraph"/>
        <w:numPr>
          <w:ilvl w:val="0"/>
          <w:numId w:val="1"/>
        </w:numPr>
        <w:spacing w:after="80"/>
      </w:pPr>
      <w:r>
        <w:rPr>
          <w:rFonts w:ascii="Calibri" w:eastAsia="Calibri" w:hAnsi="Calibri" w:cs="Calibri"/>
          <w:sz w:val="22"/>
          <w:szCs w:val="22"/>
        </w:rPr>
        <w:t>As a product owner, I want usage data captured now even though pricing and caps are undecided, so that when we do define a monetization or cap approach, we have real historical data to base it on rather than guessing.</w:t>
      </w:r>
    </w:p>
    <w:p w14:paraId="28926BBA"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3. Functional Requirements</w:t>
      </w:r>
    </w:p>
    <w:p w14:paraId="143B8083" w14:textId="77777777" w:rsidR="004511FD" w:rsidRDefault="00000000">
      <w:pPr>
        <w:pStyle w:val="ListParagraph"/>
        <w:numPr>
          <w:ilvl w:val="0"/>
          <w:numId w:val="1"/>
        </w:numPr>
        <w:spacing w:after="80"/>
      </w:pPr>
      <w:r>
        <w:rPr>
          <w:rFonts w:ascii="Calibri" w:eastAsia="Calibri" w:hAnsi="Calibri" w:cs="Calibri"/>
          <w:sz w:val="22"/>
          <w:szCs w:val="22"/>
        </w:rPr>
        <w:t>The system shall record a Usage Event each time a metered action occurs, including at minimum: AI/LLM invocations (e.g., guided Q&amp;A generation, drafting assistance, extraction from uploaded documents), OCR processing of uploaded/scanned documents, and outbound calls to metered third-party data providers (e.g., market/transaction data queries under DR - 0008).</w:t>
      </w:r>
    </w:p>
    <w:p w14:paraId="49BDCF12" w14:textId="77777777" w:rsidR="004511FD" w:rsidRDefault="00000000">
      <w:pPr>
        <w:pStyle w:val="ListParagraph"/>
        <w:numPr>
          <w:ilvl w:val="0"/>
          <w:numId w:val="1"/>
        </w:numPr>
        <w:spacing w:after="80"/>
      </w:pPr>
      <w:r>
        <w:rPr>
          <w:rFonts w:ascii="Calibri" w:eastAsia="Calibri" w:hAnsi="Calibri" w:cs="Calibri"/>
          <w:sz w:val="22"/>
          <w:szCs w:val="22"/>
        </w:rPr>
        <w:t xml:space="preserve">The system shall capture, at minimum, the following fields on every Usage Event: event type, timestamp, initiating user ID, associated company/deal ID (where applicable), the specific </w:t>
      </w:r>
      <w:r>
        <w:rPr>
          <w:rFonts w:ascii="Calibri" w:eastAsia="Calibri" w:hAnsi="Calibri" w:cs="Calibri"/>
          <w:sz w:val="22"/>
          <w:szCs w:val="22"/>
        </w:rPr>
        <w:lastRenderedPageBreak/>
        <w:t xml:space="preserve">provider/model/engine invoked, a unit quantity appropriate to the event (e.g., tokens, pages processed, API calls), and the computed raw cost to </w:t>
      </w:r>
      <w:proofErr w:type="spellStart"/>
      <w:r>
        <w:rPr>
          <w:rFonts w:ascii="Calibri" w:eastAsia="Calibri" w:hAnsi="Calibri" w:cs="Calibri"/>
          <w:sz w:val="22"/>
          <w:szCs w:val="22"/>
        </w:rPr>
        <w:t>Centuriuum</w:t>
      </w:r>
      <w:proofErr w:type="spellEnd"/>
      <w:r>
        <w:rPr>
          <w:rFonts w:ascii="Calibri" w:eastAsia="Calibri" w:hAnsi="Calibri" w:cs="Calibri"/>
          <w:sz w:val="22"/>
          <w:szCs w:val="22"/>
        </w:rPr>
        <w:t xml:space="preserve"> for that event.</w:t>
      </w:r>
    </w:p>
    <w:p w14:paraId="11BDC932" w14:textId="77777777" w:rsidR="004511FD" w:rsidRDefault="00000000">
      <w:pPr>
        <w:pStyle w:val="ListParagraph"/>
        <w:numPr>
          <w:ilvl w:val="0"/>
          <w:numId w:val="1"/>
        </w:numPr>
        <w:spacing w:after="80"/>
      </w:pPr>
      <w:r>
        <w:rPr>
          <w:rFonts w:ascii="Calibri" w:eastAsia="Calibri" w:hAnsi="Calibri" w:cs="Calibri"/>
          <w:sz w:val="22"/>
          <w:szCs w:val="22"/>
        </w:rPr>
        <w:t xml:space="preserve">The system shall associate every Usage Event with exactly one user </w:t>
      </w:r>
      <w:proofErr w:type="gramStart"/>
      <w:r>
        <w:rPr>
          <w:rFonts w:ascii="Calibri" w:eastAsia="Calibri" w:hAnsi="Calibri" w:cs="Calibri"/>
          <w:sz w:val="22"/>
          <w:szCs w:val="22"/>
        </w:rPr>
        <w:t>and,</w:t>
      </w:r>
      <w:proofErr w:type="gramEnd"/>
      <w:r>
        <w:rPr>
          <w:rFonts w:ascii="Calibri" w:eastAsia="Calibri" w:hAnsi="Calibri" w:cs="Calibri"/>
          <w:sz w:val="22"/>
          <w:szCs w:val="22"/>
        </w:rPr>
        <w:t xml:space="preserve"> where the action occurs within the context of a company/deal, exactly one company/deal, so usage can be rolled up either way.</w:t>
      </w:r>
    </w:p>
    <w:p w14:paraId="38DC4CF8" w14:textId="77777777" w:rsidR="004511FD" w:rsidRDefault="00000000">
      <w:pPr>
        <w:pStyle w:val="ListParagraph"/>
        <w:numPr>
          <w:ilvl w:val="0"/>
          <w:numId w:val="1"/>
        </w:numPr>
        <w:spacing w:after="80"/>
      </w:pPr>
      <w:r>
        <w:rPr>
          <w:rFonts w:ascii="Calibri" w:eastAsia="Calibri" w:hAnsi="Calibri" w:cs="Calibri"/>
          <w:sz w:val="22"/>
          <w:szCs w:val="22"/>
        </w:rPr>
        <w:t>The system shall maintain a Rate Reference table mapping each metered provider/model/engine to its current per-unit cost, allowing raw cost to be computed at the time of the event or recalculated retroactively if rates change.</w:t>
      </w:r>
    </w:p>
    <w:p w14:paraId="76819CB5" w14:textId="77777777" w:rsidR="004511FD" w:rsidRDefault="00000000">
      <w:pPr>
        <w:pStyle w:val="ListParagraph"/>
        <w:numPr>
          <w:ilvl w:val="0"/>
          <w:numId w:val="1"/>
        </w:numPr>
        <w:spacing w:after="80"/>
      </w:pPr>
      <w:r>
        <w:rPr>
          <w:rFonts w:ascii="Calibri" w:eastAsia="Calibri" w:hAnsi="Calibri" w:cs="Calibri"/>
          <w:sz w:val="22"/>
          <w:szCs w:val="22"/>
        </w:rPr>
        <w:t>The system shall provide an internal-facing usage dashboard (not visible to Broker, Bank, Buyer, Company, or Accountant roles) allowing an admin to filter and aggregate usage by user, by company/deal, by event type, and by date range.</w:t>
      </w:r>
    </w:p>
    <w:p w14:paraId="6565CB0E" w14:textId="77777777" w:rsidR="004511FD" w:rsidRDefault="00000000">
      <w:pPr>
        <w:pStyle w:val="ListParagraph"/>
        <w:numPr>
          <w:ilvl w:val="0"/>
          <w:numId w:val="1"/>
        </w:numPr>
        <w:spacing w:after="80"/>
      </w:pPr>
      <w:r>
        <w:rPr>
          <w:rFonts w:ascii="Calibri" w:eastAsia="Calibri" w:hAnsi="Calibri" w:cs="Calibri"/>
          <w:sz w:val="22"/>
          <w:szCs w:val="22"/>
        </w:rPr>
        <w:t>The system shall support projected-spend views that extrapolate recent usage trends forward, at minimum by user and by company/deal.</w:t>
      </w:r>
    </w:p>
    <w:p w14:paraId="0D2BC94E" w14:textId="77777777" w:rsidR="004511FD" w:rsidRDefault="00000000">
      <w:pPr>
        <w:pStyle w:val="ListParagraph"/>
        <w:numPr>
          <w:ilvl w:val="0"/>
          <w:numId w:val="1"/>
        </w:numPr>
        <w:spacing w:after="80"/>
      </w:pPr>
      <w:r>
        <w:rPr>
          <w:rFonts w:ascii="Calibri" w:eastAsia="Calibri" w:hAnsi="Calibri" w:cs="Calibri"/>
          <w:sz w:val="22"/>
          <w:szCs w:val="22"/>
        </w:rPr>
        <w:t>The system shall NOT block, throttle, or otherwise restrict any user's usage based on volume in this phase; this feature is data capture and visibility only.</w:t>
      </w:r>
    </w:p>
    <w:p w14:paraId="63D67A6B" w14:textId="77777777" w:rsidR="004511FD" w:rsidRDefault="00000000">
      <w:pPr>
        <w:pStyle w:val="ListParagraph"/>
        <w:numPr>
          <w:ilvl w:val="0"/>
          <w:numId w:val="1"/>
        </w:numPr>
        <w:spacing w:after="80"/>
      </w:pPr>
      <w:r>
        <w:rPr>
          <w:rFonts w:ascii="Calibri" w:eastAsia="Calibri" w:hAnsi="Calibri" w:cs="Calibri"/>
          <w:sz w:val="22"/>
          <w:szCs w:val="22"/>
        </w:rPr>
        <w:t>The system shall record Usage Events using the same event-capture conventions (user, company/deal, timestamp) as the Activity &amp; Audit Log (SE - 0003) to allow future correlation, without writing usage events into the audit log itself or surfacing them in the audit log UI.</w:t>
      </w:r>
    </w:p>
    <w:p w14:paraId="362346D8" w14:textId="77777777" w:rsidR="004511FD" w:rsidRDefault="00000000">
      <w:pPr>
        <w:pStyle w:val="ListParagraph"/>
        <w:numPr>
          <w:ilvl w:val="0"/>
          <w:numId w:val="1"/>
        </w:numPr>
        <w:spacing w:after="80"/>
      </w:pPr>
      <w:r>
        <w:rPr>
          <w:rFonts w:ascii="Calibri" w:eastAsia="Calibri" w:hAnsi="Calibri" w:cs="Calibri"/>
          <w:sz w:val="22"/>
          <w:szCs w:val="22"/>
        </w:rPr>
        <w:t>The system shall retain full Usage Event history indefinitely unless a data retention policy is later defined under the Legal / Compliance cross-cutting gap.</w:t>
      </w:r>
    </w:p>
    <w:p w14:paraId="02619C7F"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4. Data Requirements</w:t>
      </w:r>
    </w:p>
    <w:p w14:paraId="75BD674F" w14:textId="77777777" w:rsidR="004511FD" w:rsidRDefault="00000000">
      <w:pPr>
        <w:spacing w:after="120"/>
      </w:pPr>
      <w:r>
        <w:rPr>
          <w:rFonts w:ascii="Calibri" w:eastAsia="Calibri" w:hAnsi="Calibri" w:cs="Calibri"/>
          <w:i/>
          <w:iCs/>
          <w:color w:val="595959"/>
        </w:rPr>
        <w:t>What tables/fields does this feature read from or write to? Reference the relevant Database module table blocks (DB - 0001 through DB - 0010) wherever applicable so every feature traces back to the reconciled data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400"/>
        <w:gridCol w:w="4850"/>
      </w:tblGrid>
      <w:tr w:rsidR="004511FD" w14:paraId="00FCF999"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7E314439" w14:textId="77777777" w:rsidR="004511FD" w:rsidRDefault="00000000">
            <w:r>
              <w:rPr>
                <w:rFonts w:ascii="Calibri" w:eastAsia="Calibri" w:hAnsi="Calibri" w:cs="Calibri"/>
                <w:b/>
                <w:bCs/>
                <w:sz w:val="21"/>
                <w:szCs w:val="21"/>
              </w:rPr>
              <w:t>Data Element</w:t>
            </w:r>
          </w:p>
        </w:tc>
        <w:tc>
          <w:tcPr>
            <w:tcW w:w="1400" w:type="dxa"/>
            <w:shd w:val="clear" w:color="auto" w:fill="F2F2F2"/>
            <w:tcMar>
              <w:top w:w="80" w:type="dxa"/>
              <w:left w:w="100" w:type="dxa"/>
              <w:bottom w:w="80" w:type="dxa"/>
              <w:right w:w="100" w:type="dxa"/>
            </w:tcMar>
            <w:vAlign w:val="center"/>
          </w:tcPr>
          <w:p w14:paraId="43133FA9" w14:textId="77777777" w:rsidR="004511FD" w:rsidRDefault="00000000">
            <w:r>
              <w:rPr>
                <w:rFonts w:ascii="Calibri" w:eastAsia="Calibri" w:hAnsi="Calibri" w:cs="Calibri"/>
                <w:b/>
                <w:bCs/>
                <w:sz w:val="21"/>
                <w:szCs w:val="21"/>
              </w:rPr>
              <w:t>Read/Write</w:t>
            </w:r>
          </w:p>
        </w:tc>
        <w:tc>
          <w:tcPr>
            <w:tcW w:w="4850" w:type="dxa"/>
            <w:shd w:val="clear" w:color="auto" w:fill="F2F2F2"/>
            <w:tcMar>
              <w:top w:w="80" w:type="dxa"/>
              <w:left w:w="100" w:type="dxa"/>
              <w:bottom w:w="80" w:type="dxa"/>
              <w:right w:w="100" w:type="dxa"/>
            </w:tcMar>
            <w:vAlign w:val="center"/>
          </w:tcPr>
          <w:p w14:paraId="547E0119" w14:textId="77777777" w:rsidR="004511FD" w:rsidRDefault="00000000">
            <w:r>
              <w:rPr>
                <w:rFonts w:ascii="Calibri" w:eastAsia="Calibri" w:hAnsi="Calibri" w:cs="Calibri"/>
                <w:b/>
                <w:bCs/>
                <w:sz w:val="21"/>
                <w:szCs w:val="21"/>
              </w:rPr>
              <w:t>Source / Destination</w:t>
            </w:r>
          </w:p>
        </w:tc>
      </w:tr>
      <w:tr w:rsidR="004511FD" w14:paraId="4FCD4F9C" w14:textId="77777777">
        <w:tblPrEx>
          <w:tblCellMar>
            <w:top w:w="0" w:type="dxa"/>
            <w:bottom w:w="0" w:type="dxa"/>
          </w:tblCellMar>
        </w:tblPrEx>
        <w:tc>
          <w:tcPr>
            <w:tcW w:w="3100" w:type="dxa"/>
            <w:tcMar>
              <w:top w:w="80" w:type="dxa"/>
              <w:left w:w="100" w:type="dxa"/>
              <w:bottom w:w="80" w:type="dxa"/>
              <w:right w:w="100" w:type="dxa"/>
            </w:tcMar>
            <w:vAlign w:val="center"/>
          </w:tcPr>
          <w:p w14:paraId="04000A13" w14:textId="77777777" w:rsidR="004511FD" w:rsidRDefault="00000000">
            <w:r>
              <w:rPr>
                <w:rFonts w:ascii="Calibri" w:eastAsia="Calibri" w:hAnsi="Calibri" w:cs="Calibri"/>
                <w:sz w:val="21"/>
                <w:szCs w:val="21"/>
              </w:rPr>
              <w:t>Usage Event record (event type, timestamp, user, company/deal, unit quantity, provider/model, computed raw cost)</w:t>
            </w:r>
          </w:p>
        </w:tc>
        <w:tc>
          <w:tcPr>
            <w:tcW w:w="1400" w:type="dxa"/>
            <w:tcMar>
              <w:top w:w="80" w:type="dxa"/>
              <w:left w:w="100" w:type="dxa"/>
              <w:bottom w:w="80" w:type="dxa"/>
              <w:right w:w="100" w:type="dxa"/>
            </w:tcMar>
            <w:vAlign w:val="center"/>
          </w:tcPr>
          <w:p w14:paraId="108F23D1" w14:textId="77777777" w:rsidR="004511FD" w:rsidRDefault="00000000">
            <w:r>
              <w:rPr>
                <w:rFonts w:ascii="Calibri" w:eastAsia="Calibri" w:hAnsi="Calibri" w:cs="Calibri"/>
                <w:sz w:val="21"/>
                <w:szCs w:val="21"/>
              </w:rPr>
              <w:t>Write</w:t>
            </w:r>
          </w:p>
        </w:tc>
        <w:tc>
          <w:tcPr>
            <w:tcW w:w="4850" w:type="dxa"/>
            <w:tcMar>
              <w:top w:w="80" w:type="dxa"/>
              <w:left w:w="100" w:type="dxa"/>
              <w:bottom w:w="80" w:type="dxa"/>
              <w:right w:w="100" w:type="dxa"/>
            </w:tcMar>
            <w:vAlign w:val="center"/>
          </w:tcPr>
          <w:p w14:paraId="5E5DCEA4" w14:textId="77777777" w:rsidR="004511FD" w:rsidRDefault="00000000">
            <w:r>
              <w:rPr>
                <w:rFonts w:ascii="Calibri" w:eastAsia="Calibri" w:hAnsi="Calibri" w:cs="Calibri"/>
                <w:sz w:val="21"/>
                <w:szCs w:val="21"/>
              </w:rPr>
              <w:t>New Usage Event table (see Open Questions re: DB module placement / DB - 0010 table-block architecture)</w:t>
            </w:r>
          </w:p>
        </w:tc>
      </w:tr>
      <w:tr w:rsidR="004511FD" w14:paraId="1F7C6569" w14:textId="77777777">
        <w:tblPrEx>
          <w:tblCellMar>
            <w:top w:w="0" w:type="dxa"/>
            <w:bottom w:w="0" w:type="dxa"/>
          </w:tblCellMar>
        </w:tblPrEx>
        <w:tc>
          <w:tcPr>
            <w:tcW w:w="3100" w:type="dxa"/>
            <w:tcMar>
              <w:top w:w="80" w:type="dxa"/>
              <w:left w:w="100" w:type="dxa"/>
              <w:bottom w:w="80" w:type="dxa"/>
              <w:right w:w="100" w:type="dxa"/>
            </w:tcMar>
            <w:vAlign w:val="center"/>
          </w:tcPr>
          <w:p w14:paraId="12740484" w14:textId="77777777" w:rsidR="004511FD" w:rsidRDefault="00000000">
            <w:r>
              <w:rPr>
                <w:rFonts w:ascii="Calibri" w:eastAsia="Calibri" w:hAnsi="Calibri" w:cs="Calibri"/>
                <w:sz w:val="21"/>
                <w:szCs w:val="21"/>
              </w:rPr>
              <w:t>User ID</w:t>
            </w:r>
          </w:p>
        </w:tc>
        <w:tc>
          <w:tcPr>
            <w:tcW w:w="1400" w:type="dxa"/>
            <w:tcMar>
              <w:top w:w="80" w:type="dxa"/>
              <w:left w:w="100" w:type="dxa"/>
              <w:bottom w:w="80" w:type="dxa"/>
              <w:right w:w="100" w:type="dxa"/>
            </w:tcMar>
            <w:vAlign w:val="center"/>
          </w:tcPr>
          <w:p w14:paraId="07DE0490" w14:textId="77777777" w:rsidR="004511FD" w:rsidRDefault="00000000">
            <w:r>
              <w:rPr>
                <w:rFonts w:ascii="Calibri" w:eastAsia="Calibri" w:hAnsi="Calibri" w:cs="Calibri"/>
                <w:sz w:val="21"/>
                <w:szCs w:val="21"/>
              </w:rPr>
              <w:t>Read</w:t>
            </w:r>
          </w:p>
        </w:tc>
        <w:tc>
          <w:tcPr>
            <w:tcW w:w="4850" w:type="dxa"/>
            <w:tcMar>
              <w:top w:w="80" w:type="dxa"/>
              <w:left w:w="100" w:type="dxa"/>
              <w:bottom w:w="80" w:type="dxa"/>
              <w:right w:w="100" w:type="dxa"/>
            </w:tcMar>
            <w:vAlign w:val="center"/>
          </w:tcPr>
          <w:p w14:paraId="6B61BC29" w14:textId="7A2A1337" w:rsidR="004511FD" w:rsidRDefault="00000000">
            <w:r>
              <w:rPr>
                <w:rFonts w:ascii="Calibri" w:eastAsia="Calibri" w:hAnsi="Calibri" w:cs="Calibri"/>
                <w:sz w:val="21"/>
                <w:szCs w:val="21"/>
              </w:rPr>
              <w:t>S</w:t>
            </w:r>
            <w:r w:rsidR="005C7689">
              <w:rPr>
                <w:rFonts w:ascii="Calibri" w:eastAsia="Calibri" w:hAnsi="Calibri" w:cs="Calibri"/>
                <w:sz w:val="21"/>
                <w:szCs w:val="21"/>
              </w:rPr>
              <w:t>Y</w:t>
            </w:r>
            <w:r>
              <w:rPr>
                <w:rFonts w:ascii="Calibri" w:eastAsia="Calibri" w:hAnsi="Calibri" w:cs="Calibri"/>
                <w:sz w:val="21"/>
                <w:szCs w:val="21"/>
              </w:rPr>
              <w:t xml:space="preserve"> - 0001 Role Based Access Setup (user/role record)</w:t>
            </w:r>
          </w:p>
        </w:tc>
      </w:tr>
      <w:tr w:rsidR="004511FD" w14:paraId="6756DCC0" w14:textId="77777777">
        <w:tblPrEx>
          <w:tblCellMar>
            <w:top w:w="0" w:type="dxa"/>
            <w:bottom w:w="0" w:type="dxa"/>
          </w:tblCellMar>
        </w:tblPrEx>
        <w:tc>
          <w:tcPr>
            <w:tcW w:w="3100" w:type="dxa"/>
            <w:tcMar>
              <w:top w:w="80" w:type="dxa"/>
              <w:left w:w="100" w:type="dxa"/>
              <w:bottom w:w="80" w:type="dxa"/>
              <w:right w:w="100" w:type="dxa"/>
            </w:tcMar>
            <w:vAlign w:val="center"/>
          </w:tcPr>
          <w:p w14:paraId="024B3202" w14:textId="77777777" w:rsidR="004511FD" w:rsidRDefault="00000000">
            <w:r>
              <w:rPr>
                <w:rFonts w:ascii="Calibri" w:eastAsia="Calibri" w:hAnsi="Calibri" w:cs="Calibri"/>
                <w:sz w:val="21"/>
                <w:szCs w:val="21"/>
              </w:rPr>
              <w:t>Company/Deal ID</w:t>
            </w:r>
          </w:p>
        </w:tc>
        <w:tc>
          <w:tcPr>
            <w:tcW w:w="1400" w:type="dxa"/>
            <w:tcMar>
              <w:top w:w="80" w:type="dxa"/>
              <w:left w:w="100" w:type="dxa"/>
              <w:bottom w:w="80" w:type="dxa"/>
              <w:right w:w="100" w:type="dxa"/>
            </w:tcMar>
            <w:vAlign w:val="center"/>
          </w:tcPr>
          <w:p w14:paraId="19CA276F" w14:textId="77777777" w:rsidR="004511FD" w:rsidRDefault="00000000">
            <w:r>
              <w:rPr>
                <w:rFonts w:ascii="Calibri" w:eastAsia="Calibri" w:hAnsi="Calibri" w:cs="Calibri"/>
                <w:sz w:val="21"/>
                <w:szCs w:val="21"/>
              </w:rPr>
              <w:t>Read</w:t>
            </w:r>
          </w:p>
        </w:tc>
        <w:tc>
          <w:tcPr>
            <w:tcW w:w="4850" w:type="dxa"/>
            <w:tcMar>
              <w:top w:w="80" w:type="dxa"/>
              <w:left w:w="100" w:type="dxa"/>
              <w:bottom w:w="80" w:type="dxa"/>
              <w:right w:w="100" w:type="dxa"/>
            </w:tcMar>
            <w:vAlign w:val="center"/>
          </w:tcPr>
          <w:p w14:paraId="7B578359" w14:textId="416B5539" w:rsidR="004511FD" w:rsidRDefault="00000000">
            <w:r>
              <w:rPr>
                <w:rFonts w:ascii="Calibri" w:eastAsia="Calibri" w:hAnsi="Calibri" w:cs="Calibri"/>
                <w:sz w:val="21"/>
                <w:szCs w:val="21"/>
              </w:rPr>
              <w:t>S</w:t>
            </w:r>
            <w:r w:rsidR="005C7689">
              <w:rPr>
                <w:rFonts w:ascii="Calibri" w:eastAsia="Calibri" w:hAnsi="Calibri" w:cs="Calibri"/>
                <w:sz w:val="21"/>
                <w:szCs w:val="21"/>
              </w:rPr>
              <w:t>Y</w:t>
            </w:r>
            <w:r>
              <w:rPr>
                <w:rFonts w:ascii="Calibri" w:eastAsia="Calibri" w:hAnsi="Calibri" w:cs="Calibri"/>
                <w:sz w:val="21"/>
                <w:szCs w:val="21"/>
              </w:rPr>
              <w:t xml:space="preserve"> - 0002 Company Access Setup (company/deal record)</w:t>
            </w:r>
          </w:p>
        </w:tc>
      </w:tr>
      <w:tr w:rsidR="004511FD" w14:paraId="7C0E3817" w14:textId="77777777">
        <w:tblPrEx>
          <w:tblCellMar>
            <w:top w:w="0" w:type="dxa"/>
            <w:bottom w:w="0" w:type="dxa"/>
          </w:tblCellMar>
        </w:tblPrEx>
        <w:tc>
          <w:tcPr>
            <w:tcW w:w="3100" w:type="dxa"/>
            <w:tcMar>
              <w:top w:w="80" w:type="dxa"/>
              <w:left w:w="100" w:type="dxa"/>
              <w:bottom w:w="80" w:type="dxa"/>
              <w:right w:w="100" w:type="dxa"/>
            </w:tcMar>
            <w:vAlign w:val="center"/>
          </w:tcPr>
          <w:p w14:paraId="0A5F8F7D" w14:textId="77777777" w:rsidR="004511FD" w:rsidRDefault="00000000">
            <w:r>
              <w:rPr>
                <w:rFonts w:ascii="Calibri" w:eastAsia="Calibri" w:hAnsi="Calibri" w:cs="Calibri"/>
                <w:sz w:val="21"/>
                <w:szCs w:val="21"/>
              </w:rPr>
              <w:t>Aggregated usage rollups (by user, by company, by event type, by period)</w:t>
            </w:r>
          </w:p>
        </w:tc>
        <w:tc>
          <w:tcPr>
            <w:tcW w:w="1400" w:type="dxa"/>
            <w:tcMar>
              <w:top w:w="80" w:type="dxa"/>
              <w:left w:w="100" w:type="dxa"/>
              <w:bottom w:w="80" w:type="dxa"/>
              <w:right w:w="100" w:type="dxa"/>
            </w:tcMar>
            <w:vAlign w:val="center"/>
          </w:tcPr>
          <w:p w14:paraId="0F106ACE" w14:textId="77777777" w:rsidR="004511FD" w:rsidRDefault="00000000">
            <w:r>
              <w:rPr>
                <w:rFonts w:ascii="Calibri" w:eastAsia="Calibri" w:hAnsi="Calibri" w:cs="Calibri"/>
                <w:sz w:val="21"/>
                <w:szCs w:val="21"/>
              </w:rPr>
              <w:t>Read/Write</w:t>
            </w:r>
          </w:p>
        </w:tc>
        <w:tc>
          <w:tcPr>
            <w:tcW w:w="4850" w:type="dxa"/>
            <w:tcMar>
              <w:top w:w="80" w:type="dxa"/>
              <w:left w:w="100" w:type="dxa"/>
              <w:bottom w:w="80" w:type="dxa"/>
              <w:right w:w="100" w:type="dxa"/>
            </w:tcMar>
            <w:vAlign w:val="center"/>
          </w:tcPr>
          <w:p w14:paraId="03DE23C0" w14:textId="77777777" w:rsidR="004511FD" w:rsidRDefault="00000000">
            <w:r>
              <w:rPr>
                <w:rFonts w:ascii="Calibri" w:eastAsia="Calibri" w:hAnsi="Calibri" w:cs="Calibri"/>
                <w:sz w:val="21"/>
                <w:szCs w:val="21"/>
              </w:rPr>
              <w:t>Derived from Usage Event table; consumed by admin usage dashboard</w:t>
            </w:r>
          </w:p>
        </w:tc>
      </w:tr>
      <w:tr w:rsidR="004511FD" w14:paraId="57CFC3AF" w14:textId="77777777">
        <w:tblPrEx>
          <w:tblCellMar>
            <w:top w:w="0" w:type="dxa"/>
            <w:bottom w:w="0" w:type="dxa"/>
          </w:tblCellMar>
        </w:tblPrEx>
        <w:tc>
          <w:tcPr>
            <w:tcW w:w="3100" w:type="dxa"/>
            <w:tcMar>
              <w:top w:w="80" w:type="dxa"/>
              <w:left w:w="100" w:type="dxa"/>
              <w:bottom w:w="80" w:type="dxa"/>
              <w:right w:w="100" w:type="dxa"/>
            </w:tcMar>
            <w:vAlign w:val="center"/>
          </w:tcPr>
          <w:p w14:paraId="488AC52A" w14:textId="77777777" w:rsidR="004511FD" w:rsidRDefault="00000000">
            <w:r>
              <w:rPr>
                <w:rFonts w:ascii="Calibri" w:eastAsia="Calibri" w:hAnsi="Calibri" w:cs="Calibri"/>
                <w:sz w:val="21"/>
                <w:szCs w:val="21"/>
              </w:rPr>
              <w:t>Provider rate/cost table (per-unit cost by AI model, OCR engine, or data provider)</w:t>
            </w:r>
          </w:p>
        </w:tc>
        <w:tc>
          <w:tcPr>
            <w:tcW w:w="1400" w:type="dxa"/>
            <w:tcMar>
              <w:top w:w="80" w:type="dxa"/>
              <w:left w:w="100" w:type="dxa"/>
              <w:bottom w:w="80" w:type="dxa"/>
              <w:right w:w="100" w:type="dxa"/>
            </w:tcMar>
            <w:vAlign w:val="center"/>
          </w:tcPr>
          <w:p w14:paraId="0EBAAB03" w14:textId="77777777" w:rsidR="004511FD" w:rsidRDefault="00000000">
            <w:r>
              <w:rPr>
                <w:rFonts w:ascii="Calibri" w:eastAsia="Calibri" w:hAnsi="Calibri" w:cs="Calibri"/>
                <w:sz w:val="21"/>
                <w:szCs w:val="21"/>
              </w:rPr>
              <w:t>Read</w:t>
            </w:r>
          </w:p>
        </w:tc>
        <w:tc>
          <w:tcPr>
            <w:tcW w:w="4850" w:type="dxa"/>
            <w:tcMar>
              <w:top w:w="80" w:type="dxa"/>
              <w:left w:w="100" w:type="dxa"/>
              <w:bottom w:w="80" w:type="dxa"/>
              <w:right w:w="100" w:type="dxa"/>
            </w:tcMar>
            <w:vAlign w:val="center"/>
          </w:tcPr>
          <w:p w14:paraId="2A3F41E5" w14:textId="77777777" w:rsidR="004511FD" w:rsidRDefault="00000000">
            <w:r>
              <w:rPr>
                <w:rFonts w:ascii="Calibri" w:eastAsia="Calibri" w:hAnsi="Calibri" w:cs="Calibri"/>
                <w:sz w:val="21"/>
                <w:szCs w:val="21"/>
              </w:rPr>
              <w:t>New Rate Reference table, maintained by internal admin (Admin/Internal Ops console — see Dependencies)</w:t>
            </w:r>
          </w:p>
        </w:tc>
      </w:tr>
      <w:tr w:rsidR="004511FD" w14:paraId="2F0109D4" w14:textId="77777777">
        <w:tblPrEx>
          <w:tblCellMar>
            <w:top w:w="0" w:type="dxa"/>
            <w:bottom w:w="0" w:type="dxa"/>
          </w:tblCellMar>
        </w:tblPrEx>
        <w:tc>
          <w:tcPr>
            <w:tcW w:w="3100" w:type="dxa"/>
            <w:tcMar>
              <w:top w:w="80" w:type="dxa"/>
              <w:left w:w="100" w:type="dxa"/>
              <w:bottom w:w="80" w:type="dxa"/>
              <w:right w:w="100" w:type="dxa"/>
            </w:tcMar>
            <w:vAlign w:val="center"/>
          </w:tcPr>
          <w:p w14:paraId="5892F414" w14:textId="77777777" w:rsidR="004511FD" w:rsidRDefault="00000000">
            <w:r>
              <w:rPr>
                <w:rFonts w:ascii="Calibri" w:eastAsia="Calibri" w:hAnsi="Calibri" w:cs="Calibri"/>
                <w:sz w:val="21"/>
                <w:szCs w:val="21"/>
              </w:rPr>
              <w:t>Market/transaction data provider query counts</w:t>
            </w:r>
          </w:p>
        </w:tc>
        <w:tc>
          <w:tcPr>
            <w:tcW w:w="1400" w:type="dxa"/>
            <w:tcMar>
              <w:top w:w="80" w:type="dxa"/>
              <w:left w:w="100" w:type="dxa"/>
              <w:bottom w:w="80" w:type="dxa"/>
              <w:right w:w="100" w:type="dxa"/>
            </w:tcMar>
            <w:vAlign w:val="center"/>
          </w:tcPr>
          <w:p w14:paraId="18AA8580" w14:textId="77777777" w:rsidR="004511FD" w:rsidRDefault="00000000">
            <w:r>
              <w:rPr>
                <w:rFonts w:ascii="Calibri" w:eastAsia="Calibri" w:hAnsi="Calibri" w:cs="Calibri"/>
                <w:sz w:val="21"/>
                <w:szCs w:val="21"/>
              </w:rPr>
              <w:t>Write</w:t>
            </w:r>
          </w:p>
        </w:tc>
        <w:tc>
          <w:tcPr>
            <w:tcW w:w="4850" w:type="dxa"/>
            <w:tcMar>
              <w:top w:w="80" w:type="dxa"/>
              <w:left w:w="100" w:type="dxa"/>
              <w:bottom w:w="80" w:type="dxa"/>
              <w:right w:w="100" w:type="dxa"/>
            </w:tcMar>
            <w:vAlign w:val="center"/>
          </w:tcPr>
          <w:p w14:paraId="60D037FF" w14:textId="77777777" w:rsidR="004511FD" w:rsidRDefault="00000000">
            <w:r>
              <w:rPr>
                <w:rFonts w:ascii="Calibri" w:eastAsia="Calibri" w:hAnsi="Calibri" w:cs="Calibri"/>
                <w:sz w:val="21"/>
                <w:szCs w:val="21"/>
              </w:rPr>
              <w:t>DR - 0008 Market &amp; Transaction Data Provider Integration</w:t>
            </w:r>
          </w:p>
        </w:tc>
      </w:tr>
    </w:tbl>
    <w:p w14:paraId="55E2DBD6" w14:textId="77777777" w:rsidR="004511FD" w:rsidRDefault="004511FD">
      <w:pPr>
        <w:spacing w:after="100"/>
      </w:pPr>
    </w:p>
    <w:p w14:paraId="7B188811" w14:textId="77777777" w:rsidR="004511FD" w:rsidRDefault="00000000">
      <w:pPr>
        <w:spacing w:after="120"/>
      </w:pPr>
      <w:r>
        <w:rPr>
          <w:rFonts w:ascii="Calibri" w:eastAsia="Calibri" w:hAnsi="Calibri" w:cs="Calibri"/>
          <w:i/>
          <w:iCs/>
          <w:color w:val="595959"/>
        </w:rPr>
        <w:t xml:space="preserve">Note: </w:t>
      </w:r>
      <w:proofErr w:type="gramStart"/>
      <w:r>
        <w:rPr>
          <w:rFonts w:ascii="Calibri" w:eastAsia="Calibri" w:hAnsi="Calibri" w:cs="Calibri"/>
          <w:i/>
          <w:iCs/>
          <w:color w:val="595959"/>
        </w:rPr>
        <w:t>the</w:t>
      </w:r>
      <w:proofErr w:type="gramEnd"/>
      <w:r>
        <w:rPr>
          <w:rFonts w:ascii="Calibri" w:eastAsia="Calibri" w:hAnsi="Calibri" w:cs="Calibri"/>
          <w:i/>
          <w:iCs/>
          <w:color w:val="595959"/>
        </w:rPr>
        <w:t xml:space="preserve"> Usage Event table is a new, system-level table and does not map cleanly to an existing DB - 0001 through DB - 0010 block, since those cover financial/GL data rather than platform telemetry. See Open Questions regarding where this table is architecturally housed relative to DB - 0010 (Table Blocks).</w:t>
      </w:r>
    </w:p>
    <w:p w14:paraId="7728E085"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lastRenderedPageBreak/>
        <w:t>5. Access &amp; Security</w:t>
      </w:r>
    </w:p>
    <w:p w14:paraId="763A4154" w14:textId="77777777" w:rsidR="004511FD" w:rsidRDefault="00000000">
      <w:pPr>
        <w:pStyle w:val="ListParagraph"/>
        <w:numPr>
          <w:ilvl w:val="0"/>
          <w:numId w:val="1"/>
        </w:numPr>
        <w:spacing w:after="80"/>
      </w:pPr>
      <w:r>
        <w:rPr>
          <w:rFonts w:ascii="Calibri" w:eastAsia="Calibri" w:hAnsi="Calibri" w:cs="Calibri"/>
          <w:sz w:val="22"/>
          <w:szCs w:val="22"/>
        </w:rPr>
        <w:t xml:space="preserve">Roles with access: </w:t>
      </w:r>
      <w:proofErr w:type="spellStart"/>
      <w:r>
        <w:rPr>
          <w:rFonts w:ascii="Calibri" w:eastAsia="Calibri" w:hAnsi="Calibri" w:cs="Calibri"/>
          <w:sz w:val="22"/>
          <w:szCs w:val="22"/>
        </w:rPr>
        <w:t>Centuriuum</w:t>
      </w:r>
      <w:proofErr w:type="spellEnd"/>
      <w:r>
        <w:rPr>
          <w:rFonts w:ascii="Calibri" w:eastAsia="Calibri" w:hAnsi="Calibri" w:cs="Calibri"/>
          <w:sz w:val="22"/>
          <w:szCs w:val="22"/>
        </w:rPr>
        <w:t xml:space="preserve"> internal admin/ops only, via the internal usage dashboard.</w:t>
      </w:r>
    </w:p>
    <w:p w14:paraId="33E92CD3" w14:textId="77777777" w:rsidR="004511FD" w:rsidRDefault="00000000">
      <w:pPr>
        <w:pStyle w:val="ListParagraph"/>
        <w:numPr>
          <w:ilvl w:val="0"/>
          <w:numId w:val="1"/>
        </w:numPr>
        <w:spacing w:after="80"/>
      </w:pPr>
      <w:r>
        <w:rPr>
          <w:rFonts w:ascii="Calibri" w:eastAsia="Calibri" w:hAnsi="Calibri" w:cs="Calibri"/>
          <w:sz w:val="22"/>
          <w:szCs w:val="22"/>
        </w:rPr>
        <w:t>Roles explicitly excluded: Broker, Bank, Buyer, Company, Accountant — no user-facing role sees usage or cost data in this phase. Usage metering is an internal cost-management tool, not a customer-facing feature, in this version.</w:t>
      </w:r>
    </w:p>
    <w:p w14:paraId="1369777E" w14:textId="77777777" w:rsidR="004511FD" w:rsidRDefault="00000000">
      <w:pPr>
        <w:pStyle w:val="ListParagraph"/>
        <w:numPr>
          <w:ilvl w:val="0"/>
          <w:numId w:val="1"/>
        </w:numPr>
        <w:spacing w:after="80"/>
      </w:pPr>
      <w:r>
        <w:rPr>
          <w:rFonts w:ascii="Calibri" w:eastAsia="Calibri" w:hAnsi="Calibri" w:cs="Calibri"/>
          <w:sz w:val="22"/>
          <w:szCs w:val="22"/>
        </w:rPr>
        <w:t>Deal isolation confirmed: usage data may reference a company/deal ID for aggregation purposes, but the internal admin dashboard is a cross-deal, cross-company reporting surface by design (that is its purpose — identifying company/deal-level cost outliers across the platform). This is an intentional exception to standard deal isolation and is limited strictly to internal admin roles; it must never be exposed to any deal-participant role (Broker, Bank, Buyer, Company, Accountant), each of whom continues to see only their own deal's data with no visibility into usage or cost.</w:t>
      </w:r>
    </w:p>
    <w:p w14:paraId="5019D246"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6. UI / UX Notes</w:t>
      </w:r>
    </w:p>
    <w:p w14:paraId="09A4956F" w14:textId="77777777" w:rsidR="004511FD" w:rsidRDefault="00000000">
      <w:pPr>
        <w:pStyle w:val="ListParagraph"/>
        <w:numPr>
          <w:ilvl w:val="0"/>
          <w:numId w:val="1"/>
        </w:numPr>
        <w:spacing w:after="80"/>
      </w:pPr>
      <w:r>
        <w:rPr>
          <w:rFonts w:ascii="Calibri" w:eastAsia="Calibri" w:hAnsi="Calibri" w:cs="Calibri"/>
          <w:sz w:val="22"/>
          <w:szCs w:val="22"/>
        </w:rPr>
        <w:t>Platform: Web only. This is an internal admin tool; no mobile requirement.</w:t>
      </w:r>
    </w:p>
    <w:p w14:paraId="0A057A2D" w14:textId="77777777" w:rsidR="004511FD" w:rsidRDefault="00000000">
      <w:pPr>
        <w:pStyle w:val="ListParagraph"/>
        <w:numPr>
          <w:ilvl w:val="0"/>
          <w:numId w:val="1"/>
        </w:numPr>
        <w:spacing w:after="80"/>
      </w:pPr>
      <w:r>
        <w:rPr>
          <w:rFonts w:ascii="Calibri" w:eastAsia="Calibri" w:hAnsi="Calibri" w:cs="Calibri"/>
          <w:sz w:val="22"/>
          <w:szCs w:val="22"/>
        </w:rPr>
        <w:t>Wireframe reference: N/A</w:t>
      </w:r>
    </w:p>
    <w:p w14:paraId="0F2CC254" w14:textId="77777777" w:rsidR="004511FD" w:rsidRDefault="00000000">
      <w:pPr>
        <w:spacing w:after="120"/>
      </w:pPr>
      <w:r>
        <w:rPr>
          <w:rFonts w:ascii="Calibri" w:eastAsia="Calibri" w:hAnsi="Calibri" w:cs="Calibri"/>
          <w:sz w:val="22"/>
          <w:szCs w:val="22"/>
        </w:rPr>
        <w:t>Usage dashboard should support tabular and simple chart views (usage/cost over time, by user, by company/deal, by event type). No specific visual design is prescribed here — functional filtering and export (e.g., CSV) are the priority for this phase over polish.</w:t>
      </w:r>
    </w:p>
    <w:p w14:paraId="4327C9E9"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7. Dependencies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50"/>
      </w:tblGrid>
      <w:tr w:rsidR="004511FD" w14:paraId="4E08F937"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6879CEBA" w14:textId="77777777" w:rsidR="004511FD" w:rsidRDefault="00000000">
            <w:r>
              <w:rPr>
                <w:rFonts w:ascii="Calibri" w:eastAsia="Calibri" w:hAnsi="Calibri" w:cs="Calibri"/>
                <w:b/>
                <w:bCs/>
                <w:sz w:val="21"/>
                <w:szCs w:val="21"/>
              </w:rPr>
              <w:t>Related Feature</w:t>
            </w:r>
          </w:p>
        </w:tc>
        <w:tc>
          <w:tcPr>
            <w:tcW w:w="1800" w:type="dxa"/>
            <w:shd w:val="clear" w:color="auto" w:fill="F2F2F2"/>
            <w:tcMar>
              <w:top w:w="80" w:type="dxa"/>
              <w:left w:w="100" w:type="dxa"/>
              <w:bottom w:w="80" w:type="dxa"/>
              <w:right w:w="100" w:type="dxa"/>
            </w:tcMar>
            <w:vAlign w:val="center"/>
          </w:tcPr>
          <w:p w14:paraId="23FCA2AB" w14:textId="77777777" w:rsidR="004511FD" w:rsidRDefault="00000000">
            <w:r>
              <w:rPr>
                <w:rFonts w:ascii="Calibri" w:eastAsia="Calibri" w:hAnsi="Calibri" w:cs="Calibri"/>
                <w:b/>
                <w:bCs/>
                <w:sz w:val="21"/>
                <w:szCs w:val="21"/>
              </w:rPr>
              <w:t>Relationship</w:t>
            </w:r>
          </w:p>
        </w:tc>
        <w:tc>
          <w:tcPr>
            <w:tcW w:w="5950" w:type="dxa"/>
            <w:shd w:val="clear" w:color="auto" w:fill="F2F2F2"/>
            <w:tcMar>
              <w:top w:w="80" w:type="dxa"/>
              <w:left w:w="100" w:type="dxa"/>
              <w:bottom w:w="80" w:type="dxa"/>
              <w:right w:w="100" w:type="dxa"/>
            </w:tcMar>
            <w:vAlign w:val="center"/>
          </w:tcPr>
          <w:p w14:paraId="2DF93F95" w14:textId="77777777" w:rsidR="004511FD" w:rsidRDefault="00000000">
            <w:r>
              <w:rPr>
                <w:rFonts w:ascii="Calibri" w:eastAsia="Calibri" w:hAnsi="Calibri" w:cs="Calibri"/>
                <w:b/>
                <w:bCs/>
                <w:sz w:val="21"/>
                <w:szCs w:val="21"/>
              </w:rPr>
              <w:t>Notes</w:t>
            </w:r>
          </w:p>
        </w:tc>
      </w:tr>
      <w:tr w:rsidR="004511FD" w14:paraId="21644132" w14:textId="77777777">
        <w:tblPrEx>
          <w:tblCellMar>
            <w:top w:w="0" w:type="dxa"/>
            <w:bottom w:w="0" w:type="dxa"/>
          </w:tblCellMar>
        </w:tblPrEx>
        <w:tc>
          <w:tcPr>
            <w:tcW w:w="1600" w:type="dxa"/>
            <w:tcMar>
              <w:top w:w="80" w:type="dxa"/>
              <w:left w:w="100" w:type="dxa"/>
              <w:bottom w:w="80" w:type="dxa"/>
              <w:right w:w="100" w:type="dxa"/>
            </w:tcMar>
            <w:vAlign w:val="center"/>
          </w:tcPr>
          <w:p w14:paraId="494D94C3" w14:textId="0A56CE40" w:rsidR="004511FD" w:rsidRDefault="00000000">
            <w:r>
              <w:rPr>
                <w:rFonts w:ascii="Calibri" w:eastAsia="Calibri" w:hAnsi="Calibri" w:cs="Calibri"/>
                <w:sz w:val="21"/>
                <w:szCs w:val="21"/>
              </w:rPr>
              <w:t>S</w:t>
            </w:r>
            <w:r w:rsidR="005C7689">
              <w:rPr>
                <w:rFonts w:ascii="Calibri" w:eastAsia="Calibri" w:hAnsi="Calibri" w:cs="Calibri"/>
                <w:sz w:val="21"/>
                <w:szCs w:val="21"/>
              </w:rPr>
              <w:t>Y</w:t>
            </w:r>
            <w:r>
              <w:rPr>
                <w:rFonts w:ascii="Calibri" w:eastAsia="Calibri" w:hAnsi="Calibri" w:cs="Calibri"/>
                <w:sz w:val="21"/>
                <w:szCs w:val="21"/>
              </w:rPr>
              <w:t xml:space="preserve"> - 0003</w:t>
            </w:r>
          </w:p>
        </w:tc>
        <w:tc>
          <w:tcPr>
            <w:tcW w:w="1800" w:type="dxa"/>
            <w:tcMar>
              <w:top w:w="80" w:type="dxa"/>
              <w:left w:w="100" w:type="dxa"/>
              <w:bottom w:w="80" w:type="dxa"/>
              <w:right w:w="100" w:type="dxa"/>
            </w:tcMar>
            <w:vAlign w:val="center"/>
          </w:tcPr>
          <w:p w14:paraId="4050D841" w14:textId="77777777" w:rsidR="004511FD" w:rsidRDefault="00000000">
            <w:r>
              <w:rPr>
                <w:rFonts w:ascii="Calibri" w:eastAsia="Calibri" w:hAnsi="Calibri" w:cs="Calibri"/>
                <w:sz w:val="21"/>
                <w:szCs w:val="21"/>
              </w:rPr>
              <w:t>Runs in tandem with</w:t>
            </w:r>
          </w:p>
        </w:tc>
        <w:tc>
          <w:tcPr>
            <w:tcW w:w="5950" w:type="dxa"/>
            <w:tcMar>
              <w:top w:w="80" w:type="dxa"/>
              <w:left w:w="100" w:type="dxa"/>
              <w:bottom w:w="80" w:type="dxa"/>
              <w:right w:w="100" w:type="dxa"/>
            </w:tcMar>
            <w:vAlign w:val="center"/>
          </w:tcPr>
          <w:p w14:paraId="7885002A" w14:textId="77777777" w:rsidR="004511FD" w:rsidRDefault="00000000">
            <w:r>
              <w:rPr>
                <w:rFonts w:ascii="Calibri" w:eastAsia="Calibri" w:hAnsi="Calibri" w:cs="Calibri"/>
                <w:sz w:val="21"/>
                <w:szCs w:val="21"/>
              </w:rPr>
              <w:t>Usage Event table is a sibling data stream to the Activity &amp; Audit Log, not a subsection of it. Usage events are not surfaced in the audit log UI, but both should share the same underlying event-capture pattern (user, company/deal, timestamp, IP where applicable) so the two can be correlated later if needed.</w:t>
            </w:r>
          </w:p>
        </w:tc>
      </w:tr>
      <w:tr w:rsidR="004511FD" w14:paraId="71D7C2E2" w14:textId="77777777">
        <w:tblPrEx>
          <w:tblCellMar>
            <w:top w:w="0" w:type="dxa"/>
            <w:bottom w:w="0" w:type="dxa"/>
          </w:tblCellMar>
        </w:tblPrEx>
        <w:tc>
          <w:tcPr>
            <w:tcW w:w="1600" w:type="dxa"/>
            <w:tcMar>
              <w:top w:w="80" w:type="dxa"/>
              <w:left w:w="100" w:type="dxa"/>
              <w:bottom w:w="80" w:type="dxa"/>
              <w:right w:w="100" w:type="dxa"/>
            </w:tcMar>
            <w:vAlign w:val="center"/>
          </w:tcPr>
          <w:p w14:paraId="1E25F169" w14:textId="400656FE" w:rsidR="004511FD" w:rsidRDefault="00000000">
            <w:r>
              <w:rPr>
                <w:rFonts w:ascii="Calibri" w:eastAsia="Calibri" w:hAnsi="Calibri" w:cs="Calibri"/>
                <w:sz w:val="21"/>
                <w:szCs w:val="21"/>
              </w:rPr>
              <w:t>S</w:t>
            </w:r>
            <w:r w:rsidR="005C7689">
              <w:rPr>
                <w:rFonts w:ascii="Calibri" w:eastAsia="Calibri" w:hAnsi="Calibri" w:cs="Calibri"/>
                <w:sz w:val="21"/>
                <w:szCs w:val="21"/>
              </w:rPr>
              <w:t>Y</w:t>
            </w:r>
            <w:r>
              <w:rPr>
                <w:rFonts w:ascii="Calibri" w:eastAsia="Calibri" w:hAnsi="Calibri" w:cs="Calibri"/>
                <w:sz w:val="21"/>
                <w:szCs w:val="21"/>
              </w:rPr>
              <w:t xml:space="preserve"> - 0001 / S</w:t>
            </w:r>
            <w:r w:rsidR="005C7689">
              <w:rPr>
                <w:rFonts w:ascii="Calibri" w:eastAsia="Calibri" w:hAnsi="Calibri" w:cs="Calibri"/>
                <w:sz w:val="21"/>
                <w:szCs w:val="21"/>
              </w:rPr>
              <w:t>Y</w:t>
            </w:r>
            <w:r>
              <w:rPr>
                <w:rFonts w:ascii="Calibri" w:eastAsia="Calibri" w:hAnsi="Calibri" w:cs="Calibri"/>
                <w:sz w:val="21"/>
                <w:szCs w:val="21"/>
              </w:rPr>
              <w:t xml:space="preserve"> - 0002</w:t>
            </w:r>
          </w:p>
        </w:tc>
        <w:tc>
          <w:tcPr>
            <w:tcW w:w="1800" w:type="dxa"/>
            <w:tcMar>
              <w:top w:w="80" w:type="dxa"/>
              <w:left w:w="100" w:type="dxa"/>
              <w:bottom w:w="80" w:type="dxa"/>
              <w:right w:w="100" w:type="dxa"/>
            </w:tcMar>
            <w:vAlign w:val="center"/>
          </w:tcPr>
          <w:p w14:paraId="30AAFF3E" w14:textId="77777777" w:rsidR="004511FD" w:rsidRDefault="00000000">
            <w:r>
              <w:rPr>
                <w:rFonts w:ascii="Calibri" w:eastAsia="Calibri" w:hAnsi="Calibri" w:cs="Calibri"/>
                <w:sz w:val="21"/>
                <w:szCs w:val="21"/>
              </w:rPr>
              <w:t>Depends on</w:t>
            </w:r>
          </w:p>
        </w:tc>
        <w:tc>
          <w:tcPr>
            <w:tcW w:w="5950" w:type="dxa"/>
            <w:tcMar>
              <w:top w:w="80" w:type="dxa"/>
              <w:left w:w="100" w:type="dxa"/>
              <w:bottom w:w="80" w:type="dxa"/>
              <w:right w:w="100" w:type="dxa"/>
            </w:tcMar>
            <w:vAlign w:val="center"/>
          </w:tcPr>
          <w:p w14:paraId="2B0ECCE9" w14:textId="77777777" w:rsidR="004511FD" w:rsidRDefault="00000000">
            <w:r>
              <w:rPr>
                <w:rFonts w:ascii="Calibri" w:eastAsia="Calibri" w:hAnsi="Calibri" w:cs="Calibri"/>
                <w:sz w:val="21"/>
                <w:szCs w:val="21"/>
              </w:rPr>
              <w:t>Usage must be attributable to a specific user and a specific company/deal, which requires role and company-access records to already exist.</w:t>
            </w:r>
          </w:p>
        </w:tc>
      </w:tr>
      <w:tr w:rsidR="004511FD" w14:paraId="0E8172F2" w14:textId="77777777">
        <w:tblPrEx>
          <w:tblCellMar>
            <w:top w:w="0" w:type="dxa"/>
            <w:bottom w:w="0" w:type="dxa"/>
          </w:tblCellMar>
        </w:tblPrEx>
        <w:tc>
          <w:tcPr>
            <w:tcW w:w="1600" w:type="dxa"/>
            <w:tcMar>
              <w:top w:w="80" w:type="dxa"/>
              <w:left w:w="100" w:type="dxa"/>
              <w:bottom w:w="80" w:type="dxa"/>
              <w:right w:w="100" w:type="dxa"/>
            </w:tcMar>
            <w:vAlign w:val="center"/>
          </w:tcPr>
          <w:p w14:paraId="7D5C59CD" w14:textId="77777777" w:rsidR="004511FD" w:rsidRDefault="00000000">
            <w:r>
              <w:rPr>
                <w:rFonts w:ascii="Calibri" w:eastAsia="Calibri" w:hAnsi="Calibri" w:cs="Calibri"/>
                <w:sz w:val="21"/>
                <w:szCs w:val="21"/>
              </w:rPr>
              <w:t>DR - 0008</w:t>
            </w:r>
          </w:p>
        </w:tc>
        <w:tc>
          <w:tcPr>
            <w:tcW w:w="1800" w:type="dxa"/>
            <w:tcMar>
              <w:top w:w="80" w:type="dxa"/>
              <w:left w:w="100" w:type="dxa"/>
              <w:bottom w:w="80" w:type="dxa"/>
              <w:right w:w="100" w:type="dxa"/>
            </w:tcMar>
            <w:vAlign w:val="center"/>
          </w:tcPr>
          <w:p w14:paraId="5AEDF77F" w14:textId="77777777" w:rsidR="004511FD" w:rsidRDefault="00000000">
            <w:proofErr w:type="gramStart"/>
            <w:r>
              <w:rPr>
                <w:rFonts w:ascii="Calibri" w:eastAsia="Calibri" w:hAnsi="Calibri" w:cs="Calibri"/>
                <w:sz w:val="21"/>
                <w:szCs w:val="21"/>
              </w:rPr>
              <w:t>Depends</w:t>
            </w:r>
            <w:proofErr w:type="gramEnd"/>
            <w:r>
              <w:rPr>
                <w:rFonts w:ascii="Calibri" w:eastAsia="Calibri" w:hAnsi="Calibri" w:cs="Calibri"/>
                <w:sz w:val="21"/>
                <w:szCs w:val="21"/>
              </w:rPr>
              <w:t xml:space="preserve"> on / Informs</w:t>
            </w:r>
          </w:p>
        </w:tc>
        <w:tc>
          <w:tcPr>
            <w:tcW w:w="5950" w:type="dxa"/>
            <w:tcMar>
              <w:top w:w="80" w:type="dxa"/>
              <w:left w:w="100" w:type="dxa"/>
              <w:bottom w:w="80" w:type="dxa"/>
              <w:right w:w="100" w:type="dxa"/>
            </w:tcMar>
            <w:vAlign w:val="center"/>
          </w:tcPr>
          <w:p w14:paraId="763C9DDF" w14:textId="77777777" w:rsidR="004511FD" w:rsidRDefault="00000000">
            <w:r>
              <w:rPr>
                <w:rFonts w:ascii="Calibri" w:eastAsia="Calibri" w:hAnsi="Calibri" w:cs="Calibri"/>
                <w:sz w:val="21"/>
                <w:szCs w:val="21"/>
              </w:rPr>
              <w:t>Market &amp; Transaction Data Provider Integration already calls for per-user, per-engagement metering of paid data provider queries. This feature is the shared metering layer DR - 0008 should plug into rather than building its own.</w:t>
            </w:r>
          </w:p>
        </w:tc>
      </w:tr>
      <w:tr w:rsidR="004511FD" w14:paraId="6E10A3BB" w14:textId="77777777">
        <w:tblPrEx>
          <w:tblCellMar>
            <w:top w:w="0" w:type="dxa"/>
            <w:bottom w:w="0" w:type="dxa"/>
          </w:tblCellMar>
        </w:tblPrEx>
        <w:tc>
          <w:tcPr>
            <w:tcW w:w="1600" w:type="dxa"/>
            <w:tcMar>
              <w:top w:w="80" w:type="dxa"/>
              <w:left w:w="100" w:type="dxa"/>
              <w:bottom w:w="80" w:type="dxa"/>
              <w:right w:w="100" w:type="dxa"/>
            </w:tcMar>
            <w:vAlign w:val="center"/>
          </w:tcPr>
          <w:p w14:paraId="17235601" w14:textId="77777777" w:rsidR="004511FD" w:rsidRDefault="00000000">
            <w:r>
              <w:rPr>
                <w:rFonts w:ascii="Calibri" w:eastAsia="Calibri" w:hAnsi="Calibri" w:cs="Calibri"/>
                <w:sz w:val="21"/>
                <w:szCs w:val="21"/>
              </w:rPr>
              <w:t>Admin / Internal Ops console (cross-cutting gap)</w:t>
            </w:r>
          </w:p>
        </w:tc>
        <w:tc>
          <w:tcPr>
            <w:tcW w:w="1800" w:type="dxa"/>
            <w:tcMar>
              <w:top w:w="80" w:type="dxa"/>
              <w:left w:w="100" w:type="dxa"/>
              <w:bottom w:w="80" w:type="dxa"/>
              <w:right w:w="100" w:type="dxa"/>
            </w:tcMar>
            <w:vAlign w:val="center"/>
          </w:tcPr>
          <w:p w14:paraId="41A71EA8" w14:textId="77777777" w:rsidR="004511FD" w:rsidRDefault="00000000">
            <w:r>
              <w:rPr>
                <w:rFonts w:ascii="Calibri" w:eastAsia="Calibri" w:hAnsi="Calibri" w:cs="Calibri"/>
                <w:sz w:val="21"/>
                <w:szCs w:val="21"/>
              </w:rPr>
              <w:t>Blocks (partial)</w:t>
            </w:r>
          </w:p>
        </w:tc>
        <w:tc>
          <w:tcPr>
            <w:tcW w:w="5950" w:type="dxa"/>
            <w:tcMar>
              <w:top w:w="80" w:type="dxa"/>
              <w:left w:w="100" w:type="dxa"/>
              <w:bottom w:w="80" w:type="dxa"/>
              <w:right w:w="100" w:type="dxa"/>
            </w:tcMar>
            <w:vAlign w:val="center"/>
          </w:tcPr>
          <w:p w14:paraId="434FF902" w14:textId="77777777" w:rsidR="004511FD" w:rsidRDefault="00000000">
            <w:r>
              <w:rPr>
                <w:rFonts w:ascii="Calibri" w:eastAsia="Calibri" w:hAnsi="Calibri" w:cs="Calibri"/>
                <w:sz w:val="21"/>
                <w:szCs w:val="21"/>
              </w:rPr>
              <w:t>The internal-facing usage dashboard and rate-table maintenance described in this spec assume an internal admin console exists. No feature ID yet — see Open Questions.</w:t>
            </w:r>
          </w:p>
        </w:tc>
      </w:tr>
      <w:tr w:rsidR="004511FD" w14:paraId="3DDCC430" w14:textId="77777777">
        <w:tblPrEx>
          <w:tblCellMar>
            <w:top w:w="0" w:type="dxa"/>
            <w:bottom w:w="0" w:type="dxa"/>
          </w:tblCellMar>
        </w:tblPrEx>
        <w:tc>
          <w:tcPr>
            <w:tcW w:w="1600" w:type="dxa"/>
            <w:tcMar>
              <w:top w:w="80" w:type="dxa"/>
              <w:left w:w="100" w:type="dxa"/>
              <w:bottom w:w="80" w:type="dxa"/>
              <w:right w:w="100" w:type="dxa"/>
            </w:tcMar>
            <w:vAlign w:val="center"/>
          </w:tcPr>
          <w:p w14:paraId="0F662D41" w14:textId="77777777" w:rsidR="004511FD" w:rsidRDefault="00000000">
            <w:r>
              <w:rPr>
                <w:rFonts w:ascii="Calibri" w:eastAsia="Calibri" w:hAnsi="Calibri" w:cs="Calibri"/>
                <w:sz w:val="21"/>
                <w:szCs w:val="21"/>
              </w:rPr>
              <w:t>Referral / commission tracking (cross-cutting gap)</w:t>
            </w:r>
          </w:p>
        </w:tc>
        <w:tc>
          <w:tcPr>
            <w:tcW w:w="1800" w:type="dxa"/>
            <w:tcMar>
              <w:top w:w="80" w:type="dxa"/>
              <w:left w:w="100" w:type="dxa"/>
              <w:bottom w:w="80" w:type="dxa"/>
              <w:right w:w="100" w:type="dxa"/>
            </w:tcMar>
            <w:vAlign w:val="center"/>
          </w:tcPr>
          <w:p w14:paraId="5DE2D4E1" w14:textId="77777777" w:rsidR="004511FD" w:rsidRDefault="00000000">
            <w:r>
              <w:rPr>
                <w:rFonts w:ascii="Calibri" w:eastAsia="Calibri" w:hAnsi="Calibri" w:cs="Calibri"/>
                <w:sz w:val="21"/>
                <w:szCs w:val="21"/>
              </w:rPr>
              <w:t>Related, not blocking</w:t>
            </w:r>
          </w:p>
        </w:tc>
        <w:tc>
          <w:tcPr>
            <w:tcW w:w="5950" w:type="dxa"/>
            <w:tcMar>
              <w:top w:w="80" w:type="dxa"/>
              <w:left w:w="100" w:type="dxa"/>
              <w:bottom w:w="80" w:type="dxa"/>
              <w:right w:w="100" w:type="dxa"/>
            </w:tcMar>
            <w:vAlign w:val="center"/>
          </w:tcPr>
          <w:p w14:paraId="620D9367" w14:textId="77777777" w:rsidR="004511FD" w:rsidRDefault="00000000">
            <w:r>
              <w:rPr>
                <w:rFonts w:ascii="Calibri" w:eastAsia="Calibri" w:hAnsi="Calibri" w:cs="Calibri"/>
                <w:sz w:val="21"/>
                <w:szCs w:val="21"/>
              </w:rPr>
              <w:t>Any future rebilling of metered costs to end users/brokerages will likely route through the same commercial layer as referral/commission tracking. Not required for this phase since rebilling is deferred.</w:t>
            </w:r>
          </w:p>
        </w:tc>
      </w:tr>
    </w:tbl>
    <w:p w14:paraId="595F433F"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8. Out of Scope / Deferred</w:t>
      </w:r>
    </w:p>
    <w:p w14:paraId="36A3B19D" w14:textId="77777777" w:rsidR="004511FD" w:rsidRDefault="00000000">
      <w:pPr>
        <w:pStyle w:val="ListParagraph"/>
        <w:numPr>
          <w:ilvl w:val="0"/>
          <w:numId w:val="1"/>
        </w:numPr>
        <w:spacing w:after="80"/>
      </w:pPr>
      <w:r>
        <w:rPr>
          <w:rFonts w:ascii="Calibri" w:eastAsia="Calibri" w:hAnsi="Calibri" w:cs="Calibri"/>
          <w:sz w:val="22"/>
          <w:szCs w:val="22"/>
        </w:rPr>
        <w:lastRenderedPageBreak/>
        <w:t>Any hard usage cap, throttling, or blocking of users based on volume — deferred to a future spec once cost drivers are understood.</w:t>
      </w:r>
    </w:p>
    <w:p w14:paraId="40E192D3" w14:textId="77777777" w:rsidR="004511FD" w:rsidRDefault="00000000">
      <w:pPr>
        <w:pStyle w:val="ListParagraph"/>
        <w:numPr>
          <w:ilvl w:val="0"/>
          <w:numId w:val="1"/>
        </w:numPr>
        <w:spacing w:after="80"/>
      </w:pPr>
      <w:r>
        <w:rPr>
          <w:rFonts w:ascii="Calibri" w:eastAsia="Calibri" w:hAnsi="Calibri" w:cs="Calibri"/>
          <w:sz w:val="22"/>
          <w:szCs w:val="22"/>
        </w:rPr>
        <w:t xml:space="preserve">Customer-facing pricing model (fixed allotment vs. meter-plus-margin vs. </w:t>
      </w:r>
      <w:proofErr w:type="gramStart"/>
      <w:r>
        <w:rPr>
          <w:rFonts w:ascii="Calibri" w:eastAsia="Calibri" w:hAnsi="Calibri" w:cs="Calibri"/>
          <w:sz w:val="22"/>
          <w:szCs w:val="22"/>
        </w:rPr>
        <w:t>subscription) —</w:t>
      </w:r>
      <w:proofErr w:type="gramEnd"/>
      <w:r>
        <w:rPr>
          <w:rFonts w:ascii="Calibri" w:eastAsia="Calibri" w:hAnsi="Calibri" w:cs="Calibri"/>
          <w:sz w:val="22"/>
          <w:szCs w:val="22"/>
        </w:rPr>
        <w:t xml:space="preserve"> deferred to a future spec. This feature only builds the data layer that a future pricing decision would depend on.</w:t>
      </w:r>
    </w:p>
    <w:p w14:paraId="28CA8ABC" w14:textId="77777777" w:rsidR="004511FD" w:rsidRDefault="00000000">
      <w:pPr>
        <w:pStyle w:val="ListParagraph"/>
        <w:numPr>
          <w:ilvl w:val="0"/>
          <w:numId w:val="1"/>
        </w:numPr>
        <w:spacing w:after="80"/>
      </w:pPr>
      <w:r>
        <w:rPr>
          <w:rFonts w:ascii="Calibri" w:eastAsia="Calibri" w:hAnsi="Calibri" w:cs="Calibri"/>
          <w:sz w:val="22"/>
          <w:szCs w:val="22"/>
        </w:rPr>
        <w:t xml:space="preserve">Rebilling or invoicing of metered costs to brokerages/users — deferred; would likely depend on the Referral / Commission Tracking cross-cutting gap and/or a billing system not yet </w:t>
      </w:r>
      <w:proofErr w:type="spellStart"/>
      <w:r>
        <w:rPr>
          <w:rFonts w:ascii="Calibri" w:eastAsia="Calibri" w:hAnsi="Calibri" w:cs="Calibri"/>
          <w:sz w:val="22"/>
          <w:szCs w:val="22"/>
        </w:rPr>
        <w:t>specced</w:t>
      </w:r>
      <w:proofErr w:type="spellEnd"/>
      <w:r>
        <w:rPr>
          <w:rFonts w:ascii="Calibri" w:eastAsia="Calibri" w:hAnsi="Calibri" w:cs="Calibri"/>
          <w:sz w:val="22"/>
          <w:szCs w:val="22"/>
        </w:rPr>
        <w:t>.</w:t>
      </w:r>
    </w:p>
    <w:p w14:paraId="7D391F37" w14:textId="77777777" w:rsidR="004511FD" w:rsidRDefault="00000000">
      <w:pPr>
        <w:pStyle w:val="ListParagraph"/>
        <w:numPr>
          <w:ilvl w:val="0"/>
          <w:numId w:val="1"/>
        </w:numPr>
        <w:spacing w:after="80"/>
      </w:pPr>
      <w:r>
        <w:rPr>
          <w:rFonts w:ascii="Calibri" w:eastAsia="Calibri" w:hAnsi="Calibri" w:cs="Calibri"/>
          <w:sz w:val="22"/>
          <w:szCs w:val="22"/>
        </w:rPr>
        <w:t>Any changes to the Activity &amp; Audit Log (SE - 0003) itself — usage events are a separate, non-visible data stream, not an addition to the audit log UI or schema.</w:t>
      </w:r>
    </w:p>
    <w:p w14:paraId="136F87C8" w14:textId="77777777" w:rsidR="004511FD" w:rsidRDefault="00000000">
      <w:pPr>
        <w:pStyle w:val="ListParagraph"/>
        <w:numPr>
          <w:ilvl w:val="0"/>
          <w:numId w:val="1"/>
        </w:numPr>
        <w:spacing w:after="80"/>
      </w:pPr>
      <w:r>
        <w:rPr>
          <w:rFonts w:ascii="Calibri" w:eastAsia="Calibri" w:hAnsi="Calibri" w:cs="Calibri"/>
          <w:sz w:val="22"/>
          <w:szCs w:val="22"/>
        </w:rPr>
        <w:t>Per-provider licensing/redistribution compliance logic for market data providers — owned by DR - 0008, not duplicated here.</w:t>
      </w:r>
    </w:p>
    <w:p w14:paraId="38B8AE71"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9. Open Questions</w:t>
      </w:r>
    </w:p>
    <w:p w14:paraId="2008F407" w14:textId="77777777" w:rsidR="004511FD" w:rsidRDefault="00000000">
      <w:pPr>
        <w:pStyle w:val="ListParagraph"/>
        <w:numPr>
          <w:ilvl w:val="0"/>
          <w:numId w:val="1"/>
        </w:numPr>
        <w:spacing w:after="80"/>
      </w:pPr>
      <w:r>
        <w:rPr>
          <w:rFonts w:ascii="Calibri" w:eastAsia="Calibri" w:hAnsi="Calibri" w:cs="Calibri"/>
          <w:sz w:val="22"/>
          <w:szCs w:val="22"/>
        </w:rPr>
        <w:t xml:space="preserve">Where should the Usage </w:t>
      </w:r>
      <w:proofErr w:type="gramStart"/>
      <w:r>
        <w:rPr>
          <w:rFonts w:ascii="Calibri" w:eastAsia="Calibri" w:hAnsi="Calibri" w:cs="Calibri"/>
          <w:sz w:val="22"/>
          <w:szCs w:val="22"/>
        </w:rPr>
        <w:t>Event</w:t>
      </w:r>
      <w:proofErr w:type="gramEnd"/>
      <w:r>
        <w:rPr>
          <w:rFonts w:ascii="Calibri" w:eastAsia="Calibri" w:hAnsi="Calibri" w:cs="Calibri"/>
          <w:sz w:val="22"/>
          <w:szCs w:val="22"/>
        </w:rPr>
        <w:t xml:space="preserve"> table live architecturally relative to the Database module's table-block structure (DB - 0010)? It doesn't fit the GL/financial table blocks — confirm whether it's a standalone system-level table outside the DB - 0001–0010 numbering, or whether it should get its own DB block.</w:t>
      </w:r>
    </w:p>
    <w:p w14:paraId="12867541" w14:textId="77777777" w:rsidR="004511FD" w:rsidRDefault="00000000">
      <w:pPr>
        <w:pStyle w:val="ListParagraph"/>
        <w:numPr>
          <w:ilvl w:val="0"/>
          <w:numId w:val="1"/>
        </w:numPr>
        <w:spacing w:after="80"/>
      </w:pPr>
      <w:r>
        <w:rPr>
          <w:rFonts w:ascii="Calibri" w:eastAsia="Calibri" w:hAnsi="Calibri" w:cs="Calibri"/>
          <w:sz w:val="22"/>
          <w:szCs w:val="22"/>
        </w:rPr>
        <w:t xml:space="preserve">This feature assumes an internal Admin / Internal Ops console exists (or will exist) to host the usage dashboard and maintain the Rate Reference table. That console is currently an </w:t>
      </w:r>
      <w:proofErr w:type="spellStart"/>
      <w:r>
        <w:rPr>
          <w:rFonts w:ascii="Calibri" w:eastAsia="Calibri" w:hAnsi="Calibri" w:cs="Calibri"/>
          <w:sz w:val="22"/>
          <w:szCs w:val="22"/>
        </w:rPr>
        <w:t>unspecced</w:t>
      </w:r>
      <w:proofErr w:type="spellEnd"/>
      <w:r>
        <w:rPr>
          <w:rFonts w:ascii="Calibri" w:eastAsia="Calibri" w:hAnsi="Calibri" w:cs="Calibri"/>
          <w:sz w:val="22"/>
          <w:szCs w:val="22"/>
        </w:rPr>
        <w:t xml:space="preserve"> cross-cutting gap — should a lightweight version of it be </w:t>
      </w:r>
      <w:proofErr w:type="spellStart"/>
      <w:r>
        <w:rPr>
          <w:rFonts w:ascii="Calibri" w:eastAsia="Calibri" w:hAnsi="Calibri" w:cs="Calibri"/>
          <w:sz w:val="22"/>
          <w:szCs w:val="22"/>
        </w:rPr>
        <w:t>specced</w:t>
      </w:r>
      <w:proofErr w:type="spellEnd"/>
      <w:r>
        <w:rPr>
          <w:rFonts w:ascii="Calibri" w:eastAsia="Calibri" w:hAnsi="Calibri" w:cs="Calibri"/>
          <w:sz w:val="22"/>
          <w:szCs w:val="22"/>
        </w:rPr>
        <w:t xml:space="preserve"> alongside this feature, or does this spec simply block on it?</w:t>
      </w:r>
    </w:p>
    <w:p w14:paraId="4B4D07BE" w14:textId="77777777" w:rsidR="004511FD" w:rsidRDefault="00000000">
      <w:pPr>
        <w:pStyle w:val="ListParagraph"/>
        <w:numPr>
          <w:ilvl w:val="0"/>
          <w:numId w:val="1"/>
        </w:numPr>
        <w:spacing w:after="80"/>
      </w:pPr>
      <w:r>
        <w:rPr>
          <w:rFonts w:ascii="Calibri" w:eastAsia="Calibri" w:hAnsi="Calibri" w:cs="Calibri"/>
          <w:sz w:val="22"/>
          <w:szCs w:val="22"/>
        </w:rPr>
        <w:t xml:space="preserve">Should Usage Events capture </w:t>
      </w:r>
      <w:proofErr w:type="gramStart"/>
      <w:r>
        <w:rPr>
          <w:rFonts w:ascii="Calibri" w:eastAsia="Calibri" w:hAnsi="Calibri" w:cs="Calibri"/>
          <w:sz w:val="22"/>
          <w:szCs w:val="22"/>
        </w:rPr>
        <w:t>cost</w:t>
      </w:r>
      <w:proofErr w:type="gramEnd"/>
      <w:r>
        <w:rPr>
          <w:rFonts w:ascii="Calibri" w:eastAsia="Calibri" w:hAnsi="Calibri" w:cs="Calibri"/>
          <w:sz w:val="22"/>
          <w:szCs w:val="22"/>
        </w:rPr>
        <w:t xml:space="preserve"> at time-of-event (locking in the rate that applied then) or always resolve against the current Rate Reference table? This matters for historical trend accuracy if provider rates change over time — recommend locking rate at time-of-</w:t>
      </w:r>
      <w:proofErr w:type="gramStart"/>
      <w:r>
        <w:rPr>
          <w:rFonts w:ascii="Calibri" w:eastAsia="Calibri" w:hAnsi="Calibri" w:cs="Calibri"/>
          <w:sz w:val="22"/>
          <w:szCs w:val="22"/>
        </w:rPr>
        <w:t>event, but</w:t>
      </w:r>
      <w:proofErr w:type="gramEnd"/>
      <w:r>
        <w:rPr>
          <w:rFonts w:ascii="Calibri" w:eastAsia="Calibri" w:hAnsi="Calibri" w:cs="Calibri"/>
          <w:sz w:val="22"/>
          <w:szCs w:val="22"/>
        </w:rPr>
        <w:t xml:space="preserve"> flagging for confirmation.</w:t>
      </w:r>
    </w:p>
    <w:p w14:paraId="652EE8A6" w14:textId="77777777" w:rsidR="004511FD" w:rsidRDefault="00000000">
      <w:pPr>
        <w:pStyle w:val="ListParagraph"/>
        <w:numPr>
          <w:ilvl w:val="0"/>
          <w:numId w:val="1"/>
        </w:numPr>
        <w:spacing w:after="80"/>
      </w:pPr>
      <w:r>
        <w:rPr>
          <w:rFonts w:ascii="Calibri" w:eastAsia="Calibri" w:hAnsi="Calibri" w:cs="Calibri"/>
          <w:sz w:val="22"/>
          <w:szCs w:val="22"/>
        </w:rPr>
        <w:t>Is there a target retention period for Usage Event data, or should it be retained indefinitely pending the future Legal / Compliance spec?</w:t>
      </w:r>
    </w:p>
    <w:p w14:paraId="53A02655" w14:textId="77777777" w:rsidR="004511FD" w:rsidRDefault="00000000">
      <w:pPr>
        <w:pStyle w:val="Heading1"/>
        <w:shd w:val="clear" w:color="auto" w:fill="1F3864"/>
        <w:spacing w:before="300" w:after="150"/>
      </w:pPr>
      <w:r>
        <w:rPr>
          <w:rFonts w:ascii="Calibri" w:eastAsia="Calibri" w:hAnsi="Calibri" w:cs="Calibri"/>
          <w:b/>
          <w:bCs/>
          <w:color w:val="FFFFFF"/>
          <w:sz w:val="26"/>
          <w:szCs w:val="26"/>
        </w:rPr>
        <w:t>10. Acceptance Criteria</w:t>
      </w:r>
    </w:p>
    <w:p w14:paraId="41EB78A6" w14:textId="77777777" w:rsidR="004511FD" w:rsidRDefault="00000000">
      <w:pPr>
        <w:pStyle w:val="ListParagraph"/>
        <w:numPr>
          <w:ilvl w:val="0"/>
          <w:numId w:val="1"/>
        </w:numPr>
        <w:spacing w:after="80"/>
      </w:pPr>
      <w:r>
        <w:rPr>
          <w:rFonts w:ascii="Calibri" w:eastAsia="Calibri" w:hAnsi="Calibri" w:cs="Calibri"/>
          <w:sz w:val="22"/>
          <w:szCs w:val="22"/>
        </w:rPr>
        <w:t>Every AI/LLM invocation, OCR job, and metered third-party data provider call in the system generates a Usage Event with user, company/deal (where applicable), event type, provider/model, unit quantity, and computed cost.</w:t>
      </w:r>
    </w:p>
    <w:p w14:paraId="0180561E" w14:textId="77777777" w:rsidR="004511FD" w:rsidRDefault="00000000">
      <w:pPr>
        <w:pStyle w:val="ListParagraph"/>
        <w:numPr>
          <w:ilvl w:val="0"/>
          <w:numId w:val="1"/>
        </w:numPr>
        <w:spacing w:after="80"/>
      </w:pPr>
      <w:r>
        <w:rPr>
          <w:rFonts w:ascii="Calibri" w:eastAsia="Calibri" w:hAnsi="Calibri" w:cs="Calibri"/>
          <w:sz w:val="22"/>
          <w:szCs w:val="22"/>
        </w:rPr>
        <w:t>An internal admin can filter and view usage/cost totals by user, by company/deal, by event type, and by date range through a web-based dashboard not visible to any customer-facing role.</w:t>
      </w:r>
    </w:p>
    <w:p w14:paraId="33748043" w14:textId="77777777" w:rsidR="004511FD" w:rsidRDefault="00000000">
      <w:pPr>
        <w:pStyle w:val="ListParagraph"/>
        <w:numPr>
          <w:ilvl w:val="0"/>
          <w:numId w:val="1"/>
        </w:numPr>
        <w:spacing w:after="80"/>
      </w:pPr>
      <w:r>
        <w:rPr>
          <w:rFonts w:ascii="Calibri" w:eastAsia="Calibri" w:hAnsi="Calibri" w:cs="Calibri"/>
          <w:sz w:val="22"/>
          <w:szCs w:val="22"/>
        </w:rPr>
        <w:t>Usage Event capture does not appear in, or alter, the Activity &amp; Audit Log (SE - 0003) UI.</w:t>
      </w:r>
    </w:p>
    <w:p w14:paraId="17694922" w14:textId="77777777" w:rsidR="004511FD" w:rsidRDefault="00000000">
      <w:pPr>
        <w:pStyle w:val="ListParagraph"/>
        <w:numPr>
          <w:ilvl w:val="0"/>
          <w:numId w:val="1"/>
        </w:numPr>
        <w:spacing w:after="80"/>
      </w:pPr>
      <w:r>
        <w:rPr>
          <w:rFonts w:ascii="Calibri" w:eastAsia="Calibri" w:hAnsi="Calibri" w:cs="Calibri"/>
          <w:sz w:val="22"/>
          <w:szCs w:val="22"/>
        </w:rPr>
        <w:t xml:space="preserve">No user-facing cap, block, or throttle exists anywhere in the system </w:t>
      </w:r>
      <w:proofErr w:type="gramStart"/>
      <w:r>
        <w:rPr>
          <w:rFonts w:ascii="Calibri" w:eastAsia="Calibri" w:hAnsi="Calibri" w:cs="Calibri"/>
          <w:sz w:val="22"/>
          <w:szCs w:val="22"/>
        </w:rPr>
        <w:t>as a result of</w:t>
      </w:r>
      <w:proofErr w:type="gramEnd"/>
      <w:r>
        <w:rPr>
          <w:rFonts w:ascii="Calibri" w:eastAsia="Calibri" w:hAnsi="Calibri" w:cs="Calibri"/>
          <w:sz w:val="22"/>
          <w:szCs w:val="22"/>
        </w:rPr>
        <w:t xml:space="preserve"> this feature — confirmed via QA pass that heavy usage by a test account is tracked but never restricted.</w:t>
      </w:r>
    </w:p>
    <w:p w14:paraId="3D276492" w14:textId="77777777" w:rsidR="004511FD" w:rsidRDefault="00000000">
      <w:pPr>
        <w:pStyle w:val="ListParagraph"/>
        <w:numPr>
          <w:ilvl w:val="0"/>
          <w:numId w:val="1"/>
        </w:numPr>
        <w:spacing w:after="80"/>
      </w:pPr>
      <w:r>
        <w:rPr>
          <w:rFonts w:ascii="Calibri" w:eastAsia="Calibri" w:hAnsi="Calibri" w:cs="Calibri"/>
          <w:sz w:val="22"/>
          <w:szCs w:val="22"/>
        </w:rPr>
        <w:t>Rate Reference table can be updated by an internal admin, and newly computed Usage Event costs reflect the updated rate going forward.</w:t>
      </w:r>
    </w:p>
    <w:sectPr w:rsidR="004511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E1A41"/>
    <w:multiLevelType w:val="hybridMultilevel"/>
    <w:tmpl w:val="4ED82266"/>
    <w:lvl w:ilvl="0" w:tplc="F648EDB6">
      <w:start w:val="1"/>
      <w:numFmt w:val="bullet"/>
      <w:lvlText w:val="●"/>
      <w:lvlJc w:val="left"/>
      <w:pPr>
        <w:ind w:left="720" w:hanging="360"/>
      </w:pPr>
    </w:lvl>
    <w:lvl w:ilvl="1" w:tplc="2514BB8E">
      <w:start w:val="1"/>
      <w:numFmt w:val="bullet"/>
      <w:lvlText w:val="○"/>
      <w:lvlJc w:val="left"/>
      <w:pPr>
        <w:ind w:left="1440" w:hanging="360"/>
      </w:pPr>
    </w:lvl>
    <w:lvl w:ilvl="2" w:tplc="C5922BA2">
      <w:start w:val="1"/>
      <w:numFmt w:val="bullet"/>
      <w:lvlText w:val="■"/>
      <w:lvlJc w:val="left"/>
      <w:pPr>
        <w:ind w:left="2160" w:hanging="360"/>
      </w:pPr>
    </w:lvl>
    <w:lvl w:ilvl="3" w:tplc="4C5E3888">
      <w:start w:val="1"/>
      <w:numFmt w:val="bullet"/>
      <w:lvlText w:val="●"/>
      <w:lvlJc w:val="left"/>
      <w:pPr>
        <w:ind w:left="2880" w:hanging="360"/>
      </w:pPr>
    </w:lvl>
    <w:lvl w:ilvl="4" w:tplc="4AB69678">
      <w:start w:val="1"/>
      <w:numFmt w:val="bullet"/>
      <w:lvlText w:val="○"/>
      <w:lvlJc w:val="left"/>
      <w:pPr>
        <w:ind w:left="3600" w:hanging="360"/>
      </w:pPr>
    </w:lvl>
    <w:lvl w:ilvl="5" w:tplc="0BFE74F6">
      <w:start w:val="1"/>
      <w:numFmt w:val="bullet"/>
      <w:lvlText w:val="■"/>
      <w:lvlJc w:val="left"/>
      <w:pPr>
        <w:ind w:left="4320" w:hanging="360"/>
      </w:pPr>
    </w:lvl>
    <w:lvl w:ilvl="6" w:tplc="5E7E7362">
      <w:start w:val="1"/>
      <w:numFmt w:val="bullet"/>
      <w:lvlText w:val="●"/>
      <w:lvlJc w:val="left"/>
      <w:pPr>
        <w:ind w:left="5040" w:hanging="360"/>
      </w:pPr>
    </w:lvl>
    <w:lvl w:ilvl="7" w:tplc="E1704888">
      <w:start w:val="1"/>
      <w:numFmt w:val="bullet"/>
      <w:lvlText w:val="●"/>
      <w:lvlJc w:val="left"/>
      <w:pPr>
        <w:ind w:left="5760" w:hanging="360"/>
      </w:pPr>
    </w:lvl>
    <w:lvl w:ilvl="8" w:tplc="DA9C4B04">
      <w:start w:val="1"/>
      <w:numFmt w:val="bullet"/>
      <w:lvlText w:val="●"/>
      <w:lvlJc w:val="left"/>
      <w:pPr>
        <w:ind w:left="6480" w:hanging="360"/>
      </w:pPr>
    </w:lvl>
  </w:abstractNum>
  <w:num w:numId="1" w16cid:durableId="831529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1FD"/>
    <w:rsid w:val="004511FD"/>
    <w:rsid w:val="00537CAD"/>
    <w:rsid w:val="005C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49B5"/>
  <w15:docId w15:val="{93D68860-8926-4FA7-B0CA-BD863351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7A4707-2E74-4A04-B0B1-9AEB307311B3}"/>
</file>

<file path=customXml/itemProps2.xml><?xml version="1.0" encoding="utf-8"?>
<ds:datastoreItem xmlns:ds="http://schemas.openxmlformats.org/officeDocument/2006/customXml" ds:itemID="{C627E15D-1BBF-4C74-AC8A-8F209ED46868}"/>
</file>

<file path=customXml/itemProps3.xml><?xml version="1.0" encoding="utf-8"?>
<ds:datastoreItem xmlns:ds="http://schemas.openxmlformats.org/officeDocument/2006/customXml" ds:itemID="{524F7B17-9476-4085-BB41-DD3B27BC3A4F}"/>
</file>

<file path=docProps/app.xml><?xml version="1.0" encoding="utf-8"?>
<Properties xmlns="http://schemas.openxmlformats.org/officeDocument/2006/extended-properties" xmlns:vt="http://schemas.openxmlformats.org/officeDocument/2006/docPropsVTypes">
  <Template>Normal</Template>
  <TotalTime>1</TotalTime>
  <Pages>4</Pages>
  <Words>1719</Words>
  <Characters>9180</Characters>
  <Application>Microsoft Office Word</Application>
  <DocSecurity>0</DocSecurity>
  <Lines>204</Lines>
  <Paragraphs>118</Paragraphs>
  <ScaleCrop>false</ScaleCrop>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Tonnesen</cp:lastModifiedBy>
  <cp:revision>2</cp:revision>
  <dcterms:created xsi:type="dcterms:W3CDTF">2026-08-14T04:57:00Z</dcterms:created>
  <dcterms:modified xsi:type="dcterms:W3CDTF">2026-08-14T05:03:00Z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