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color w:val="D7A43B"/>
          <w:sz w:val="20"/>
        </w:rPr>
        <w:t>INSTITUTIONAL GOVERNANCE FRAMEWORK</w:t>
      </w:r>
    </w:p>
    <w:p>
      <w:pPr>
        <w:spacing w:after="160"/>
        <w:jc w:val="center"/>
      </w:pPr>
      <w:r>
        <w:rPr>
          <w:rFonts w:ascii="Calibri" w:hAnsi="Calibri"/>
          <w:b/>
          <w:color w:val="123A5A"/>
          <w:sz w:val="60"/>
        </w:rPr>
        <w:t>Project Management Framework</w:t>
      </w:r>
    </w:p>
    <w:p>
      <w:pPr>
        <w:spacing w:after="120"/>
        <w:jc w:val="center"/>
      </w:pPr>
      <w:r>
        <w:rPr>
          <w:rFonts w:ascii="Calibri" w:hAnsi="Calibri"/>
          <w:b/>
          <w:color w:val="1B7F79"/>
          <w:sz w:val="28"/>
        </w:rPr>
        <w:t>Lifecycle, Governance, Controls and Practical Templates</w:t>
      </w:r>
    </w:p>
    <w:p>
      <w:pPr>
        <w:spacing w:after="840"/>
        <w:jc w:val="center"/>
      </w:pPr>
      <w:r>
        <w:rPr>
          <w:rFonts w:ascii="Calibri" w:hAnsi="Calibri"/>
          <w:b/>
          <w:color w:val="24313A"/>
          <w:sz w:val="32"/>
        </w:rPr>
        <w:t>KenAddme IT Links</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Document status: </w:t>
      </w:r>
      <w:r>
        <w:rPr>
          <w:rFonts w:ascii="Calibri" w:hAnsi="Calibri"/>
          <w:color w:val="24313A"/>
        </w:rPr>
        <w:t>Approved for Use. Approved on 2 September 2026 and effective from 31 October 2026. Document owner and custodian: Freston Kenny Adedeme.</w:t>
      </w:r>
    </w:p>
    <w:p>
      <w:pPr>
        <w:spacing w:before="720" w:after="80"/>
        <w:jc w:val="center"/>
      </w:pPr>
      <w:r>
        <w:rPr>
          <w:rFonts w:ascii="Calibri" w:hAnsi="Calibri"/>
          <w:b/>
          <w:color w:val="687782"/>
          <w:sz w:val="21"/>
        </w:rPr>
        <w:t>Version 1.1  |  September 2026</w:t>
      </w:r>
    </w:p>
    <w:p>
      <w:pPr>
        <w:jc w:val="center"/>
      </w:pPr>
      <w:r>
        <w:rPr>
          <w:rFonts w:ascii="Calibri" w:hAnsi="Calibri"/>
          <w:i/>
          <w:color w:val="687782"/>
          <w:sz w:val="19"/>
        </w:rPr>
        <w:t>Prepared for management, project sponsors, project managers, technical teams, quality reviewers and partners</w:t>
      </w:r>
    </w:p>
    <w:p>
      <w:r>
        <w:br w:type="page"/>
      </w:r>
    </w:p>
    <w:p>
      <w:pPr>
        <w:pStyle w:val="Heading1"/>
        <w:keepNext/>
        <w:pageBreakBefore w:val="0"/>
      </w:pPr>
      <w:r>
        <w:t>Document Control</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100"/>
        <w:gridCol w:w="7260"/>
      </w:tblGrid>
      <w:tr>
        <w:trPr>
          <w:tblHeader w:val="true"/>
          <w:cantSplit/>
        </w:trPr>
        <w:tc>
          <w:tcPr>
            <w:tcW w:type="dxa" w:w="2100"/>
            <w:tcMar>
              <w:top w:w="100" w:type="dxa"/>
              <w:start w:w="120" w:type="dxa"/>
              <w:bottom w:w="100" w:type="dxa"/>
              <w:end w:w="120" w:type="dxa"/>
            </w:tcMar>
            <w:vAlign w:val="center"/>
            <w:shd w:fill="123A5A"/>
          </w:tcPr>
          <w:p>
            <w:pPr>
              <w:jc w:val="left"/>
            </w:pPr>
            <w:r>
              <w:rPr>
                <w:rFonts w:ascii="Calibri" w:hAnsi="Calibri"/>
                <w:b/>
                <w:color w:val="FFFFFF"/>
                <w:sz w:val="19"/>
              </w:rPr>
              <w:t>Field</w:t>
            </w:r>
          </w:p>
        </w:tc>
        <w:tc>
          <w:tcPr>
            <w:tcW w:type="dxa" w:w="7260"/>
            <w:tcMar>
              <w:top w:w="100" w:type="dxa"/>
              <w:start w:w="120" w:type="dxa"/>
              <w:bottom w:w="100" w:type="dxa"/>
              <w:end w:w="120" w:type="dxa"/>
            </w:tcMar>
            <w:vAlign w:val="center"/>
            <w:shd w:fill="123A5A"/>
          </w:tcPr>
          <w:p>
            <w:pPr>
              <w:jc w:val="left"/>
            </w:pPr>
            <w:r>
              <w:rPr>
                <w:rFonts w:ascii="Calibri" w:hAnsi="Calibri"/>
                <w:b/>
                <w:color w:val="FFFFFF"/>
                <w:sz w:val="19"/>
              </w:rPr>
              <w:t>Details</w:t>
            </w:r>
          </w:p>
        </w:tc>
      </w:tr>
      <w:tr>
        <w:trPr>
          <w:cantSplit/>
        </w:trPr>
        <w:tc>
          <w:tcPr>
            <w:tcW w:type="dxa" w:w="2100"/>
            <w:tcMar>
              <w:top w:w="100" w:type="dxa"/>
              <w:start w:w="120" w:type="dxa"/>
              <w:bottom w:w="100" w:type="dxa"/>
              <w:end w:w="120" w:type="dxa"/>
            </w:tcMar>
            <w:vAlign w:val="center"/>
          </w:tcPr>
          <w:p>
            <w:pPr>
              <w:spacing w:after="0" w:line="252" w:lineRule="auto"/>
            </w:pPr>
            <w:r>
              <w:rPr>
                <w:rFonts w:ascii="Calibri" w:hAnsi="Calibri"/>
                <w:color w:val="24313A"/>
                <w:sz w:val="18"/>
              </w:rPr>
              <w:t>Document title</w:t>
            </w:r>
          </w:p>
        </w:tc>
        <w:tc>
          <w:tcPr>
            <w:tcW w:type="dxa" w:w="7260"/>
            <w:tcMar>
              <w:top w:w="100" w:type="dxa"/>
              <w:start w:w="120" w:type="dxa"/>
              <w:bottom w:w="100" w:type="dxa"/>
              <w:end w:w="120" w:type="dxa"/>
            </w:tcMar>
            <w:vAlign w:val="center"/>
          </w:tcPr>
          <w:p>
            <w:pPr>
              <w:spacing w:after="0" w:line="252" w:lineRule="auto"/>
            </w:pPr>
            <w:r>
              <w:rPr>
                <w:rFonts w:ascii="Calibri" w:hAnsi="Calibri"/>
                <w:color w:val="24313A"/>
                <w:sz w:val="18"/>
              </w:rPr>
              <w:t>KenAddme IT Links Project Management Framework</w:t>
            </w:r>
          </w:p>
        </w:tc>
      </w:tr>
      <w:tr>
        <w:trPr>
          <w:cantSplit/>
        </w:trPr>
        <w:tc>
          <w:tcPr>
            <w:tcW w:type="dxa" w:w="2100"/>
            <w:shd w:fill="F4F6F8"/>
            <w:tcMar>
              <w:top w:w="100" w:type="dxa"/>
              <w:start w:w="120" w:type="dxa"/>
              <w:bottom w:w="100" w:type="dxa"/>
              <w:end w:w="120" w:type="dxa"/>
            </w:tcMar>
            <w:vAlign w:val="center"/>
          </w:tcPr>
          <w:p>
            <w:pPr>
              <w:spacing w:after="0" w:line="252" w:lineRule="auto"/>
            </w:pPr>
            <w:r>
              <w:rPr>
                <w:rFonts w:ascii="Calibri" w:hAnsi="Calibri"/>
                <w:color w:val="24313A"/>
                <w:sz w:val="18"/>
              </w:rPr>
              <w:t>Document owner and custodian</w:t>
            </w:r>
          </w:p>
        </w:tc>
        <w:tc>
          <w:tcPr>
            <w:tcW w:type="dxa" w:w="7260"/>
            <w:shd w:fill="F4F6F8"/>
            <w:tcMar>
              <w:top w:w="100" w:type="dxa"/>
              <w:start w:w="120" w:type="dxa"/>
              <w:bottom w:w="100" w:type="dxa"/>
              <w:end w:w="120" w:type="dxa"/>
            </w:tcMar>
            <w:vAlign w:val="center"/>
          </w:tcPr>
          <w:p>
            <w:pPr>
              <w:spacing w:after="0" w:line="252" w:lineRule="auto"/>
            </w:pPr>
            <w:r>
              <w:rPr>
                <w:rFonts w:ascii="Calibri" w:hAnsi="Calibri"/>
                <w:color w:val="24313A"/>
                <w:sz w:val="18"/>
              </w:rPr>
              <w:t>Freston Kenny Adedeme</w:t>
            </w:r>
          </w:p>
        </w:tc>
      </w:tr>
      <w:tr>
        <w:trPr>
          <w:cantSplit/>
        </w:trPr>
        <w:tc>
          <w:tcPr>
            <w:tcW w:type="dxa" w:w="2100"/>
            <w:tcMar>
              <w:top w:w="100" w:type="dxa"/>
              <w:start w:w="120" w:type="dxa"/>
              <w:bottom w:w="100" w:type="dxa"/>
              <w:end w:w="120" w:type="dxa"/>
            </w:tcMar>
            <w:vAlign w:val="center"/>
          </w:tcPr>
          <w:p>
            <w:pPr>
              <w:spacing w:after="0" w:line="252" w:lineRule="auto"/>
            </w:pPr>
            <w:r>
              <w:rPr>
                <w:rFonts w:ascii="Calibri" w:hAnsi="Calibri"/>
                <w:color w:val="24313A"/>
                <w:sz w:val="18"/>
              </w:rPr>
              <w:t>Version</w:t>
            </w:r>
          </w:p>
        </w:tc>
        <w:tc>
          <w:tcPr>
            <w:tcW w:type="dxa" w:w="7260"/>
            <w:tcMar>
              <w:top w:w="100" w:type="dxa"/>
              <w:start w:w="120" w:type="dxa"/>
              <w:bottom w:w="100" w:type="dxa"/>
              <w:end w:w="120" w:type="dxa"/>
            </w:tcMar>
            <w:vAlign w:val="center"/>
          </w:tcPr>
          <w:p>
            <w:pPr>
              <w:spacing w:after="0" w:line="252" w:lineRule="auto"/>
            </w:pPr>
            <w:r>
              <w:rPr>
                <w:rFonts w:ascii="Calibri" w:hAnsi="Calibri"/>
                <w:color w:val="24313A"/>
                <w:sz w:val="18"/>
              </w:rPr>
              <w:t>1.1</w:t>
            </w:r>
          </w:p>
        </w:tc>
      </w:tr>
      <w:tr>
        <w:trPr>
          <w:cantSplit/>
        </w:trPr>
        <w:tc>
          <w:tcPr>
            <w:tcW w:type="dxa" w:w="2100"/>
            <w:shd w:fill="F4F6F8"/>
            <w:tcMar>
              <w:top w:w="100" w:type="dxa"/>
              <w:start w:w="120" w:type="dxa"/>
              <w:bottom w:w="100" w:type="dxa"/>
              <w:end w:w="120" w:type="dxa"/>
            </w:tcMar>
            <w:vAlign w:val="center"/>
          </w:tcPr>
          <w:p>
            <w:pPr>
              <w:spacing w:after="0" w:line="252" w:lineRule="auto"/>
            </w:pPr>
            <w:r>
              <w:rPr>
                <w:rFonts w:ascii="Calibri" w:hAnsi="Calibri"/>
                <w:color w:val="24313A"/>
                <w:sz w:val="18"/>
              </w:rPr>
              <w:t>Status</w:t>
            </w:r>
          </w:p>
        </w:tc>
        <w:tc>
          <w:tcPr>
            <w:tcW w:type="dxa" w:w="7260"/>
            <w:shd w:fill="F4F6F8"/>
            <w:tcMar>
              <w:top w:w="100" w:type="dxa"/>
              <w:start w:w="120" w:type="dxa"/>
              <w:bottom w:w="100" w:type="dxa"/>
              <w:end w:w="120" w:type="dxa"/>
            </w:tcMar>
            <w:vAlign w:val="center"/>
          </w:tcPr>
          <w:p>
            <w:pPr>
              <w:spacing w:after="0" w:line="252" w:lineRule="auto"/>
            </w:pPr>
            <w:r>
              <w:rPr>
                <w:rFonts w:ascii="Calibri" w:hAnsi="Calibri"/>
                <w:color w:val="24313A"/>
                <w:sz w:val="18"/>
              </w:rPr>
              <w:t>Approved for Use</w:t>
            </w:r>
          </w:p>
        </w:tc>
      </w:tr>
      <w:tr>
        <w:trPr>
          <w:cantSplit/>
        </w:trPr>
        <w:tc>
          <w:tcPr>
            <w:tcW w:type="dxa" w:w="2100"/>
            <w:tcMar>
              <w:top w:w="100" w:type="dxa"/>
              <w:start w:w="120" w:type="dxa"/>
              <w:bottom w:w="100" w:type="dxa"/>
              <w:end w:w="120" w:type="dxa"/>
            </w:tcMar>
            <w:vAlign w:val="center"/>
          </w:tcPr>
          <w:p>
            <w:pPr>
              <w:spacing w:after="0" w:line="252" w:lineRule="auto"/>
            </w:pPr>
            <w:r>
              <w:rPr>
                <w:rFonts w:ascii="Calibri" w:hAnsi="Calibri"/>
                <w:color w:val="24313A"/>
                <w:sz w:val="18"/>
              </w:rPr>
              <w:t>Approval date</w:t>
            </w:r>
          </w:p>
        </w:tc>
        <w:tc>
          <w:tcPr>
            <w:tcW w:type="dxa" w:w="7260"/>
            <w:tcMar>
              <w:top w:w="100" w:type="dxa"/>
              <w:start w:w="120" w:type="dxa"/>
              <w:bottom w:w="100" w:type="dxa"/>
              <w:end w:w="120" w:type="dxa"/>
            </w:tcMar>
            <w:vAlign w:val="center"/>
          </w:tcPr>
          <w:p>
            <w:pPr>
              <w:spacing w:after="0" w:line="252" w:lineRule="auto"/>
            </w:pPr>
            <w:r>
              <w:rPr>
                <w:rFonts w:ascii="Calibri" w:hAnsi="Calibri"/>
                <w:color w:val="24313A"/>
                <w:sz w:val="18"/>
              </w:rPr>
              <w:t>2 September 2026</w:t>
            </w:r>
          </w:p>
        </w:tc>
      </w:tr>
      <w:tr>
        <w:trPr>
          <w:cantSplit/>
        </w:trPr>
        <w:tc>
          <w:tcPr>
            <w:tcW w:type="dxa" w:w="2100"/>
            <w:shd w:fill="F4F6F8"/>
            <w:tcMar>
              <w:top w:w="100" w:type="dxa"/>
              <w:start w:w="120" w:type="dxa"/>
              <w:bottom w:w="100" w:type="dxa"/>
              <w:end w:w="120" w:type="dxa"/>
            </w:tcMar>
            <w:vAlign w:val="center"/>
          </w:tcPr>
          <w:p>
            <w:pPr>
              <w:spacing w:after="0" w:line="252" w:lineRule="auto"/>
            </w:pPr>
            <w:r>
              <w:rPr>
                <w:rFonts w:ascii="Calibri" w:hAnsi="Calibri"/>
                <w:color w:val="24313A"/>
                <w:sz w:val="18"/>
              </w:rPr>
              <w:t>Effective date</w:t>
            </w:r>
          </w:p>
        </w:tc>
        <w:tc>
          <w:tcPr>
            <w:tcW w:type="dxa" w:w="7260"/>
            <w:shd w:fill="F4F6F8"/>
            <w:tcMar>
              <w:top w:w="100" w:type="dxa"/>
              <w:start w:w="120" w:type="dxa"/>
              <w:bottom w:w="100" w:type="dxa"/>
              <w:end w:w="120" w:type="dxa"/>
            </w:tcMar>
            <w:vAlign w:val="center"/>
          </w:tcPr>
          <w:p>
            <w:pPr>
              <w:spacing w:after="0" w:line="252" w:lineRule="auto"/>
            </w:pPr>
            <w:r>
              <w:rPr>
                <w:rFonts w:ascii="Calibri" w:hAnsi="Calibri"/>
                <w:color w:val="24313A"/>
                <w:sz w:val="18"/>
              </w:rPr>
              <w:t>31 October 2026</w:t>
            </w:r>
          </w:p>
        </w:tc>
      </w:tr>
      <w:tr>
        <w:trPr>
          <w:cantSplit/>
        </w:trPr>
        <w:tc>
          <w:tcPr>
            <w:tcW w:type="dxa" w:w="2100"/>
            <w:tcMar>
              <w:top w:w="100" w:type="dxa"/>
              <w:start w:w="120" w:type="dxa"/>
              <w:bottom w:w="100" w:type="dxa"/>
              <w:end w:w="120" w:type="dxa"/>
            </w:tcMar>
            <w:vAlign w:val="center"/>
          </w:tcPr>
          <w:p>
            <w:pPr>
              <w:spacing w:after="0" w:line="252" w:lineRule="auto"/>
            </w:pPr>
            <w:r>
              <w:rPr>
                <w:rFonts w:ascii="Calibri" w:hAnsi="Calibri"/>
                <w:color w:val="24313A"/>
                <w:sz w:val="18"/>
              </w:rPr>
              <w:t>Transition period</w:t>
            </w:r>
          </w:p>
        </w:tc>
        <w:tc>
          <w:tcPr>
            <w:tcW w:type="dxa" w:w="7260"/>
            <w:tcMar>
              <w:top w:w="100" w:type="dxa"/>
              <w:start w:w="120" w:type="dxa"/>
              <w:bottom w:w="100" w:type="dxa"/>
              <w:end w:w="120" w:type="dxa"/>
            </w:tcMar>
            <w:vAlign w:val="center"/>
          </w:tcPr>
          <w:p>
            <w:pPr>
              <w:spacing w:after="0" w:line="252" w:lineRule="auto"/>
            </w:pPr>
            <w:r>
              <w:rPr>
                <w:rFonts w:ascii="Calibri" w:hAnsi="Calibri"/>
                <w:color w:val="24313A"/>
                <w:sz w:val="18"/>
              </w:rPr>
              <w:t>From approval on 2 September 2026 through 30 October 2026; full compliance is mandatory from the effective date of 31 October 2026</w:t>
            </w:r>
          </w:p>
        </w:tc>
      </w:tr>
      <w:tr>
        <w:trPr>
          <w:cantSplit/>
        </w:trPr>
        <w:tc>
          <w:tcPr>
            <w:tcW w:type="dxa" w:w="2100"/>
            <w:shd w:fill="F4F6F8"/>
            <w:tcMar>
              <w:top w:w="100" w:type="dxa"/>
              <w:start w:w="120" w:type="dxa"/>
              <w:bottom w:w="100" w:type="dxa"/>
              <w:end w:w="120" w:type="dxa"/>
            </w:tcMar>
            <w:vAlign w:val="center"/>
          </w:tcPr>
          <w:p>
            <w:pPr>
              <w:spacing w:after="0" w:line="252" w:lineRule="auto"/>
            </w:pPr>
            <w:r>
              <w:rPr>
                <w:rFonts w:ascii="Calibri" w:hAnsi="Calibri"/>
                <w:color w:val="24313A"/>
                <w:sz w:val="18"/>
              </w:rPr>
              <w:t>Review cycle</w:t>
            </w:r>
          </w:p>
        </w:tc>
        <w:tc>
          <w:tcPr>
            <w:tcW w:type="dxa" w:w="7260"/>
            <w:shd w:fill="F4F6F8"/>
            <w:tcMar>
              <w:top w:w="100" w:type="dxa"/>
              <w:start w:w="120" w:type="dxa"/>
              <w:bottom w:w="100" w:type="dxa"/>
              <w:end w:w="120" w:type="dxa"/>
            </w:tcMar>
            <w:vAlign w:val="center"/>
          </w:tcPr>
          <w:p>
            <w:pPr>
              <w:spacing w:after="0" w:line="252" w:lineRule="auto"/>
            </w:pPr>
            <w:r>
              <w:rPr>
                <w:rFonts w:ascii="Calibri" w:hAnsi="Calibri"/>
                <w:color w:val="24313A"/>
                <w:sz w:val="18"/>
              </w:rPr>
              <w:t>Annually, or earlier after a major organisational, legal, technology or risk change</w:t>
            </w:r>
          </w:p>
        </w:tc>
      </w:tr>
      <w:tr>
        <w:trPr>
          <w:cantSplit/>
        </w:trPr>
        <w:tc>
          <w:tcPr>
            <w:tcW w:type="dxa" w:w="2100"/>
            <w:tcMar>
              <w:top w:w="100" w:type="dxa"/>
              <w:start w:w="120" w:type="dxa"/>
              <w:bottom w:w="100" w:type="dxa"/>
              <w:end w:w="120" w:type="dxa"/>
            </w:tcMar>
            <w:vAlign w:val="center"/>
          </w:tcPr>
          <w:p>
            <w:pPr>
              <w:spacing w:after="0" w:line="252" w:lineRule="auto"/>
            </w:pPr>
            <w:r>
              <w:rPr>
                <w:rFonts w:ascii="Calibri" w:hAnsi="Calibri"/>
                <w:color w:val="24313A"/>
                <w:sz w:val="18"/>
              </w:rPr>
              <w:t>Applies to</w:t>
            </w:r>
          </w:p>
        </w:tc>
        <w:tc>
          <w:tcPr>
            <w:tcW w:type="dxa" w:w="7260"/>
            <w:tcMar>
              <w:top w:w="100" w:type="dxa"/>
              <w:start w:w="120" w:type="dxa"/>
              <w:bottom w:w="100" w:type="dxa"/>
              <w:end w:w="120" w:type="dxa"/>
            </w:tcMar>
            <w:vAlign w:val="center"/>
          </w:tcPr>
          <w:p>
            <w:pPr>
              <w:spacing w:after="0" w:line="252" w:lineRule="auto"/>
            </w:pPr>
            <w:r>
              <w:rPr>
                <w:rFonts w:ascii="Calibri" w:hAnsi="Calibri"/>
                <w:color w:val="24313A"/>
                <w:sz w:val="18"/>
              </w:rPr>
              <w:t>All internal, client, research, software, infrastructure, training, consultancy and transformation projects</w:t>
            </w:r>
          </w:p>
        </w:tc>
      </w:tr>
      <w:tr>
        <w:trPr>
          <w:cantSplit/>
        </w:trPr>
        <w:tc>
          <w:tcPr>
            <w:tcW w:type="dxa" w:w="2100"/>
            <w:shd w:fill="F4F6F8"/>
            <w:tcMar>
              <w:top w:w="100" w:type="dxa"/>
              <w:start w:w="120" w:type="dxa"/>
              <w:bottom w:w="100" w:type="dxa"/>
              <w:end w:w="120" w:type="dxa"/>
            </w:tcMar>
            <w:vAlign w:val="center"/>
          </w:tcPr>
          <w:p>
            <w:pPr>
              <w:spacing w:after="0" w:line="252" w:lineRule="auto"/>
            </w:pPr>
            <w:r>
              <w:rPr>
                <w:rFonts w:ascii="Calibri" w:hAnsi="Calibri"/>
                <w:color w:val="24313A"/>
                <w:sz w:val="18"/>
              </w:rPr>
              <w:t>Classification</w:t>
            </w:r>
          </w:p>
        </w:tc>
        <w:tc>
          <w:tcPr>
            <w:tcW w:type="dxa" w:w="7260"/>
            <w:shd w:fill="F4F6F8"/>
            <w:tcMar>
              <w:top w:w="100" w:type="dxa"/>
              <w:start w:w="120" w:type="dxa"/>
              <w:bottom w:w="100" w:type="dxa"/>
              <w:end w:w="120" w:type="dxa"/>
            </w:tcMar>
            <w:vAlign w:val="center"/>
          </w:tcPr>
          <w:p>
            <w:pPr>
              <w:spacing w:after="0" w:line="252" w:lineRule="auto"/>
            </w:pPr>
            <w:r>
              <w:rPr>
                <w:rFonts w:ascii="Calibri" w:hAnsi="Calibri"/>
                <w:color w:val="24313A"/>
                <w:sz w:val="18"/>
              </w:rPr>
              <w:t>Internal governance document</w:t>
            </w:r>
          </w:p>
        </w:tc>
      </w:tr>
      <w:tr>
        <w:trPr>
          <w:cantSplit/>
        </w:trPr>
        <w:tc>
          <w:tcPr>
            <w:tcW w:type="dxa" w:w="2100"/>
            <w:tcMar>
              <w:top w:w="100" w:type="dxa"/>
              <w:start w:w="120" w:type="dxa"/>
              <w:bottom w:w="100" w:type="dxa"/>
              <w:end w:w="120" w:type="dxa"/>
            </w:tcMar>
            <w:vAlign w:val="center"/>
          </w:tcPr>
          <w:p>
            <w:pPr>
              <w:spacing w:after="0" w:line="252" w:lineRule="auto"/>
            </w:pPr>
            <w:r>
              <w:rPr>
                <w:rFonts w:ascii="Calibri" w:hAnsi="Calibri"/>
                <w:color w:val="24313A"/>
                <w:sz w:val="18"/>
              </w:rPr>
              <w:t>Ownership notice</w:t>
            </w:r>
          </w:p>
        </w:tc>
        <w:tc>
          <w:tcPr>
            <w:tcW w:type="dxa" w:w="7260"/>
            <w:tcMar>
              <w:top w:w="100" w:type="dxa"/>
              <w:start w:w="120" w:type="dxa"/>
              <w:bottom w:w="100" w:type="dxa"/>
              <w:end w:w="120" w:type="dxa"/>
            </w:tcMar>
            <w:vAlign w:val="center"/>
          </w:tcPr>
          <w:p>
            <w:pPr>
              <w:spacing w:after="0" w:line="252" w:lineRule="auto"/>
            </w:pPr>
            <w:r>
              <w:rPr>
                <w:rFonts w:ascii="Calibri" w:hAnsi="Calibri"/>
                <w:color w:val="24313A"/>
                <w:sz w:val="18"/>
              </w:rPr>
              <w:t>Owned by Freston Kenny Adedeme and authorised for institutional use by KenAddme IT Links.</w:t>
            </w:r>
          </w:p>
        </w:tc>
      </w:tr>
    </w:tbl>
    <w:p>
      <w:pPr>
        <w:spacing w:after="40"/>
      </w:pPr>
    </w:p>
    <w:p>
      <w:pPr>
        <w:pStyle w:val="Heading2"/>
        <w:keepNext w:val="0"/>
        <w:pageBreakBefore w:val="0"/>
      </w:pPr>
      <w:r>
        <w:t>Approval Record</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200"/>
        <w:gridCol w:w="1800"/>
        <w:gridCol w:w="1800"/>
        <w:gridCol w:w="1800"/>
        <w:gridCol w:w="1760"/>
      </w:tblGrid>
      <w:tr>
        <w:trPr>
          <w:tblHeader w:val="true"/>
          <w:cantSplit/>
        </w:trPr>
        <w:tc>
          <w:tcPr>
            <w:tcW w:type="dxa" w:w="2200"/>
            <w:tcMar>
              <w:top w:w="100" w:type="dxa"/>
              <w:start w:w="120" w:type="dxa"/>
              <w:bottom w:w="100" w:type="dxa"/>
              <w:end w:w="120" w:type="dxa"/>
            </w:tcMar>
            <w:vAlign w:val="center"/>
            <w:shd w:fill="123A5A"/>
          </w:tcPr>
          <w:p>
            <w:pPr>
              <w:jc w:val="left"/>
            </w:pPr>
            <w:r>
              <w:rPr>
                <w:rFonts w:ascii="Calibri" w:hAnsi="Calibri"/>
                <w:b/>
                <w:color w:val="FFFFFF"/>
                <w:sz w:val="18"/>
              </w:rPr>
              <w:t>Role</w:t>
            </w:r>
          </w:p>
        </w:tc>
        <w:tc>
          <w:tcPr>
            <w:tcW w:type="dxa" w:w="1800"/>
            <w:tcMar>
              <w:top w:w="100" w:type="dxa"/>
              <w:start w:w="120" w:type="dxa"/>
              <w:bottom w:w="100" w:type="dxa"/>
              <w:end w:w="120" w:type="dxa"/>
            </w:tcMar>
            <w:vAlign w:val="center"/>
            <w:shd w:fill="123A5A"/>
          </w:tcPr>
          <w:p>
            <w:pPr>
              <w:jc w:val="left"/>
            </w:pPr>
            <w:r>
              <w:rPr>
                <w:rFonts w:ascii="Calibri" w:hAnsi="Calibri"/>
                <w:b/>
                <w:color w:val="FFFFFF"/>
                <w:sz w:val="18"/>
              </w:rPr>
              <w:t>Name</w:t>
            </w:r>
          </w:p>
        </w:tc>
        <w:tc>
          <w:tcPr>
            <w:tcW w:type="dxa" w:w="1800"/>
            <w:tcMar>
              <w:top w:w="100" w:type="dxa"/>
              <w:start w:w="120" w:type="dxa"/>
              <w:bottom w:w="100" w:type="dxa"/>
              <w:end w:w="120" w:type="dxa"/>
            </w:tcMar>
            <w:vAlign w:val="center"/>
            <w:shd w:fill="123A5A"/>
          </w:tcPr>
          <w:p>
            <w:pPr>
              <w:jc w:val="left"/>
            </w:pPr>
            <w:r>
              <w:rPr>
                <w:rFonts w:ascii="Calibri" w:hAnsi="Calibri"/>
                <w:b/>
                <w:color w:val="FFFFFF"/>
                <w:sz w:val="18"/>
              </w:rPr>
              <w:t>Decision</w:t>
            </w:r>
          </w:p>
        </w:tc>
        <w:tc>
          <w:tcPr>
            <w:tcW w:type="dxa" w:w="1800"/>
            <w:tcMar>
              <w:top w:w="100" w:type="dxa"/>
              <w:start w:w="120" w:type="dxa"/>
              <w:bottom w:w="100" w:type="dxa"/>
              <w:end w:w="120" w:type="dxa"/>
            </w:tcMar>
            <w:vAlign w:val="center"/>
            <w:shd w:fill="123A5A"/>
          </w:tcPr>
          <w:p>
            <w:pPr>
              <w:jc w:val="left"/>
            </w:pPr>
            <w:r>
              <w:rPr>
                <w:rFonts w:ascii="Calibri" w:hAnsi="Calibri"/>
                <w:b/>
                <w:color w:val="FFFFFF"/>
                <w:sz w:val="18"/>
              </w:rPr>
              <w:t>Signature</w:t>
            </w:r>
          </w:p>
        </w:tc>
        <w:tc>
          <w:tcPr>
            <w:tcW w:type="dxa" w:w="1760"/>
            <w:tcMar>
              <w:top w:w="100" w:type="dxa"/>
              <w:start w:w="120" w:type="dxa"/>
              <w:bottom w:w="100" w:type="dxa"/>
              <w:end w:w="120" w:type="dxa"/>
            </w:tcMar>
            <w:vAlign w:val="center"/>
            <w:shd w:fill="123A5A"/>
          </w:tcPr>
          <w:p>
            <w:pPr>
              <w:jc w:val="left"/>
            </w:pPr>
            <w:r>
              <w:rPr>
                <w:rFonts w:ascii="Calibri" w:hAnsi="Calibri"/>
                <w:b/>
                <w:color w:val="FFFFFF"/>
                <w:sz w:val="18"/>
              </w:rPr>
              <w:t>Date</w:t>
            </w:r>
          </w:p>
        </w:tc>
      </w:tr>
      <w:tr>
        <w:trPr>
          <w:cantSplit/>
        </w:trPr>
        <w:tc>
          <w:tcPr>
            <w:tcW w:type="dxa" w:w="2200"/>
            <w:tcMar>
              <w:top w:w="100" w:type="dxa"/>
              <w:start w:w="120" w:type="dxa"/>
              <w:bottom w:w="100" w:type="dxa"/>
              <w:end w:w="120" w:type="dxa"/>
            </w:tcMar>
            <w:vAlign w:val="center"/>
          </w:tcPr>
          <w:p>
            <w:pPr>
              <w:spacing w:after="0" w:line="252" w:lineRule="auto"/>
            </w:pPr>
            <w:r>
              <w:rPr>
                <w:rFonts w:ascii="Calibri" w:hAnsi="Calibri"/>
                <w:color w:val="24313A"/>
                <w:sz w:val="17"/>
              </w:rPr>
              <w:t>Document Owner / Approving Authority</w:t>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Freston Kenny Adedeme</w:t>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Approved for institutional use</w:t>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Electronic approval recorded</w:t>
            </w:r>
          </w:p>
        </w:tc>
        <w:tc>
          <w:tcPr>
            <w:tcW w:type="dxa" w:w="1760"/>
            <w:tcMar>
              <w:top w:w="100" w:type="dxa"/>
              <w:start w:w="120" w:type="dxa"/>
              <w:bottom w:w="100" w:type="dxa"/>
              <w:end w:w="120" w:type="dxa"/>
            </w:tcMar>
            <w:vAlign w:val="center"/>
          </w:tcPr>
          <w:p>
            <w:pPr>
              <w:spacing w:after="0" w:line="252" w:lineRule="auto"/>
            </w:pPr>
            <w:r>
              <w:rPr>
                <w:rFonts w:ascii="Calibri" w:hAnsi="Calibri"/>
                <w:color w:val="24313A"/>
                <w:sz w:val="17"/>
              </w:rPr>
              <w:t>2 September 2026</w:t>
            </w:r>
          </w:p>
        </w:tc>
      </w:tr>
      <w:tr>
        <w:trPr>
          <w:cantSplit/>
        </w:trPr>
        <w:tc>
          <w:tcPr>
            <w:tcW w:type="dxa" w:w="2200"/>
            <w:shd w:fill="F4F6F8"/>
            <w:tcMar>
              <w:top w:w="100" w:type="dxa"/>
              <w:start w:w="120" w:type="dxa"/>
              <w:bottom w:w="100" w:type="dxa"/>
              <w:end w:w="120" w:type="dxa"/>
            </w:tcMar>
            <w:vAlign w:val="center"/>
          </w:tcPr>
          <w:p>
            <w:pPr>
              <w:spacing w:after="0" w:line="252" w:lineRule="auto"/>
            </w:pPr>
            <w:r>
              <w:rPr>
                <w:rFonts w:ascii="Calibri" w:hAnsi="Calibri"/>
                <w:color w:val="24313A"/>
                <w:sz w:val="17"/>
              </w:rPr>
              <w:t>Framework Custodian</w:t>
            </w:r>
          </w:p>
        </w:tc>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Freston Kenny Adedeme</w:t>
            </w:r>
          </w:p>
        </w:tc>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Ownership and maintenance accepted</w:t>
            </w:r>
          </w:p>
        </w:tc>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Electronic record</w:t>
            </w:r>
          </w:p>
        </w:tc>
        <w:tc>
          <w:tcPr>
            <w:tcW w:type="dxa" w:w="1760"/>
            <w:shd w:fill="F4F6F8"/>
            <w:tcMar>
              <w:top w:w="100" w:type="dxa"/>
              <w:start w:w="120" w:type="dxa"/>
              <w:bottom w:w="100" w:type="dxa"/>
              <w:end w:w="120" w:type="dxa"/>
            </w:tcMar>
            <w:vAlign w:val="center"/>
          </w:tcPr>
          <w:p>
            <w:pPr>
              <w:spacing w:after="0" w:line="252" w:lineRule="auto"/>
            </w:pPr>
            <w:r>
              <w:rPr>
                <w:rFonts w:ascii="Calibri" w:hAnsi="Calibri"/>
                <w:color w:val="24313A"/>
                <w:sz w:val="17"/>
              </w:rPr>
              <w:t>2 September 2026</w:t>
            </w:r>
          </w:p>
        </w:tc>
      </w:tr>
      <w:tr>
        <w:trPr>
          <w:cantSplit/>
        </w:trPr>
        <w:tc>
          <w:tcPr>
            <w:tcW w:type="dxa" w:w="2200"/>
            <w:tcMar>
              <w:top w:w="100" w:type="dxa"/>
              <w:start w:w="120" w:type="dxa"/>
              <w:bottom w:w="100" w:type="dxa"/>
              <w:end w:w="120" w:type="dxa"/>
            </w:tcMar>
            <w:vAlign w:val="center"/>
          </w:tcPr>
          <w:p>
            <w:pPr>
              <w:spacing w:after="0" w:line="252" w:lineRule="auto"/>
            </w:pPr>
            <w:r>
              <w:rPr>
                <w:rFonts w:ascii="Calibri" w:hAnsi="Calibri"/>
                <w:color w:val="24313A"/>
                <w:sz w:val="17"/>
              </w:rPr>
              <w:t>Independent Review Basis</w:t>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Editorial and governance review</w:t>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Eleven findings accepted and closed</w:t>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Review record retained</w:t>
            </w:r>
          </w:p>
        </w:tc>
        <w:tc>
          <w:tcPr>
            <w:tcW w:type="dxa" w:w="1760"/>
            <w:tcMar>
              <w:top w:w="100" w:type="dxa"/>
              <w:start w:w="120" w:type="dxa"/>
              <w:bottom w:w="100" w:type="dxa"/>
              <w:end w:w="120" w:type="dxa"/>
            </w:tcMar>
            <w:vAlign w:val="center"/>
          </w:tcPr>
          <w:p>
            <w:pPr>
              <w:spacing w:after="0" w:line="252" w:lineRule="auto"/>
            </w:pPr>
            <w:r>
              <w:rPr>
                <w:rFonts w:ascii="Calibri" w:hAnsi="Calibri"/>
                <w:color w:val="24313A"/>
                <w:sz w:val="17"/>
              </w:rPr>
              <w:t>1-2 September 2026</w:t>
            </w:r>
          </w:p>
        </w:tc>
      </w:tr>
      <w:tr>
        <w:trPr>
          <w:cantSplit/>
        </w:trPr>
        <w:tc>
          <w:tcPr>
            <w:tcW w:type="dxa" w:w="2200"/>
            <w:shd w:fill="F4F6F8"/>
            <w:tcMar>
              <w:top w:w="100" w:type="dxa"/>
              <w:start w:w="120" w:type="dxa"/>
              <w:bottom w:w="100" w:type="dxa"/>
              <w:end w:w="120" w:type="dxa"/>
            </w:tcMar>
            <w:vAlign w:val="center"/>
          </w:tcPr>
          <w:p>
            <w:pPr>
              <w:spacing w:after="0" w:line="252" w:lineRule="auto"/>
            </w:pPr>
            <w:r>
              <w:rPr>
                <w:rFonts w:ascii="Calibri" w:hAnsi="Calibri"/>
                <w:color w:val="24313A"/>
                <w:sz w:val="17"/>
              </w:rPr>
              <w:t>Institutional User</w:t>
            </w:r>
          </w:p>
        </w:tc>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KenAddme IT Links</w:t>
            </w:r>
          </w:p>
        </w:tc>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Mandatory from effective date</w:t>
            </w:r>
          </w:p>
        </w:tc>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Controlled electronic copy</w:t>
            </w:r>
          </w:p>
        </w:tc>
        <w:tc>
          <w:tcPr>
            <w:tcW w:type="dxa" w:w="1760"/>
            <w:shd w:fill="F4F6F8"/>
            <w:tcMar>
              <w:top w:w="100" w:type="dxa"/>
              <w:start w:w="120" w:type="dxa"/>
              <w:bottom w:w="100" w:type="dxa"/>
              <w:end w:w="120" w:type="dxa"/>
            </w:tcMar>
            <w:vAlign w:val="center"/>
          </w:tcPr>
          <w:p>
            <w:pPr>
              <w:spacing w:after="0" w:line="252" w:lineRule="auto"/>
            </w:pPr>
            <w:r>
              <w:rPr>
                <w:rFonts w:ascii="Calibri" w:hAnsi="Calibri"/>
                <w:color w:val="24313A"/>
                <w:sz w:val="17"/>
              </w:rPr>
              <w:t>31 October 2026</w:t>
            </w:r>
          </w:p>
        </w:tc>
      </w:tr>
    </w:tbl>
    <w:p>
      <w:pPr>
        <w:spacing w:after="40"/>
      </w:pPr>
    </w:p>
    <w:p>
      <w:pPr>
        <w:pStyle w:val="Heading2"/>
        <w:keepNext/>
        <w:pageBreakBefore w:val="0"/>
      </w:pPr>
      <w:r>
        <w:t>Revision History</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200"/>
        <w:gridCol w:w="1600"/>
        <w:gridCol w:w="4560"/>
        <w:gridCol w:w="2000"/>
      </w:tblGrid>
      <w:tr>
        <w:trPr>
          <w:tblHeader w:val="true"/>
          <w:cantSplit/>
        </w:trPr>
        <w:tc>
          <w:tcPr>
            <w:tcW w:type="dxa" w:w="1200"/>
            <w:tcMar>
              <w:top w:w="100" w:type="dxa"/>
              <w:start w:w="120" w:type="dxa"/>
              <w:bottom w:w="100" w:type="dxa"/>
              <w:end w:w="120" w:type="dxa"/>
            </w:tcMar>
            <w:vAlign w:val="center"/>
            <w:shd w:fill="123A5A"/>
          </w:tcPr>
          <w:p>
            <w:pPr>
              <w:jc w:val="left"/>
            </w:pPr>
            <w:r>
              <w:rPr>
                <w:rFonts w:ascii="Calibri" w:hAnsi="Calibri"/>
                <w:b/>
                <w:color w:val="FFFFFF"/>
                <w:sz w:val="18"/>
              </w:rPr>
              <w:t>Version</w:t>
            </w:r>
          </w:p>
        </w:tc>
        <w:tc>
          <w:tcPr>
            <w:tcW w:type="dxa" w:w="1600"/>
            <w:tcMar>
              <w:top w:w="100" w:type="dxa"/>
              <w:start w:w="120" w:type="dxa"/>
              <w:bottom w:w="100" w:type="dxa"/>
              <w:end w:w="120" w:type="dxa"/>
            </w:tcMar>
            <w:vAlign w:val="center"/>
            <w:shd w:fill="123A5A"/>
          </w:tcPr>
          <w:p>
            <w:pPr>
              <w:jc w:val="left"/>
            </w:pPr>
            <w:r>
              <w:rPr>
                <w:rFonts w:ascii="Calibri" w:hAnsi="Calibri"/>
                <w:b/>
                <w:color w:val="FFFFFF"/>
                <w:sz w:val="18"/>
              </w:rPr>
              <w:t>Date</w:t>
            </w:r>
          </w:p>
        </w:tc>
        <w:tc>
          <w:tcPr>
            <w:tcW w:type="dxa" w:w="4560"/>
            <w:tcMar>
              <w:top w:w="100" w:type="dxa"/>
              <w:start w:w="120" w:type="dxa"/>
              <w:bottom w:w="100" w:type="dxa"/>
              <w:end w:w="120" w:type="dxa"/>
            </w:tcMar>
            <w:vAlign w:val="center"/>
            <w:shd w:fill="123A5A"/>
          </w:tcPr>
          <w:p>
            <w:pPr>
              <w:jc w:val="left"/>
            </w:pPr>
            <w:r>
              <w:rPr>
                <w:rFonts w:ascii="Calibri" w:hAnsi="Calibri"/>
                <w:b/>
                <w:color w:val="FFFFFF"/>
                <w:sz w:val="18"/>
              </w:rPr>
              <w:t>Summary of change</w:t>
            </w:r>
          </w:p>
        </w:tc>
        <w:tc>
          <w:tcPr>
            <w:tcW w:type="dxa" w:w="2000"/>
            <w:tcMar>
              <w:top w:w="100" w:type="dxa"/>
              <w:start w:w="120" w:type="dxa"/>
              <w:bottom w:w="100" w:type="dxa"/>
              <w:end w:w="120" w:type="dxa"/>
            </w:tcMar>
            <w:vAlign w:val="center"/>
            <w:shd w:fill="123A5A"/>
          </w:tcPr>
          <w:p>
            <w:pPr>
              <w:jc w:val="left"/>
            </w:pPr>
            <w:r>
              <w:rPr>
                <w:rFonts w:ascii="Calibri" w:hAnsi="Calibri"/>
                <w:b/>
                <w:color w:val="FFFFFF"/>
                <w:sz w:val="18"/>
              </w:rPr>
              <w:t>Author / Owner</w:t>
            </w:r>
          </w:p>
        </w:tc>
      </w:tr>
      <w:tr>
        <w:trPr>
          <w:cantSplit/>
        </w:trPr>
        <w:tc>
          <w:tcPr>
            <w:tcW w:type="dxa" w:w="1200"/>
            <w:tcMar>
              <w:top w:w="100" w:type="dxa"/>
              <w:start w:w="120" w:type="dxa"/>
              <w:bottom w:w="100" w:type="dxa"/>
              <w:end w:w="120" w:type="dxa"/>
            </w:tcMar>
            <w:vAlign w:val="center"/>
          </w:tcPr>
          <w:p>
            <w:pPr>
              <w:spacing w:after="0" w:line="252" w:lineRule="auto"/>
            </w:pPr>
            <w:r>
              <w:rPr>
                <w:rFonts w:ascii="Calibri" w:hAnsi="Calibri"/>
                <w:color w:val="24313A"/>
                <w:sz w:val="17"/>
              </w:rPr>
              <w:t>1.0-draft</w:t>
            </w:r>
          </w:p>
        </w:tc>
        <w:tc>
          <w:tcPr>
            <w:tcW w:type="dxa" w:w="1600"/>
            <w:tcMar>
              <w:top w:w="100" w:type="dxa"/>
              <w:start w:w="120" w:type="dxa"/>
              <w:bottom w:w="100" w:type="dxa"/>
              <w:end w:w="120" w:type="dxa"/>
            </w:tcMar>
            <w:vAlign w:val="center"/>
          </w:tcPr>
          <w:p>
            <w:pPr>
              <w:spacing w:after="0" w:line="252" w:lineRule="auto"/>
            </w:pPr>
            <w:r>
              <w:rPr>
                <w:rFonts w:ascii="Calibri" w:hAnsi="Calibri"/>
                <w:color w:val="24313A"/>
                <w:sz w:val="17"/>
              </w:rPr>
              <w:t>1 September 2026</w:t>
            </w:r>
          </w:p>
        </w:tc>
        <w:tc>
          <w:tcPr>
            <w:tcW w:type="dxa" w:w="4560"/>
            <w:tcMar>
              <w:top w:w="100" w:type="dxa"/>
              <w:start w:w="120" w:type="dxa"/>
              <w:bottom w:w="100" w:type="dxa"/>
              <w:end w:w="120" w:type="dxa"/>
            </w:tcMar>
            <w:vAlign w:val="center"/>
          </w:tcPr>
          <w:p>
            <w:pPr>
              <w:spacing w:after="0" w:line="252" w:lineRule="auto"/>
            </w:pPr>
            <w:r>
              <w:rPr>
                <w:rFonts w:ascii="Calibri" w:hAnsi="Calibri"/>
                <w:color w:val="24313A"/>
                <w:sz w:val="17"/>
              </w:rPr>
              <w:t>Initial institutional framework submitted for independent editorial and governance review.</w:t>
            </w:r>
          </w:p>
        </w:tc>
        <w:tc>
          <w:tcPr>
            <w:tcW w:type="dxa" w:w="2000"/>
            <w:tcMar>
              <w:top w:w="100" w:type="dxa"/>
              <w:start w:w="120" w:type="dxa"/>
              <w:bottom w:w="100" w:type="dxa"/>
              <w:end w:w="120" w:type="dxa"/>
            </w:tcMar>
            <w:vAlign w:val="center"/>
          </w:tcPr>
          <w:p>
            <w:pPr>
              <w:spacing w:after="0" w:line="252" w:lineRule="auto"/>
            </w:pPr>
            <w:r>
              <w:rPr>
                <w:rFonts w:ascii="Calibri" w:hAnsi="Calibri"/>
                <w:color w:val="24313A"/>
                <w:sz w:val="17"/>
              </w:rPr>
              <w:t>KenAddme IT Links</w:t>
            </w:r>
          </w:p>
        </w:tc>
      </w:tr>
      <w:tr>
        <w:trPr>
          <w:cantSplit/>
        </w:trPr>
        <w:tc>
          <w:tcPr>
            <w:tcW w:type="dxa" w:w="1200"/>
            <w:shd w:fill="F4F6F8"/>
            <w:tcMar>
              <w:top w:w="100" w:type="dxa"/>
              <w:start w:w="120" w:type="dxa"/>
              <w:bottom w:w="100" w:type="dxa"/>
              <w:end w:w="120" w:type="dxa"/>
            </w:tcMar>
            <w:vAlign w:val="center"/>
          </w:tcPr>
          <w:p>
            <w:pPr>
              <w:spacing w:after="0" w:line="252" w:lineRule="auto"/>
            </w:pPr>
            <w:r>
              <w:rPr>
                <w:rFonts w:ascii="Calibri" w:hAnsi="Calibri"/>
                <w:color w:val="24313A"/>
                <w:sz w:val="17"/>
              </w:rPr>
              <w:t>1.0</w:t>
            </w:r>
          </w:p>
        </w:tc>
        <w:tc>
          <w:tcPr>
            <w:tcW w:type="dxa" w:w="1600"/>
            <w:shd w:fill="F4F6F8"/>
            <w:tcMar>
              <w:top w:w="100" w:type="dxa"/>
              <w:start w:w="120" w:type="dxa"/>
              <w:bottom w:w="100" w:type="dxa"/>
              <w:end w:w="120" w:type="dxa"/>
            </w:tcMar>
            <w:vAlign w:val="center"/>
          </w:tcPr>
          <w:p>
            <w:pPr>
              <w:spacing w:after="0" w:line="252" w:lineRule="auto"/>
            </w:pPr>
            <w:r>
              <w:rPr>
                <w:rFonts w:ascii="Calibri" w:hAnsi="Calibri"/>
                <w:color w:val="24313A"/>
                <w:sz w:val="17"/>
              </w:rPr>
              <w:t>2 September 2026</w:t>
            </w:r>
          </w:p>
        </w:tc>
        <w:tc>
          <w:tcPr>
            <w:tcW w:type="dxa" w:w="4560"/>
            <w:shd w:fill="F4F6F8"/>
            <w:tcMar>
              <w:top w:w="100" w:type="dxa"/>
              <w:start w:w="120" w:type="dxa"/>
              <w:bottom w:w="100" w:type="dxa"/>
              <w:end w:w="120" w:type="dxa"/>
            </w:tcMar>
            <w:vAlign w:val="center"/>
          </w:tcPr>
          <w:p>
            <w:pPr>
              <w:spacing w:after="0" w:line="252" w:lineRule="auto"/>
            </w:pPr>
            <w:r>
              <w:rPr>
                <w:rFonts w:ascii="Calibri" w:hAnsi="Calibri"/>
                <w:color w:val="24313A"/>
                <w:sz w:val="17"/>
              </w:rPr>
              <w:t>All eleven pre-approval findings closed; framework approved for institutional use.</w:t>
            </w:r>
          </w:p>
        </w:tc>
        <w:tc>
          <w:tcPr>
            <w:tcW w:type="dxa" w:w="2000"/>
            <w:shd w:fill="F4F6F8"/>
            <w:tcMar>
              <w:top w:w="100" w:type="dxa"/>
              <w:start w:w="120" w:type="dxa"/>
              <w:bottom w:w="100" w:type="dxa"/>
              <w:end w:w="120" w:type="dxa"/>
            </w:tcMar>
            <w:vAlign w:val="center"/>
          </w:tcPr>
          <w:p>
            <w:pPr>
              <w:spacing w:after="0" w:line="252" w:lineRule="auto"/>
            </w:pPr>
            <w:r>
              <w:rPr>
                <w:rFonts w:ascii="Calibri" w:hAnsi="Calibri"/>
                <w:color w:val="24313A"/>
                <w:sz w:val="17"/>
              </w:rPr>
              <w:t>Freston Kenny Adedeme</w:t>
            </w:r>
          </w:p>
        </w:tc>
      </w:tr>
      <w:tr>
        <w:trPr>
          <w:cantSplit/>
        </w:trPr>
        <w:tc>
          <w:tcPr>
            <w:tcW w:type="dxa" w:w="1200"/>
            <w:tcMar>
              <w:top w:w="100" w:type="dxa"/>
              <w:start w:w="120" w:type="dxa"/>
              <w:bottom w:w="100" w:type="dxa"/>
              <w:end w:w="120" w:type="dxa"/>
            </w:tcMar>
            <w:vAlign w:val="center"/>
          </w:tcPr>
          <w:p>
            <w:pPr>
              <w:spacing w:after="0" w:line="252" w:lineRule="auto"/>
            </w:pPr>
            <w:r>
              <w:rPr>
                <w:rFonts w:ascii="Calibri" w:hAnsi="Calibri"/>
                <w:color w:val="24313A"/>
                <w:sz w:val="17"/>
              </w:rPr>
              <w:t xml:space="preserve">1.1</w:t>
            </w:r>
          </w:p>
        </w:tc>
        <w:tc>
          <w:tcPr>
            <w:tcW w:type="dxa" w:w="1600"/>
            <w:tcMar>
              <w:top w:w="100" w:type="dxa"/>
              <w:start w:w="120" w:type="dxa"/>
              <w:bottom w:w="100" w:type="dxa"/>
              <w:end w:w="120" w:type="dxa"/>
            </w:tcMar>
            <w:vAlign w:val="center"/>
          </w:tcPr>
          <w:p>
            <w:pPr>
              <w:spacing w:after="0" w:line="252" w:lineRule="auto"/>
            </w:pPr>
            <w:r>
              <w:rPr>
                <w:rFonts w:ascii="Calibri" w:hAnsi="Calibri"/>
                <w:color w:val="24313A"/>
                <w:sz w:val="17"/>
              </w:rPr>
              <w:t xml:space="preserve">2 September 2026</w:t>
            </w:r>
          </w:p>
        </w:tc>
        <w:tc>
          <w:tcPr>
            <w:tcW w:type="dxa" w:w="4560"/>
            <w:tcMar>
              <w:top w:w="100" w:type="dxa"/>
              <w:start w:w="120" w:type="dxa"/>
              <w:bottom w:w="100" w:type="dxa"/>
              <w:end w:w="120" w:type="dxa"/>
            </w:tcMar>
            <w:vAlign w:val="center"/>
          </w:tcPr>
          <w:p>
            <w:pPr>
              <w:spacing w:after="0" w:line="252" w:lineRule="auto"/>
            </w:pPr>
            <w:r>
              <w:rPr>
                <w:rFonts w:ascii="Calibri" w:hAnsi="Calibri"/>
                <w:color w:val="24313A"/>
                <w:sz w:val="17"/>
              </w:rPr>
              <w:t xml:space="preserve">Closure verification corrections applied (N1-N7): Gate 1 authority proportioned by class, reconciliation version reference made edition-neutral, emergency-change depth aligned with the Software Development and Engineering Framework, transition window and versioning convention stated, Project Authority quorum fallback added, and release authority defined.</w:t>
            </w:r>
          </w:p>
        </w:tc>
        <w:tc>
          <w:tcPr>
            <w:tcW w:type="dxa" w:w="2000"/>
            <w:tcMar>
              <w:top w:w="100" w:type="dxa"/>
              <w:start w:w="120" w:type="dxa"/>
              <w:bottom w:w="100" w:type="dxa"/>
              <w:end w:w="120" w:type="dxa"/>
            </w:tcMar>
            <w:vAlign w:val="center"/>
          </w:tcPr>
          <w:p>
            <w:pPr>
              <w:spacing w:after="0" w:line="252" w:lineRule="auto"/>
            </w:pPr>
            <w:r>
              <w:rPr>
                <w:rFonts w:ascii="Calibri" w:hAnsi="Calibri"/>
                <w:color w:val="24313A"/>
                <w:sz w:val="17"/>
              </w:rPr>
              <w:t xml:space="preserve">Freston Kenny Adedeme</w:t>
            </w:r>
          </w:p>
        </w:tc>
      </w:tr>
    </w:tbl>
    <w:p>
      <w:pPr>
        <w:spacing w:after="40"/>
      </w:pPr>
    </w:p>
    <w:p>
      <w:pPr>
        <w:pStyle w:val="Heading2"/>
        <w:keepNext w:val="0"/>
        <w:pageBreakBefore w:val="0"/>
      </w:pPr>
      <w:r>
        <w:t>Approval Basis and Findings Closure</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Approval basis: </w:t>
      </w:r>
      <w:r>
        <w:rPr>
          <w:rFonts w:ascii="Calibri" w:hAnsi="Calibri"/>
          <w:color w:val="24313A"/>
        </w:rPr>
        <w:t>The independent review dated 1 September 2026 recommended approval subject to correction. Findings 1-11 have all been incorporated in this controlled edition; none is deferred to a later release. A closure verification dated 2 September 2026 confirmed all eleven closures and raised seven consequential items (N1-N7); those corrections are incorporated in Version 1.1 and are summarised in the revision history.</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500"/>
        <w:gridCol w:w="900"/>
        <w:gridCol w:w="2450"/>
        <w:gridCol w:w="5510"/>
      </w:tblGrid>
      <w:tr>
        <w:trPr>
          <w:tblHeader w:val="true"/>
          <w:cantSplit/>
        </w:trPr>
        <w:tc>
          <w:tcPr>
            <w:tcW w:type="dxa" w:w="500"/>
            <w:tcMar>
              <w:top w:w="100" w:type="dxa"/>
              <w:start w:w="120" w:type="dxa"/>
              <w:bottom w:w="100" w:type="dxa"/>
              <w:end w:w="120" w:type="dxa"/>
            </w:tcMar>
            <w:vAlign w:val="center"/>
            <w:shd w:fill="123A5A"/>
          </w:tcPr>
          <w:p>
            <w:pPr>
              <w:jc w:val="left"/>
            </w:pPr>
            <w:r>
              <w:rPr>
                <w:rFonts w:ascii="Calibri" w:hAnsi="Calibri"/>
                <w:b/>
                <w:color w:val="FFFFFF"/>
                <w:sz w:val="18"/>
              </w:rPr>
              <w:t>#</w:t>
            </w:r>
          </w:p>
        </w:tc>
        <w:tc>
          <w:tcPr>
            <w:tcW w:type="dxa" w:w="900"/>
            <w:tcMar>
              <w:top w:w="100" w:type="dxa"/>
              <w:start w:w="120" w:type="dxa"/>
              <w:bottom w:w="100" w:type="dxa"/>
              <w:end w:w="120" w:type="dxa"/>
            </w:tcMar>
            <w:vAlign w:val="center"/>
            <w:shd w:fill="123A5A"/>
          </w:tcPr>
          <w:p>
            <w:pPr>
              <w:jc w:val="left"/>
            </w:pPr>
            <w:r>
              <w:rPr>
                <w:rFonts w:ascii="Calibri" w:hAnsi="Calibri"/>
                <w:b/>
                <w:color w:val="FFFFFF"/>
                <w:sz w:val="18"/>
              </w:rPr>
              <w:t>Severity</w:t>
            </w:r>
          </w:p>
        </w:tc>
        <w:tc>
          <w:tcPr>
            <w:tcW w:type="dxa" w:w="2450"/>
            <w:tcMar>
              <w:top w:w="100" w:type="dxa"/>
              <w:start w:w="120" w:type="dxa"/>
              <w:bottom w:w="100" w:type="dxa"/>
              <w:end w:w="120" w:type="dxa"/>
            </w:tcMar>
            <w:vAlign w:val="center"/>
            <w:shd w:fill="123A5A"/>
          </w:tcPr>
          <w:p>
            <w:pPr>
              <w:jc w:val="left"/>
            </w:pPr>
            <w:r>
              <w:rPr>
                <w:rFonts w:ascii="Calibri" w:hAnsi="Calibri"/>
                <w:b/>
                <w:color w:val="FFFFFF"/>
                <w:sz w:val="18"/>
              </w:rPr>
              <w:t>Finding</w:t>
            </w:r>
          </w:p>
        </w:tc>
        <w:tc>
          <w:tcPr>
            <w:tcW w:type="dxa" w:w="5510"/>
            <w:tcMar>
              <w:top w:w="100" w:type="dxa"/>
              <w:start w:w="120" w:type="dxa"/>
              <w:bottom w:w="100" w:type="dxa"/>
              <w:end w:w="120" w:type="dxa"/>
            </w:tcMar>
            <w:vAlign w:val="center"/>
            <w:shd w:fill="123A5A"/>
          </w:tcPr>
          <w:p>
            <w:pPr>
              <w:jc w:val="left"/>
            </w:pPr>
            <w:r>
              <w:rPr>
                <w:rFonts w:ascii="Calibri" w:hAnsi="Calibri"/>
                <w:b/>
                <w:color w:val="FFFFFF"/>
                <w:sz w:val="18"/>
              </w:rPr>
              <w:t>Closure incorporated in Version 1.0</w:t>
            </w:r>
          </w:p>
        </w:tc>
      </w:tr>
      <w:tr>
        <w:trPr>
          <w:cantSplit/>
        </w:trPr>
        <w:tc>
          <w:tcPr>
            <w:tcW w:type="dxa" w:w="500"/>
            <w:tcMar>
              <w:top w:w="100" w:type="dxa"/>
              <w:start w:w="120" w:type="dxa"/>
              <w:bottom w:w="100" w:type="dxa"/>
              <w:end w:w="120" w:type="dxa"/>
            </w:tcMar>
            <w:vAlign w:val="center"/>
          </w:tcPr>
          <w:p>
            <w:pPr>
              <w:spacing w:after="0" w:line="252" w:lineRule="auto"/>
            </w:pPr>
            <w:r>
              <w:rPr>
                <w:rFonts w:ascii="Calibri" w:hAnsi="Calibri"/>
                <w:color w:val="24313A"/>
                <w:sz w:val="17"/>
              </w:rPr>
              <w:t>1</w:t>
            </w:r>
          </w:p>
        </w:tc>
        <w:tc>
          <w:tcPr>
            <w:tcW w:type="dxa" w:w="900"/>
            <w:tcMar>
              <w:top w:w="100" w:type="dxa"/>
              <w:start w:w="120" w:type="dxa"/>
              <w:bottom w:w="100" w:type="dxa"/>
              <w:end w:w="120" w:type="dxa"/>
            </w:tcMar>
            <w:vAlign w:val="center"/>
          </w:tcPr>
          <w:p>
            <w:pPr>
              <w:spacing w:after="0" w:line="252" w:lineRule="auto"/>
            </w:pPr>
            <w:r>
              <w:rPr>
                <w:rFonts w:ascii="Calibri" w:hAnsi="Calibri"/>
                <w:color w:val="24313A"/>
                <w:sz w:val="17"/>
              </w:rPr>
              <w:t>S2</w:t>
            </w:r>
          </w:p>
        </w:tc>
        <w:tc>
          <w:tcPr>
            <w:tcW w:type="dxa" w:w="2450"/>
            <w:tcMar>
              <w:top w:w="100" w:type="dxa"/>
              <w:start w:w="120" w:type="dxa"/>
              <w:bottom w:w="100" w:type="dxa"/>
              <w:end w:w="120" w:type="dxa"/>
            </w:tcMar>
            <w:vAlign w:val="center"/>
          </w:tcPr>
          <w:p>
            <w:pPr>
              <w:spacing w:after="0" w:line="252" w:lineRule="auto"/>
            </w:pPr>
            <w:r>
              <w:rPr>
                <w:rFonts w:ascii="Calibri" w:hAnsi="Calibri"/>
                <w:color w:val="24313A"/>
                <w:sz w:val="17"/>
              </w:rPr>
              <w:t>Project and software frameworks did not reconcile.</w:t>
            </w:r>
          </w:p>
        </w:tc>
        <w:tc>
          <w:tcPr>
            <w:tcW w:type="dxa" w:w="5510"/>
            <w:tcMar>
              <w:top w:w="100" w:type="dxa"/>
              <w:start w:w="120" w:type="dxa"/>
              <w:bottom w:w="100" w:type="dxa"/>
              <w:end w:w="120" w:type="dxa"/>
            </w:tcMar>
            <w:vAlign w:val="center"/>
          </w:tcPr>
          <w:p>
            <w:pPr>
              <w:spacing w:after="0" w:line="252" w:lineRule="auto"/>
            </w:pPr>
            <w:r>
              <w:rPr>
                <w:rFonts w:ascii="Calibri" w:hAnsi="Calibri"/>
                <w:color w:val="24313A"/>
                <w:sz w:val="17"/>
              </w:rPr>
              <w:t>Appendix I now maps classification, gates, roles and the common effective date; evidence is produced once and relied upon by both frameworks.</w:t>
            </w:r>
          </w:p>
        </w:tc>
      </w:tr>
      <w:tr>
        <w:trPr>
          <w:cantSplit/>
        </w:trPr>
        <w:tc>
          <w:tcPr>
            <w:tcW w:type="dxa" w:w="500"/>
            <w:shd w:fill="F4F6F8"/>
            <w:tcMar>
              <w:top w:w="100" w:type="dxa"/>
              <w:start w:w="120" w:type="dxa"/>
              <w:bottom w:w="100" w:type="dxa"/>
              <w:end w:w="120" w:type="dxa"/>
            </w:tcMar>
            <w:vAlign w:val="center"/>
          </w:tcPr>
          <w:p>
            <w:pPr>
              <w:spacing w:after="0" w:line="252" w:lineRule="auto"/>
            </w:pPr>
            <w:r>
              <w:rPr>
                <w:rFonts w:ascii="Calibri" w:hAnsi="Calibri"/>
                <w:color w:val="24313A"/>
                <w:sz w:val="17"/>
              </w:rPr>
              <w:t>2</w:t>
            </w:r>
          </w:p>
        </w:tc>
        <w:tc>
          <w:tcPr>
            <w:tcW w:type="dxa" w:w="900"/>
            <w:shd w:fill="F4F6F8"/>
            <w:tcMar>
              <w:top w:w="100" w:type="dxa"/>
              <w:start w:w="120" w:type="dxa"/>
              <w:bottom w:w="100" w:type="dxa"/>
              <w:end w:w="120" w:type="dxa"/>
            </w:tcMar>
            <w:vAlign w:val="center"/>
          </w:tcPr>
          <w:p>
            <w:pPr>
              <w:spacing w:after="0" w:line="252" w:lineRule="auto"/>
            </w:pPr>
            <w:r>
              <w:rPr>
                <w:rFonts w:ascii="Calibri" w:hAnsi="Calibri"/>
                <w:color w:val="24313A"/>
                <w:sz w:val="17"/>
              </w:rPr>
              <w:t>S2</w:t>
            </w:r>
          </w:p>
        </w:tc>
        <w:tc>
          <w:tcPr>
            <w:tcW w:type="dxa" w:w="2450"/>
            <w:shd w:fill="F4F6F8"/>
            <w:tcMar>
              <w:top w:w="100" w:type="dxa"/>
              <w:start w:w="120" w:type="dxa"/>
              <w:bottom w:w="100" w:type="dxa"/>
              <w:end w:w="120" w:type="dxa"/>
            </w:tcMar>
            <w:vAlign w:val="center"/>
          </w:tcPr>
          <w:p>
            <w:pPr>
              <w:spacing w:after="0" w:line="252" w:lineRule="auto"/>
            </w:pPr>
            <w:r>
              <w:rPr>
                <w:rFonts w:ascii="Calibri" w:hAnsi="Calibri"/>
                <w:color w:val="24313A"/>
                <w:sz w:val="17"/>
              </w:rPr>
              <w:t>No default tolerances or financial authority thresholds.</w:t>
            </w:r>
          </w:p>
        </w:tc>
        <w:tc>
          <w:tcPr>
            <w:tcW w:type="dxa" w:w="5510"/>
            <w:shd w:fill="F4F6F8"/>
            <w:tcMar>
              <w:top w:w="100" w:type="dxa"/>
              <w:start w:w="120" w:type="dxa"/>
              <w:bottom w:w="100" w:type="dxa"/>
              <w:end w:w="120" w:type="dxa"/>
            </w:tcMar>
            <w:vAlign w:val="center"/>
          </w:tcPr>
          <w:p>
            <w:pPr>
              <w:spacing w:after="0" w:line="252" w:lineRule="auto"/>
            </w:pPr>
            <w:r>
              <w:rPr>
                <w:rFonts w:ascii="Calibri" w:hAnsi="Calibri"/>
                <w:color w:val="24313A"/>
                <w:sz w:val="17"/>
              </w:rPr>
              <w:t>Sections 3.1-3.2 establish class tolerances and binding interim GHS approval bands.</w:t>
            </w:r>
          </w:p>
        </w:tc>
      </w:tr>
      <w:tr>
        <w:trPr>
          <w:cantSplit/>
        </w:trPr>
        <w:tc>
          <w:tcPr>
            <w:tcW w:type="dxa" w:w="500"/>
            <w:tcMar>
              <w:top w:w="100" w:type="dxa"/>
              <w:start w:w="120" w:type="dxa"/>
              <w:bottom w:w="100" w:type="dxa"/>
              <w:end w:w="120" w:type="dxa"/>
            </w:tcMar>
            <w:vAlign w:val="center"/>
          </w:tcPr>
          <w:p>
            <w:pPr>
              <w:spacing w:after="0" w:line="252" w:lineRule="auto"/>
            </w:pPr>
            <w:r>
              <w:rPr>
                <w:rFonts w:ascii="Calibri" w:hAnsi="Calibri"/>
                <w:color w:val="24313A"/>
                <w:sz w:val="17"/>
              </w:rPr>
              <w:t>3</w:t>
            </w:r>
          </w:p>
        </w:tc>
        <w:tc>
          <w:tcPr>
            <w:tcW w:type="dxa" w:w="900"/>
            <w:tcMar>
              <w:top w:w="100" w:type="dxa"/>
              <w:start w:w="120" w:type="dxa"/>
              <w:bottom w:w="100" w:type="dxa"/>
              <w:end w:w="120" w:type="dxa"/>
            </w:tcMar>
            <w:vAlign w:val="center"/>
          </w:tcPr>
          <w:p>
            <w:pPr>
              <w:spacing w:after="0" w:line="252" w:lineRule="auto"/>
            </w:pPr>
            <w:r>
              <w:rPr>
                <w:rFonts w:ascii="Calibri" w:hAnsi="Calibri"/>
                <w:color w:val="24313A"/>
                <w:sz w:val="17"/>
              </w:rPr>
              <w:t>S2</w:t>
            </w:r>
          </w:p>
        </w:tc>
        <w:tc>
          <w:tcPr>
            <w:tcW w:type="dxa" w:w="2450"/>
            <w:tcMar>
              <w:top w:w="100" w:type="dxa"/>
              <w:start w:w="120" w:type="dxa"/>
              <w:bottom w:w="100" w:type="dxa"/>
              <w:end w:w="120" w:type="dxa"/>
            </w:tcMar>
            <w:vAlign w:val="center"/>
          </w:tcPr>
          <w:p>
            <w:pPr>
              <w:spacing w:after="0" w:line="252" w:lineRule="auto"/>
            </w:pPr>
            <w:r>
              <w:rPr>
                <w:rFonts w:ascii="Calibri" w:hAnsi="Calibri"/>
                <w:color w:val="24313A"/>
                <w:sz w:val="17"/>
              </w:rPr>
              <w:t>Role separation had no minimum floor.</w:t>
            </w:r>
          </w:p>
        </w:tc>
        <w:tc>
          <w:tcPr>
            <w:tcW w:type="dxa" w:w="5510"/>
            <w:tcMar>
              <w:top w:w="100" w:type="dxa"/>
              <w:start w:w="120" w:type="dxa"/>
              <w:bottom w:w="100" w:type="dxa"/>
              <w:end w:w="120" w:type="dxa"/>
            </w:tcMar>
            <w:vAlign w:val="center"/>
          </w:tcPr>
          <w:p>
            <w:pPr>
              <w:spacing w:after="0" w:line="252" w:lineRule="auto"/>
            </w:pPr>
            <w:r>
              <w:rPr>
                <w:rFonts w:ascii="Calibri" w:hAnsi="Calibri"/>
                <w:color w:val="24313A"/>
                <w:sz w:val="17"/>
              </w:rPr>
              <w:t>Section 3.3 prohibits self-approval and specifies compensating independent assurance.</w:t>
            </w:r>
          </w:p>
        </w:tc>
      </w:tr>
      <w:tr>
        <w:trPr>
          <w:cantSplit/>
        </w:trPr>
        <w:tc>
          <w:tcPr>
            <w:tcW w:type="dxa" w:w="500"/>
            <w:shd w:fill="F4F6F8"/>
            <w:tcMar>
              <w:top w:w="100" w:type="dxa"/>
              <w:start w:w="120" w:type="dxa"/>
              <w:bottom w:w="100" w:type="dxa"/>
              <w:end w:w="120" w:type="dxa"/>
            </w:tcMar>
            <w:vAlign w:val="center"/>
          </w:tcPr>
          <w:p>
            <w:pPr>
              <w:spacing w:after="0" w:line="252" w:lineRule="auto"/>
            </w:pPr>
            <w:r>
              <w:rPr>
                <w:rFonts w:ascii="Calibri" w:hAnsi="Calibri"/>
                <w:color w:val="24313A"/>
                <w:sz w:val="17"/>
              </w:rPr>
              <w:t>4</w:t>
            </w:r>
          </w:p>
        </w:tc>
        <w:tc>
          <w:tcPr>
            <w:tcW w:type="dxa" w:w="900"/>
            <w:shd w:fill="F4F6F8"/>
            <w:tcMar>
              <w:top w:w="100" w:type="dxa"/>
              <w:start w:w="120" w:type="dxa"/>
              <w:bottom w:w="100" w:type="dxa"/>
              <w:end w:w="120" w:type="dxa"/>
            </w:tcMar>
            <w:vAlign w:val="center"/>
          </w:tcPr>
          <w:p>
            <w:pPr>
              <w:spacing w:after="0" w:line="252" w:lineRule="auto"/>
            </w:pPr>
            <w:r>
              <w:rPr>
                <w:rFonts w:ascii="Calibri" w:hAnsi="Calibri"/>
                <w:color w:val="24313A"/>
                <w:sz w:val="17"/>
              </w:rPr>
              <w:t>S2</w:t>
            </w:r>
          </w:p>
        </w:tc>
        <w:tc>
          <w:tcPr>
            <w:tcW w:type="dxa" w:w="2450"/>
            <w:shd w:fill="F4F6F8"/>
            <w:tcMar>
              <w:top w:w="100" w:type="dxa"/>
              <w:start w:w="120" w:type="dxa"/>
              <w:bottom w:w="100" w:type="dxa"/>
              <w:end w:w="120" w:type="dxa"/>
            </w:tcMar>
            <w:vAlign w:val="center"/>
          </w:tcPr>
          <w:p>
            <w:pPr>
              <w:spacing w:after="0" w:line="252" w:lineRule="auto"/>
            </w:pPr>
            <w:r>
              <w:rPr>
                <w:rFonts w:ascii="Calibri" w:hAnsi="Calibri"/>
                <w:color w:val="24313A"/>
                <w:sz w:val="17"/>
              </w:rPr>
              <w:t>The Project Authority was not constituted.</w:t>
            </w:r>
          </w:p>
        </w:tc>
        <w:tc>
          <w:tcPr>
            <w:tcW w:type="dxa" w:w="5510"/>
            <w:shd w:fill="F4F6F8"/>
            <w:tcMar>
              <w:top w:w="100" w:type="dxa"/>
              <w:start w:w="120" w:type="dxa"/>
              <w:bottom w:w="100" w:type="dxa"/>
              <w:end w:w="120" w:type="dxa"/>
            </w:tcMar>
            <w:vAlign w:val="center"/>
          </w:tcPr>
          <w:p>
            <w:pPr>
              <w:spacing w:after="0" w:line="252" w:lineRule="auto"/>
            </w:pPr>
            <w:r>
              <w:rPr>
                <w:rFonts w:ascii="Calibri" w:hAnsi="Calibri"/>
                <w:color w:val="24313A"/>
                <w:sz w:val="17"/>
              </w:rPr>
              <w:t>Section 3.4 defines membership, quorum, cadence, powers and the sponsor-conflict rule.</w:t>
            </w:r>
          </w:p>
        </w:tc>
      </w:tr>
      <w:tr>
        <w:trPr>
          <w:cantSplit/>
        </w:trPr>
        <w:tc>
          <w:tcPr>
            <w:tcW w:type="dxa" w:w="500"/>
            <w:tcMar>
              <w:top w:w="100" w:type="dxa"/>
              <w:start w:w="120" w:type="dxa"/>
              <w:bottom w:w="100" w:type="dxa"/>
              <w:end w:w="120" w:type="dxa"/>
            </w:tcMar>
            <w:vAlign w:val="center"/>
          </w:tcPr>
          <w:p>
            <w:pPr>
              <w:spacing w:after="0" w:line="252" w:lineRule="auto"/>
            </w:pPr>
            <w:r>
              <w:rPr>
                <w:rFonts w:ascii="Calibri" w:hAnsi="Calibri"/>
                <w:color w:val="24313A"/>
                <w:sz w:val="17"/>
              </w:rPr>
              <w:t>5</w:t>
            </w:r>
          </w:p>
        </w:tc>
        <w:tc>
          <w:tcPr>
            <w:tcW w:type="dxa" w:w="900"/>
            <w:tcMar>
              <w:top w:w="100" w:type="dxa"/>
              <w:start w:w="120" w:type="dxa"/>
              <w:bottom w:w="100" w:type="dxa"/>
              <w:end w:w="120" w:type="dxa"/>
            </w:tcMar>
            <w:vAlign w:val="center"/>
          </w:tcPr>
          <w:p>
            <w:pPr>
              <w:spacing w:after="0" w:line="252" w:lineRule="auto"/>
            </w:pPr>
            <w:r>
              <w:rPr>
                <w:rFonts w:ascii="Calibri" w:hAnsi="Calibri"/>
                <w:color w:val="24313A"/>
                <w:sz w:val="17"/>
              </w:rPr>
              <w:t>S3</w:t>
            </w:r>
          </w:p>
        </w:tc>
        <w:tc>
          <w:tcPr>
            <w:tcW w:type="dxa" w:w="2450"/>
            <w:tcMar>
              <w:top w:w="100" w:type="dxa"/>
              <w:start w:w="120" w:type="dxa"/>
              <w:bottom w:w="100" w:type="dxa"/>
              <w:end w:w="120" w:type="dxa"/>
            </w:tcMar>
            <w:vAlign w:val="center"/>
          </w:tcPr>
          <w:p>
            <w:pPr>
              <w:spacing w:after="0" w:line="252" w:lineRule="auto"/>
            </w:pPr>
            <w:r>
              <w:rPr>
                <w:rFonts w:ascii="Calibri" w:hAnsi="Calibri"/>
                <w:color w:val="24313A"/>
                <w:sz w:val="17"/>
              </w:rPr>
              <w:t>Monitoring appeared sequential and Gate 5 was untriggered.</w:t>
            </w:r>
          </w:p>
        </w:tc>
        <w:tc>
          <w:tcPr>
            <w:tcW w:type="dxa" w:w="5510"/>
            <w:tcMar>
              <w:top w:w="100" w:type="dxa"/>
              <w:start w:w="120" w:type="dxa"/>
              <w:bottom w:w="100" w:type="dxa"/>
              <w:end w:w="120" w:type="dxa"/>
            </w:tcMar>
            <w:vAlign w:val="center"/>
          </w:tcPr>
          <w:p>
            <w:pPr>
              <w:spacing w:after="0" w:line="252" w:lineRule="auto"/>
            </w:pPr>
            <w:r>
              <w:rPr>
                <w:rFonts w:ascii="Calibri" w:hAnsi="Calibri"/>
                <w:color w:val="24313A"/>
                <w:sz w:val="17"/>
              </w:rPr>
              <w:t>Section 8 makes monitoring continuous and assigns class-based reporting and Gate 5 cadence plus event triggers.</w:t>
            </w:r>
          </w:p>
        </w:tc>
      </w:tr>
      <w:tr>
        <w:trPr>
          <w:cantSplit/>
        </w:trPr>
        <w:tc>
          <w:tcPr>
            <w:tcW w:type="dxa" w:w="500"/>
            <w:shd w:fill="F4F6F8"/>
            <w:tcMar>
              <w:top w:w="100" w:type="dxa"/>
              <w:start w:w="120" w:type="dxa"/>
              <w:bottom w:w="100" w:type="dxa"/>
              <w:end w:w="120" w:type="dxa"/>
            </w:tcMar>
            <w:vAlign w:val="center"/>
          </w:tcPr>
          <w:p>
            <w:pPr>
              <w:spacing w:after="0" w:line="252" w:lineRule="auto"/>
            </w:pPr>
            <w:r>
              <w:rPr>
                <w:rFonts w:ascii="Calibri" w:hAnsi="Calibri"/>
                <w:color w:val="24313A"/>
                <w:sz w:val="17"/>
              </w:rPr>
              <w:t>6</w:t>
            </w:r>
          </w:p>
        </w:tc>
        <w:tc>
          <w:tcPr>
            <w:tcW w:type="dxa" w:w="900"/>
            <w:shd w:fill="F4F6F8"/>
            <w:tcMar>
              <w:top w:w="100" w:type="dxa"/>
              <w:start w:w="120" w:type="dxa"/>
              <w:bottom w:w="100" w:type="dxa"/>
              <w:end w:w="120" w:type="dxa"/>
            </w:tcMar>
            <w:vAlign w:val="center"/>
          </w:tcPr>
          <w:p>
            <w:pPr>
              <w:spacing w:after="0" w:line="252" w:lineRule="auto"/>
            </w:pPr>
            <w:r>
              <w:rPr>
                <w:rFonts w:ascii="Calibri" w:hAnsi="Calibri"/>
                <w:color w:val="24313A"/>
                <w:sz w:val="17"/>
              </w:rPr>
              <w:t>S3</w:t>
            </w:r>
          </w:p>
        </w:tc>
        <w:tc>
          <w:tcPr>
            <w:tcW w:type="dxa" w:w="2450"/>
            <w:shd w:fill="F4F6F8"/>
            <w:tcMar>
              <w:top w:w="100" w:type="dxa"/>
              <w:start w:w="120" w:type="dxa"/>
              <w:bottom w:w="100" w:type="dxa"/>
              <w:end w:w="120" w:type="dxa"/>
            </w:tcMar>
            <w:vAlign w:val="center"/>
          </w:tcPr>
          <w:p>
            <w:pPr>
              <w:spacing w:after="0" w:line="252" w:lineRule="auto"/>
            </w:pPr>
            <w:r>
              <w:rPr>
                <w:rFonts w:ascii="Calibri" w:hAnsi="Calibri"/>
                <w:color w:val="24313A"/>
                <w:sz w:val="17"/>
              </w:rPr>
              <w:t>Benefits review had no enforcement mechanism.</w:t>
            </w:r>
          </w:p>
        </w:tc>
        <w:tc>
          <w:tcPr>
            <w:tcW w:type="dxa" w:w="5510"/>
            <w:shd w:fill="F4F6F8"/>
            <w:tcMar>
              <w:top w:w="100" w:type="dxa"/>
              <w:start w:w="120" w:type="dxa"/>
              <w:bottom w:w="100" w:type="dxa"/>
              <w:end w:w="120" w:type="dxa"/>
            </w:tcMar>
            <w:vAlign w:val="center"/>
          </w:tcPr>
          <w:p>
            <w:pPr>
              <w:spacing w:after="0" w:line="252" w:lineRule="auto"/>
            </w:pPr>
            <w:r>
              <w:rPr>
                <w:rFonts w:ascii="Calibri" w:hAnsi="Calibri"/>
                <w:color w:val="24313A"/>
                <w:sz w:val="17"/>
              </w:rPr>
              <w:t>Section 10 sets default due dates, funded effort, register status and overdue reporting.</w:t>
            </w:r>
          </w:p>
        </w:tc>
      </w:tr>
      <w:tr>
        <w:trPr>
          <w:cantSplit/>
        </w:trPr>
        <w:tc>
          <w:tcPr>
            <w:tcW w:type="dxa" w:w="500"/>
            <w:tcMar>
              <w:top w:w="100" w:type="dxa"/>
              <w:start w:w="120" w:type="dxa"/>
              <w:bottom w:w="100" w:type="dxa"/>
              <w:end w:w="120" w:type="dxa"/>
            </w:tcMar>
            <w:vAlign w:val="center"/>
          </w:tcPr>
          <w:p>
            <w:pPr>
              <w:spacing w:after="0" w:line="252" w:lineRule="auto"/>
            </w:pPr>
            <w:r>
              <w:rPr>
                <w:rFonts w:ascii="Calibri" w:hAnsi="Calibri"/>
                <w:color w:val="24313A"/>
                <w:sz w:val="17"/>
              </w:rPr>
              <w:t>7</w:t>
            </w:r>
          </w:p>
        </w:tc>
        <w:tc>
          <w:tcPr>
            <w:tcW w:type="dxa" w:w="900"/>
            <w:tcMar>
              <w:top w:w="100" w:type="dxa"/>
              <w:start w:w="120" w:type="dxa"/>
              <w:bottom w:w="100" w:type="dxa"/>
              <w:end w:w="120" w:type="dxa"/>
            </w:tcMar>
            <w:vAlign w:val="center"/>
          </w:tcPr>
          <w:p>
            <w:pPr>
              <w:spacing w:after="0" w:line="252" w:lineRule="auto"/>
            </w:pPr>
            <w:r>
              <w:rPr>
                <w:rFonts w:ascii="Calibri" w:hAnsi="Calibri"/>
                <w:color w:val="24313A"/>
                <w:sz w:val="17"/>
              </w:rPr>
              <w:t>S3</w:t>
            </w:r>
          </w:p>
        </w:tc>
        <w:tc>
          <w:tcPr>
            <w:tcW w:type="dxa" w:w="2450"/>
            <w:tcMar>
              <w:top w:w="100" w:type="dxa"/>
              <w:start w:w="120" w:type="dxa"/>
              <w:bottom w:w="100" w:type="dxa"/>
              <w:end w:w="120" w:type="dxa"/>
            </w:tcMar>
            <w:vAlign w:val="center"/>
          </w:tcPr>
          <w:p>
            <w:pPr>
              <w:spacing w:after="0" w:line="252" w:lineRule="auto"/>
            </w:pPr>
            <w:r>
              <w:rPr>
                <w:rFonts w:ascii="Calibri" w:hAnsi="Calibri"/>
                <w:color w:val="24313A"/>
                <w:sz w:val="17"/>
              </w:rPr>
              <w:t>No expedited initiation path existed.</w:t>
            </w:r>
          </w:p>
        </w:tc>
        <w:tc>
          <w:tcPr>
            <w:tcW w:type="dxa" w:w="5510"/>
            <w:tcMar>
              <w:top w:w="100" w:type="dxa"/>
              <w:start w:w="120" w:type="dxa"/>
              <w:bottom w:w="100" w:type="dxa"/>
              <w:end w:w="120" w:type="dxa"/>
            </w:tcMar>
            <w:vAlign w:val="center"/>
          </w:tcPr>
          <w:p>
            <w:pPr>
              <w:spacing w:after="0" w:line="252" w:lineRule="auto"/>
            </w:pPr>
            <w:r>
              <w:rPr>
                <w:rFonts w:ascii="Calibri" w:hAnsi="Calibri"/>
                <w:color w:val="24313A"/>
                <w:sz w:val="17"/>
              </w:rPr>
              <w:t>Section 4.6 creates a constrained combined Gate 1/2 path with deadlines and retrospective review.</w:t>
            </w:r>
          </w:p>
        </w:tc>
      </w:tr>
      <w:tr>
        <w:trPr>
          <w:cantSplit/>
        </w:trPr>
        <w:tc>
          <w:tcPr>
            <w:tcW w:type="dxa" w:w="500"/>
            <w:shd w:fill="F4F6F8"/>
            <w:tcMar>
              <w:top w:w="100" w:type="dxa"/>
              <w:start w:w="120" w:type="dxa"/>
              <w:bottom w:w="100" w:type="dxa"/>
              <w:end w:w="120" w:type="dxa"/>
            </w:tcMar>
            <w:vAlign w:val="center"/>
          </w:tcPr>
          <w:p>
            <w:pPr>
              <w:spacing w:after="0" w:line="252" w:lineRule="auto"/>
            </w:pPr>
            <w:r>
              <w:rPr>
                <w:rFonts w:ascii="Calibri" w:hAnsi="Calibri"/>
                <w:color w:val="24313A"/>
                <w:sz w:val="17"/>
              </w:rPr>
              <w:t>8</w:t>
            </w:r>
          </w:p>
        </w:tc>
        <w:tc>
          <w:tcPr>
            <w:tcW w:type="dxa" w:w="900"/>
            <w:shd w:fill="F4F6F8"/>
            <w:tcMar>
              <w:top w:w="100" w:type="dxa"/>
              <w:start w:w="120" w:type="dxa"/>
              <w:bottom w:w="100" w:type="dxa"/>
              <w:end w:w="120" w:type="dxa"/>
            </w:tcMar>
            <w:vAlign w:val="center"/>
          </w:tcPr>
          <w:p>
            <w:pPr>
              <w:spacing w:after="0" w:line="252" w:lineRule="auto"/>
            </w:pPr>
            <w:r>
              <w:rPr>
                <w:rFonts w:ascii="Calibri" w:hAnsi="Calibri"/>
                <w:color w:val="24313A"/>
                <w:sz w:val="17"/>
              </w:rPr>
              <w:t>S3</w:t>
            </w:r>
          </w:p>
        </w:tc>
        <w:tc>
          <w:tcPr>
            <w:tcW w:type="dxa" w:w="2450"/>
            <w:shd w:fill="F4F6F8"/>
            <w:tcMar>
              <w:top w:w="100" w:type="dxa"/>
              <w:start w:w="120" w:type="dxa"/>
              <w:bottom w:w="100" w:type="dxa"/>
              <w:end w:w="120" w:type="dxa"/>
            </w:tcMar>
            <w:vAlign w:val="center"/>
          </w:tcPr>
          <w:p>
            <w:pPr>
              <w:spacing w:after="0" w:line="252" w:lineRule="auto"/>
            </w:pPr>
            <w:r>
              <w:rPr>
                <w:rFonts w:ascii="Calibri" w:hAnsi="Calibri"/>
                <w:color w:val="24313A"/>
                <w:sz w:val="17"/>
              </w:rPr>
              <w:t>The responsibility matrix assigned more than one accountable party.</w:t>
            </w:r>
          </w:p>
        </w:tc>
        <w:tc>
          <w:tcPr>
            <w:tcW w:type="dxa" w:w="5510"/>
            <w:shd w:fill="F4F6F8"/>
            <w:tcMar>
              <w:top w:w="100" w:type="dxa"/>
              <w:start w:w="120" w:type="dxa"/>
              <w:bottom w:w="100" w:type="dxa"/>
              <w:end w:w="120" w:type="dxa"/>
            </w:tcMar>
            <w:vAlign w:val="center"/>
          </w:tcPr>
          <w:p>
            <w:pPr>
              <w:spacing w:after="0" w:line="252" w:lineRule="auto"/>
            </w:pPr>
            <w:r>
              <w:rPr>
                <w:rFonts w:ascii="Calibri" w:hAnsi="Calibri"/>
                <w:color w:val="24313A"/>
                <w:sz w:val="17"/>
              </w:rPr>
              <w:t>Appendix H now gives one accountable authority per activity and separates threshold-dependent decisions.</w:t>
            </w:r>
          </w:p>
        </w:tc>
      </w:tr>
      <w:tr>
        <w:trPr>
          <w:cantSplit/>
        </w:trPr>
        <w:tc>
          <w:tcPr>
            <w:tcW w:type="dxa" w:w="500"/>
            <w:tcMar>
              <w:top w:w="100" w:type="dxa"/>
              <w:start w:w="120" w:type="dxa"/>
              <w:bottom w:w="100" w:type="dxa"/>
              <w:end w:w="120" w:type="dxa"/>
            </w:tcMar>
            <w:vAlign w:val="center"/>
          </w:tcPr>
          <w:p>
            <w:pPr>
              <w:spacing w:after="0" w:line="252" w:lineRule="auto"/>
            </w:pPr>
            <w:r>
              <w:rPr>
                <w:rFonts w:ascii="Calibri" w:hAnsi="Calibri"/>
                <w:color w:val="24313A"/>
                <w:sz w:val="17"/>
              </w:rPr>
              <w:t>9</w:t>
            </w:r>
          </w:p>
        </w:tc>
        <w:tc>
          <w:tcPr>
            <w:tcW w:type="dxa" w:w="900"/>
            <w:tcMar>
              <w:top w:w="100" w:type="dxa"/>
              <w:start w:w="120" w:type="dxa"/>
              <w:bottom w:w="100" w:type="dxa"/>
              <w:end w:w="120" w:type="dxa"/>
            </w:tcMar>
            <w:vAlign w:val="center"/>
          </w:tcPr>
          <w:p>
            <w:pPr>
              <w:spacing w:after="0" w:line="252" w:lineRule="auto"/>
            </w:pPr>
            <w:r>
              <w:rPr>
                <w:rFonts w:ascii="Calibri" w:hAnsi="Calibri"/>
                <w:color w:val="24313A"/>
                <w:sz w:val="17"/>
              </w:rPr>
              <w:t>S4</w:t>
            </w:r>
          </w:p>
        </w:tc>
        <w:tc>
          <w:tcPr>
            <w:tcW w:type="dxa" w:w="2450"/>
            <w:tcMar>
              <w:top w:w="100" w:type="dxa"/>
              <w:start w:w="120" w:type="dxa"/>
              <w:bottom w:w="100" w:type="dxa"/>
              <w:end w:w="120" w:type="dxa"/>
            </w:tcMar>
            <w:vAlign w:val="center"/>
          </w:tcPr>
          <w:p>
            <w:pPr>
              <w:spacing w:after="0" w:line="252" w:lineRule="auto"/>
            </w:pPr>
            <w:r>
              <w:rPr>
                <w:rFonts w:ascii="Calibri" w:hAnsi="Calibri"/>
                <w:color w:val="24313A"/>
                <w:sz w:val="17"/>
              </w:rPr>
              <w:t>No records retention schedule existed.</w:t>
            </w:r>
          </w:p>
        </w:tc>
        <w:tc>
          <w:tcPr>
            <w:tcW w:type="dxa" w:w="5510"/>
            <w:tcMar>
              <w:top w:w="100" w:type="dxa"/>
              <w:start w:w="120" w:type="dxa"/>
              <w:bottom w:w="100" w:type="dxa"/>
              <w:end w:w="120" w:type="dxa"/>
            </w:tcMar>
            <w:vAlign w:val="center"/>
          </w:tcPr>
          <w:p>
            <w:pPr>
              <w:spacing w:after="0" w:line="252" w:lineRule="auto"/>
            </w:pPr>
            <w:r>
              <w:rPr>
                <w:rFonts w:ascii="Calibri" w:hAnsi="Calibri"/>
                <w:color w:val="24313A"/>
                <w:sz w:val="17"/>
              </w:rPr>
              <w:t>Section 16.4 and Appendix J establish default retention, legal-hold and secure-disposal rules.</w:t>
            </w:r>
          </w:p>
        </w:tc>
      </w:tr>
      <w:tr>
        <w:trPr>
          <w:cantSplit/>
        </w:trPr>
        <w:tc>
          <w:tcPr>
            <w:tcW w:type="dxa" w:w="500"/>
            <w:shd w:fill="F4F6F8"/>
            <w:tcMar>
              <w:top w:w="100" w:type="dxa"/>
              <w:start w:w="120" w:type="dxa"/>
              <w:bottom w:w="100" w:type="dxa"/>
              <w:end w:w="120" w:type="dxa"/>
            </w:tcMar>
            <w:vAlign w:val="center"/>
          </w:tcPr>
          <w:p>
            <w:pPr>
              <w:spacing w:after="0" w:line="252" w:lineRule="auto"/>
            </w:pPr>
            <w:r>
              <w:rPr>
                <w:rFonts w:ascii="Calibri" w:hAnsi="Calibri"/>
                <w:color w:val="24313A"/>
                <w:sz w:val="17"/>
              </w:rPr>
              <w:t>10</w:t>
            </w:r>
          </w:p>
        </w:tc>
        <w:tc>
          <w:tcPr>
            <w:tcW w:type="dxa" w:w="900"/>
            <w:shd w:fill="F4F6F8"/>
            <w:tcMar>
              <w:top w:w="100" w:type="dxa"/>
              <w:start w:w="120" w:type="dxa"/>
              <w:bottom w:w="100" w:type="dxa"/>
              <w:end w:w="120" w:type="dxa"/>
            </w:tcMar>
            <w:vAlign w:val="center"/>
          </w:tcPr>
          <w:p>
            <w:pPr>
              <w:spacing w:after="0" w:line="252" w:lineRule="auto"/>
            </w:pPr>
            <w:r>
              <w:rPr>
                <w:rFonts w:ascii="Calibri" w:hAnsi="Calibri"/>
                <w:color w:val="24313A"/>
                <w:sz w:val="17"/>
              </w:rPr>
              <w:t>S4</w:t>
            </w:r>
          </w:p>
        </w:tc>
        <w:tc>
          <w:tcPr>
            <w:tcW w:type="dxa" w:w="2450"/>
            <w:shd w:fill="F4F6F8"/>
            <w:tcMar>
              <w:top w:w="100" w:type="dxa"/>
              <w:start w:w="120" w:type="dxa"/>
              <w:bottom w:w="100" w:type="dxa"/>
              <w:end w:w="120" w:type="dxa"/>
            </w:tcMar>
            <w:vAlign w:val="center"/>
          </w:tcPr>
          <w:p>
            <w:pPr>
              <w:spacing w:after="0" w:line="252" w:lineRule="auto"/>
            </w:pPr>
            <w:r>
              <w:rPr>
                <w:rFonts w:ascii="Calibri" w:hAnsi="Calibri"/>
                <w:color w:val="24313A"/>
                <w:sz w:val="17"/>
              </w:rPr>
              <w:t>No Ghanaian legal or regulatory baseline existed.</w:t>
            </w:r>
          </w:p>
        </w:tc>
        <w:tc>
          <w:tcPr>
            <w:tcW w:type="dxa" w:w="5510"/>
            <w:shd w:fill="F4F6F8"/>
            <w:tcMar>
              <w:top w:w="100" w:type="dxa"/>
              <w:start w:w="120" w:type="dxa"/>
              <w:bottom w:w="100" w:type="dxa"/>
              <w:end w:w="120" w:type="dxa"/>
            </w:tcMar>
            <w:vAlign w:val="center"/>
          </w:tcPr>
          <w:p>
            <w:pPr>
              <w:spacing w:after="0" w:line="252" w:lineRule="auto"/>
            </w:pPr>
            <w:r>
              <w:rPr>
                <w:rFonts w:ascii="Calibri" w:hAnsi="Calibri"/>
                <w:color w:val="24313A"/>
                <w:sz w:val="17"/>
              </w:rPr>
              <w:t>Authority and Interpretation now names the applicable Ghanaian statutory baseline and official reference points.</w:t>
            </w:r>
          </w:p>
        </w:tc>
      </w:tr>
      <w:tr>
        <w:trPr>
          <w:cantSplit/>
        </w:trPr>
        <w:tc>
          <w:tcPr>
            <w:tcW w:type="dxa" w:w="500"/>
            <w:tcMar>
              <w:top w:w="100" w:type="dxa"/>
              <w:start w:w="120" w:type="dxa"/>
              <w:bottom w:w="100" w:type="dxa"/>
              <w:end w:w="120" w:type="dxa"/>
            </w:tcMar>
            <w:vAlign w:val="center"/>
          </w:tcPr>
          <w:p>
            <w:pPr>
              <w:spacing w:after="0" w:line="252" w:lineRule="auto"/>
            </w:pPr>
            <w:r>
              <w:rPr>
                <w:rFonts w:ascii="Calibri" w:hAnsi="Calibri"/>
                <w:color w:val="24313A"/>
                <w:sz w:val="17"/>
              </w:rPr>
              <w:t>11</w:t>
            </w:r>
          </w:p>
        </w:tc>
        <w:tc>
          <w:tcPr>
            <w:tcW w:type="dxa" w:w="900"/>
            <w:tcMar>
              <w:top w:w="100" w:type="dxa"/>
              <w:start w:w="120" w:type="dxa"/>
              <w:bottom w:w="100" w:type="dxa"/>
              <w:end w:w="120" w:type="dxa"/>
            </w:tcMar>
            <w:vAlign w:val="center"/>
          </w:tcPr>
          <w:p>
            <w:pPr>
              <w:spacing w:after="0" w:line="252" w:lineRule="auto"/>
            </w:pPr>
            <w:r>
              <w:rPr>
                <w:rFonts w:ascii="Calibri" w:hAnsi="Calibri"/>
                <w:color w:val="24313A"/>
                <w:sz w:val="17"/>
              </w:rPr>
              <w:t>S4</w:t>
            </w:r>
          </w:p>
        </w:tc>
        <w:tc>
          <w:tcPr>
            <w:tcW w:type="dxa" w:w="2450"/>
            <w:tcMar>
              <w:top w:w="100" w:type="dxa"/>
              <w:start w:w="120" w:type="dxa"/>
              <w:bottom w:w="100" w:type="dxa"/>
              <w:end w:w="120" w:type="dxa"/>
            </w:tcMar>
            <w:vAlign w:val="center"/>
          </w:tcPr>
          <w:p>
            <w:pPr>
              <w:spacing w:after="0" w:line="252" w:lineRule="auto"/>
            </w:pPr>
            <w:r>
              <w:rPr>
                <w:rFonts w:ascii="Calibri" w:hAnsi="Calibri"/>
                <w:color w:val="24313A"/>
                <w:sz w:val="17"/>
              </w:rPr>
              <w:t>Performance measures were undefined and unowned.</w:t>
            </w:r>
          </w:p>
        </w:tc>
        <w:tc>
          <w:tcPr>
            <w:tcW w:type="dxa" w:w="5510"/>
            <w:tcMar>
              <w:top w:w="100" w:type="dxa"/>
              <w:start w:w="120" w:type="dxa"/>
              <w:bottom w:w="100" w:type="dxa"/>
              <w:end w:w="120" w:type="dxa"/>
            </w:tcMar>
            <w:vAlign w:val="center"/>
          </w:tcPr>
          <w:p>
            <w:pPr>
              <w:spacing w:after="0" w:line="252" w:lineRule="auto"/>
            </w:pPr>
            <w:r>
              <w:rPr>
                <w:rFonts w:ascii="Calibri" w:hAnsi="Calibri"/>
                <w:color w:val="24313A"/>
                <w:sz w:val="17"/>
              </w:rPr>
              <w:t>Section 18.1 now defines five mandatory Year-One measures, sources, owners, frequency and targets.</w:t>
            </w:r>
          </w:p>
        </w:tc>
      </w:tr>
    </w:tbl>
    <w:p>
      <w:pPr>
        <w:spacing w:after="40"/>
      </w:pPr>
    </w:p>
    <w:p>
      <w:pPr>
        <w:pStyle w:val="Heading2"/>
        <w:keepNext w:val="0"/>
        <w:pageBreakBefore w:val="0"/>
      </w:pPr>
      <w:r>
        <w:t>Authority and Interpretation</w:t>
      </w:r>
    </w:p>
    <w:p>
      <w:pPr>
        <w:spacing w:after="120" w:line="300" w:lineRule="auto"/>
      </w:pPr>
      <w:r>
        <w:rPr>
          <w:i w:val="0"/>
        </w:rPr>
        <w:t>This framework establishes the minimum project-management controls required at KenAddme IT Links. Project-specific plans may introduce stronger controls, but they must not remove mandatory approvals, accountability, evidence, security, financial or quality requirements without an authorised, lawful and time-bound exception. Where a client contract, law, regulator, funder or approved institutional policy imposes a higher requirement, the higher requirement takes priority.</w:t>
      </w:r>
    </w:p>
    <w:p>
      <w:pPr>
        <w:shd w:fill="F4F6F8"/>
        <w:keepLines/>
        <w:pBdr>
          <w:top w:val="single" w:sz="8" w:space="6" w:color="123A5A"/>
          <w:left w:val="single" w:sz="8" w:space="6" w:color="123A5A"/>
          <w:bottom w:val="single" w:sz="8" w:space="6" w:color="123A5A"/>
          <w:right w:val="single" w:sz="8" w:space="6" w:color="123A5A"/>
        </w:pBdr>
        <w:spacing w:before="120" w:after="160" w:line="276" w:lineRule="auto"/>
        <w:ind w:left="160" w:right="160"/>
      </w:pPr>
      <w:r>
        <w:rPr>
          <w:rFonts w:ascii="Calibri" w:hAnsi="Calibri"/>
          <w:b/>
          <w:color w:val="123A5A"/>
        </w:rPr>
        <w:t xml:space="preserve">Ghanaian compliance baseline: </w:t>
      </w:r>
      <w:r>
        <w:rPr>
          <w:rFonts w:ascii="Calibri" w:hAnsi="Calibri"/>
          <w:color w:val="24313A"/>
        </w:rPr>
        <w:t>Projects involving personal data must assess and comply with the Data Protection Act, 2012 (Act 843). Projects delivering or affecting cybersecurity services must assess the Cybersecurity Act, 2020 (Act 1038). Publicly funded bids or delivery must consider the Public Procurement Act, 2003 (Act 663), as amended by Act 914, and current Public Procurement Authority instruments. The sponsor must obtain qualified advice where applicability or obligations are uncertain.</w:t>
      </w:r>
    </w:p>
    <w:p>
      <w:pPr>
        <w:spacing w:after="120" w:line="300" w:lineRule="auto"/>
      </w:pPr>
      <w:r>
        <w:rPr>
          <w:i w:val="0"/>
        </w:rPr>
        <w:t>Official reference points current at approval: Data Protection Commission - https://dataprotection.org.gh/; Cyber Security Authority - https://www.csa.gov.gh/resources.php; Public Procurement Authority - https://ppa.gov.gh/online-documents/public-procurement-act/. These references are a governance baseline and do not replace legal advice.</w:t>
      </w:r>
    </w:p>
    <w:p>
      <w:pPr>
        <w:pStyle w:val="Heading1"/>
        <w:keepNext/>
        <w:pageBreakBefore w:val="0"/>
      </w:pPr>
      <w:r>
        <w:t>Executive Summary</w:t>
      </w:r>
    </w:p>
    <w:p>
      <w:pPr>
        <w:spacing w:after="120" w:line="300" w:lineRule="auto"/>
      </w:pPr>
      <w:r>
        <w:rPr>
          <w:i w:val="0"/>
        </w:rPr>
        <w:t>Projects succeed when the institution makes the right investment decisions, defines the intended outcome, plans realistically, controls delivery, accepts evidence-based results and learns from completion. This framework converts those expectations into a consistent operating system for KenAddme IT Links.</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Core rule: </w:t>
      </w:r>
      <w:r>
        <w:rPr>
          <w:rFonts w:ascii="Calibri" w:hAnsi="Calibri"/>
          <w:color w:val="24313A"/>
        </w:rPr>
        <w:t>No project moves to the next stage merely because work has started. It moves only when the required evidence is complete, risks are understood, responsible leaders approve the decision and the next stage is resourced.</w:t>
      </w:r>
    </w:p>
    <w:p>
      <w:pPr>
        <w:spacing w:after="120" w:line="300" w:lineRule="auto"/>
      </w:pPr>
      <w:r>
        <w:rPr>
          <w:i w:val="0"/>
        </w:rPr>
        <w:t>The lifecycle contains seven governance stages: strategic intake, initiation and feasibility, detailed planning, execution, continuous monitoring and control, transition and closure, and post-project benefits review. Stage 5 is a recurring control cycle that begins when execution is authorised; it is not work postponed until Stage 4 ends. Each gate decision is recorded as approve, approve with conditions, hold for correction, redirect, or terminate.</w:t>
      </w:r>
    </w:p>
    <w:p>
      <w:pPr>
        <w:spacing w:after="120" w:line="300" w:lineRule="auto"/>
      </w:pPr>
      <w:r>
        <w:rPr>
          <w:i w:val="0"/>
        </w:rPr>
        <w:t>The framework also defines project classes, decision rights, key records, control disciplines, escalation rules, performance indicators and reusable templates. It is designed to be tailored: a small internal task should not carry the same paperwork as a high-risk client platform, but every project must still have an owner, objective, scope, plan, risk view, acceptance evidence and closure record.</w:t>
      </w:r>
    </w:p>
    <w:p>
      <w:pPr>
        <w:shd w:fill="F4F6F8"/>
        <w:keepLines/>
        <w:pBdr>
          <w:top w:val="single" w:sz="8" w:space="6" w:color="123A5A"/>
          <w:left w:val="single" w:sz="8" w:space="6" w:color="123A5A"/>
          <w:bottom w:val="single" w:sz="8" w:space="6" w:color="123A5A"/>
          <w:right w:val="single" w:sz="8" w:space="6" w:color="123A5A"/>
        </w:pBdr>
        <w:spacing w:before="120" w:after="160" w:line="276" w:lineRule="auto"/>
        <w:ind w:left="160" w:right="160"/>
      </w:pPr>
      <w:r>
        <w:rPr>
          <w:rFonts w:ascii="Calibri" w:hAnsi="Calibri"/>
          <w:b/>
          <w:color w:val="123A5A"/>
        </w:rPr>
        <w:t xml:space="preserve">Software projects: </w:t>
      </w:r>
      <w:r>
        <w:rPr>
          <w:rFonts w:ascii="Calibri" w:hAnsi="Calibri"/>
          <w:color w:val="24313A"/>
        </w:rPr>
        <w:t>A software project must comply with this framework and the KenAddme IT Links Software Development and Engineering Framework. Appendix I consolidates their classes, gates and roles so a single evidence pack and decision may satisfy both where the conditions align.</w:t>
      </w:r>
    </w:p>
    <w:p>
      <w:pPr>
        <w:pStyle w:val="Heading2"/>
        <w:keepNext w:val="0"/>
        <w:pageBreakBefore w:val="0"/>
      </w:pPr>
      <w:r>
        <w:t>The Seven Institutional Stages</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900"/>
        <w:gridCol w:w="4300"/>
        <w:gridCol w:w="3160"/>
      </w:tblGrid>
      <w:tr>
        <w:trPr>
          <w:tblHeader w:val="true"/>
          <w:cantSplit/>
        </w:trPr>
        <w:tc>
          <w:tcPr>
            <w:tcW w:type="dxa" w:w="1900"/>
            <w:tcMar>
              <w:top w:w="100" w:type="dxa"/>
              <w:start w:w="120" w:type="dxa"/>
              <w:bottom w:w="100" w:type="dxa"/>
              <w:end w:w="120" w:type="dxa"/>
            </w:tcMar>
            <w:vAlign w:val="center"/>
            <w:shd w:fill="123A5A"/>
          </w:tcPr>
          <w:p>
            <w:pPr>
              <w:jc w:val="left"/>
            </w:pPr>
            <w:r>
              <w:rPr>
                <w:rFonts w:ascii="Calibri" w:hAnsi="Calibri"/>
                <w:b/>
                <w:color w:val="FFFFFF"/>
                <w:sz w:val="18"/>
              </w:rPr>
              <w:t>Stage</w:t>
            </w:r>
          </w:p>
        </w:tc>
        <w:tc>
          <w:tcPr>
            <w:tcW w:type="dxa" w:w="4300"/>
            <w:tcMar>
              <w:top w:w="100" w:type="dxa"/>
              <w:start w:w="120" w:type="dxa"/>
              <w:bottom w:w="100" w:type="dxa"/>
              <w:end w:w="120" w:type="dxa"/>
            </w:tcMar>
            <w:vAlign w:val="center"/>
            <w:shd w:fill="123A5A"/>
          </w:tcPr>
          <w:p>
            <w:pPr>
              <w:jc w:val="left"/>
            </w:pPr>
            <w:r>
              <w:rPr>
                <w:rFonts w:ascii="Calibri" w:hAnsi="Calibri"/>
                <w:b/>
                <w:color w:val="FFFFFF"/>
                <w:sz w:val="18"/>
              </w:rPr>
              <w:t>Primary question</w:t>
            </w:r>
          </w:p>
        </w:tc>
        <w:tc>
          <w:tcPr>
            <w:tcW w:type="dxa" w:w="3160"/>
            <w:tcMar>
              <w:top w:w="100" w:type="dxa"/>
              <w:start w:w="120" w:type="dxa"/>
              <w:bottom w:w="100" w:type="dxa"/>
              <w:end w:w="120" w:type="dxa"/>
            </w:tcMar>
            <w:vAlign w:val="center"/>
            <w:shd w:fill="123A5A"/>
          </w:tcPr>
          <w:p>
            <w:pPr>
              <w:jc w:val="left"/>
            </w:pPr>
            <w:r>
              <w:rPr>
                <w:rFonts w:ascii="Calibri" w:hAnsi="Calibri"/>
                <w:b/>
                <w:color w:val="FFFFFF"/>
                <w:sz w:val="18"/>
              </w:rPr>
              <w:t>Mandatory decision</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1. Strategic Intake</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Should KenAddme invest attention in this idea?</w:t>
            </w:r>
          </w:p>
        </w:tc>
        <w:tc>
          <w:tcPr>
            <w:tcW w:type="dxa" w:w="3160"/>
            <w:tcMar>
              <w:top w:w="100" w:type="dxa"/>
              <w:start w:w="120" w:type="dxa"/>
              <w:bottom w:w="100" w:type="dxa"/>
              <w:end w:w="120" w:type="dxa"/>
            </w:tcMar>
            <w:vAlign w:val="center"/>
          </w:tcPr>
          <w:p>
            <w:pPr>
              <w:spacing w:after="0" w:line="252" w:lineRule="auto"/>
            </w:pPr>
            <w:r>
              <w:rPr>
                <w:rFonts w:ascii="Calibri" w:hAnsi="Calibri"/>
                <w:color w:val="24313A"/>
                <w:sz w:val="17"/>
              </w:rPr>
              <w:t>Authorise feasibility work or decline.</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2. Initiation and Feasibility</w:t>
            </w:r>
          </w:p>
        </w:tc>
        <w:tc>
          <w:tcPr>
            <w:tcW w:type="dxa" w:w="4300"/>
            <w:shd w:fill="F4F6F8"/>
            <w:tcMar>
              <w:top w:w="100" w:type="dxa"/>
              <w:start w:w="120" w:type="dxa"/>
              <w:bottom w:w="100" w:type="dxa"/>
              <w:end w:w="120" w:type="dxa"/>
            </w:tcMar>
            <w:vAlign w:val="center"/>
          </w:tcPr>
          <w:p>
            <w:pPr>
              <w:spacing w:after="0" w:line="252" w:lineRule="auto"/>
            </w:pPr>
            <w:r>
              <w:rPr>
                <w:rFonts w:ascii="Calibri" w:hAnsi="Calibri"/>
                <w:color w:val="24313A"/>
                <w:sz w:val="17"/>
              </w:rPr>
              <w:t>Is the proposed project viable and worthwhile?</w:t>
            </w:r>
          </w:p>
        </w:tc>
        <w:tc>
          <w:tcPr>
            <w:tcW w:type="dxa" w:w="3160"/>
            <w:shd w:fill="F4F6F8"/>
            <w:tcMar>
              <w:top w:w="100" w:type="dxa"/>
              <w:start w:w="120" w:type="dxa"/>
              <w:bottom w:w="100" w:type="dxa"/>
              <w:end w:w="120" w:type="dxa"/>
            </w:tcMar>
            <w:vAlign w:val="center"/>
          </w:tcPr>
          <w:p>
            <w:pPr>
              <w:spacing w:after="0" w:line="252" w:lineRule="auto"/>
            </w:pPr>
            <w:r>
              <w:rPr>
                <w:rFonts w:ascii="Calibri" w:hAnsi="Calibri"/>
                <w:color w:val="24313A"/>
                <w:sz w:val="17"/>
              </w:rPr>
              <w:t>Approve the project charter and sponsor.</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3. Detailed Planning</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Can the work be delivered responsibly?</w:t>
            </w:r>
          </w:p>
        </w:tc>
        <w:tc>
          <w:tcPr>
            <w:tcW w:type="dxa" w:w="3160"/>
            <w:tcMar>
              <w:top w:w="100" w:type="dxa"/>
              <w:start w:w="120" w:type="dxa"/>
              <w:bottom w:w="100" w:type="dxa"/>
              <w:end w:w="120" w:type="dxa"/>
            </w:tcMar>
            <w:vAlign w:val="center"/>
          </w:tcPr>
          <w:p>
            <w:pPr>
              <w:spacing w:after="0" w:line="252" w:lineRule="auto"/>
            </w:pPr>
            <w:r>
              <w:rPr>
                <w:rFonts w:ascii="Calibri" w:hAnsi="Calibri"/>
                <w:color w:val="24313A"/>
                <w:sz w:val="17"/>
              </w:rPr>
              <w:t>Approve baselines and authorise execution.</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4. Execution</w:t>
            </w:r>
          </w:p>
        </w:tc>
        <w:tc>
          <w:tcPr>
            <w:tcW w:type="dxa" w:w="4300"/>
            <w:shd w:fill="F4F6F8"/>
            <w:tcMar>
              <w:top w:w="100" w:type="dxa"/>
              <w:start w:w="120" w:type="dxa"/>
              <w:bottom w:w="100" w:type="dxa"/>
              <w:end w:w="120" w:type="dxa"/>
            </w:tcMar>
            <w:vAlign w:val="center"/>
          </w:tcPr>
          <w:p>
            <w:pPr>
              <w:spacing w:after="0" w:line="252" w:lineRule="auto"/>
            </w:pPr>
            <w:r>
              <w:rPr>
                <w:rFonts w:ascii="Calibri" w:hAnsi="Calibri"/>
                <w:color w:val="24313A"/>
                <w:sz w:val="17"/>
              </w:rPr>
              <w:t>Are approved deliverables being produced?</w:t>
            </w:r>
          </w:p>
        </w:tc>
        <w:tc>
          <w:tcPr>
            <w:tcW w:type="dxa" w:w="3160"/>
            <w:shd w:fill="F4F6F8"/>
            <w:tcMar>
              <w:top w:w="100" w:type="dxa"/>
              <w:start w:w="120" w:type="dxa"/>
              <w:bottom w:w="100" w:type="dxa"/>
              <w:end w:w="120" w:type="dxa"/>
            </w:tcMar>
            <w:vAlign w:val="center"/>
          </w:tcPr>
          <w:p>
            <w:pPr>
              <w:spacing w:after="0" w:line="252" w:lineRule="auto"/>
            </w:pPr>
            <w:r>
              <w:rPr>
                <w:rFonts w:ascii="Calibri" w:hAnsi="Calibri"/>
                <w:color w:val="24313A"/>
                <w:sz w:val="17"/>
              </w:rPr>
              <w:t>Accept work packages and continue delivery.</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5. Continuous Monitoring and Control</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Is performance within approved tolerances at the required cadence or after a trigger?</w:t>
            </w:r>
          </w:p>
        </w:tc>
        <w:tc>
          <w:tcPr>
            <w:tcW w:type="dxa" w:w="3160"/>
            <w:tcMar>
              <w:top w:w="100" w:type="dxa"/>
              <w:start w:w="120" w:type="dxa"/>
              <w:bottom w:w="100" w:type="dxa"/>
              <w:end w:w="120" w:type="dxa"/>
            </w:tcMar>
            <w:vAlign w:val="center"/>
          </w:tcPr>
          <w:p>
            <w:pPr>
              <w:spacing w:after="0" w:line="252" w:lineRule="auto"/>
            </w:pPr>
            <w:r>
              <w:rPr>
                <w:rFonts w:ascii="Calibri" w:hAnsi="Calibri"/>
                <w:color w:val="24313A"/>
                <w:sz w:val="17"/>
              </w:rPr>
              <w:t>Continue, correct, rebaseline, escalate or stop.</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6. Transition and Closure</w:t>
            </w:r>
          </w:p>
        </w:tc>
        <w:tc>
          <w:tcPr>
            <w:tcW w:type="dxa" w:w="4300"/>
            <w:shd w:fill="F4F6F8"/>
            <w:tcMar>
              <w:top w:w="100" w:type="dxa"/>
              <w:start w:w="120" w:type="dxa"/>
              <w:bottom w:w="100" w:type="dxa"/>
              <w:end w:w="120" w:type="dxa"/>
            </w:tcMar>
            <w:vAlign w:val="center"/>
          </w:tcPr>
          <w:p>
            <w:pPr>
              <w:spacing w:after="0" w:line="252" w:lineRule="auto"/>
            </w:pPr>
            <w:r>
              <w:rPr>
                <w:rFonts w:ascii="Calibri" w:hAnsi="Calibri"/>
                <w:color w:val="24313A"/>
                <w:sz w:val="17"/>
              </w:rPr>
              <w:t>Has the outcome been accepted and safely handed over?</w:t>
            </w:r>
          </w:p>
        </w:tc>
        <w:tc>
          <w:tcPr>
            <w:tcW w:type="dxa" w:w="3160"/>
            <w:shd w:fill="F4F6F8"/>
            <w:tcMar>
              <w:top w:w="100" w:type="dxa"/>
              <w:start w:w="120" w:type="dxa"/>
              <w:bottom w:w="100" w:type="dxa"/>
              <w:end w:w="120" w:type="dxa"/>
            </w:tcMar>
            <w:vAlign w:val="center"/>
          </w:tcPr>
          <w:p>
            <w:pPr>
              <w:spacing w:after="0" w:line="252" w:lineRule="auto"/>
            </w:pPr>
            <w:r>
              <w:rPr>
                <w:rFonts w:ascii="Calibri" w:hAnsi="Calibri"/>
                <w:color w:val="24313A"/>
                <w:sz w:val="17"/>
              </w:rPr>
              <w:t>Approve closure and release resources.</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7. Benefits Review</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Did the project create the intended value?</w:t>
            </w:r>
          </w:p>
        </w:tc>
        <w:tc>
          <w:tcPr>
            <w:tcW w:type="dxa" w:w="3160"/>
            <w:tcMar>
              <w:top w:w="100" w:type="dxa"/>
              <w:start w:w="120" w:type="dxa"/>
              <w:bottom w:w="100" w:type="dxa"/>
              <w:end w:w="120" w:type="dxa"/>
            </w:tcMar>
            <w:vAlign w:val="center"/>
          </w:tcPr>
          <w:p>
            <w:pPr>
              <w:spacing w:after="0" w:line="252" w:lineRule="auto"/>
            </w:pPr>
            <w:r>
              <w:rPr>
                <w:rFonts w:ascii="Calibri" w:hAnsi="Calibri"/>
                <w:color w:val="24313A"/>
                <w:sz w:val="17"/>
              </w:rPr>
              <w:t>Confirm benefits, corrective actions and lessons.</w:t>
            </w:r>
          </w:p>
        </w:tc>
      </w:tr>
    </w:tbl>
    <w:p>
      <w:pPr>
        <w:spacing w:after="40"/>
      </w:pPr>
    </w:p>
    <w:p>
      <w:pPr>
        <w:pStyle w:val="Heading1"/>
        <w:keepNext/>
        <w:pageBreakBefore w:val="0"/>
      </w:pPr>
      <w:r>
        <w:t>1. Purpose, Scope and Principles</w:t>
      </w:r>
    </w:p>
    <w:p>
      <w:pPr>
        <w:pStyle w:val="Heading2"/>
        <w:keepNext w:val="0"/>
        <w:pageBreakBefore w:val="0"/>
      </w:pPr>
      <w:r>
        <w:t>1.1 Purpose</w:t>
      </w:r>
    </w:p>
    <w:p>
      <w:pPr>
        <w:spacing w:after="120" w:line="300" w:lineRule="auto"/>
      </w:pPr>
      <w:r>
        <w:rPr>
          <w:i w:val="0"/>
        </w:rPr>
        <w:t>The purpose of this framework is to provide KenAddme IT Links with one clear method for selecting, planning, delivering, controlling and closing projects. It supports better decisions, reduces avoidable failure, protects institutional resources, improves client confidence and preserves reliable evidence for future learning.</w:t>
      </w:r>
    </w:p>
    <w:p>
      <w:pPr>
        <w:pStyle w:val="Heading2"/>
        <w:keepNext w:val="0"/>
        <w:pageBreakBefore w:val="0"/>
      </w:pPr>
      <w:r>
        <w:t>1.2 Scope</w:t>
      </w:r>
    </w:p>
    <w:p>
      <w:pPr>
        <w:spacing w:after="120" w:line="300" w:lineRule="auto"/>
      </w:pPr>
      <w:r>
        <w:rPr>
          <w:i w:val="0"/>
        </w:rPr>
        <w:t>The framework applies from the first recorded idea through benefits review. It covers internal improvement projects, software and digital products, data and AI work, infrastructure, cybersecurity, training, research, consultancy, client implementation and partnership projects. Routine operational work may use lighter controls unless it creates a defined temporary effort, special risk, material cost or a unique deliverable; in those cases it should be managed as a project.</w:t>
      </w:r>
    </w:p>
    <w:p>
      <w:pPr>
        <w:pStyle w:val="Heading2"/>
        <w:keepNext w:val="0"/>
        <w:pageBreakBefore w:val="0"/>
      </w:pPr>
      <w:r>
        <w:t>1.3 Project Definition</w:t>
      </w:r>
    </w:p>
    <w:p>
      <w:pPr>
        <w:spacing w:after="120" w:line="300" w:lineRule="auto"/>
      </w:pPr>
      <w:r>
        <w:rPr>
          <w:i w:val="0"/>
        </w:rPr>
        <w:t>A project is a temporary, authorised effort undertaken to create a unique product, service, capability or result. It has a defined purpose, accountable owner, start and end boundaries, resources, risks and acceptance conditions. Repetitive ongoing work belongs to operations, although an operational improvement initiative may itself be a project.</w:t>
      </w:r>
    </w:p>
    <w:p>
      <w:pPr>
        <w:pStyle w:val="Heading2"/>
        <w:keepNext w:val="0"/>
        <w:pageBreakBefore w:val="0"/>
      </w:pPr>
      <w:r>
        <w:t>1.4 Institutional Principles</w:t>
      </w:r>
    </w:p>
    <w:p>
      <w:pPr>
        <w:numPr>
          <w:ilvl w:val="0"/>
          <w:numId w:val="10"/>
        </w:numPr>
        <w:spacing w:after="80" w:line="300" w:lineRule="auto"/>
      </w:pPr>
      <w:r>
        <w:t>Value before activity. Projects must solve a real problem or create a defined opportunity.</w:t>
      </w:r>
    </w:p>
    <w:p>
      <w:pPr>
        <w:numPr>
          <w:ilvl w:val="0"/>
          <w:numId w:val="10"/>
        </w:numPr>
        <w:spacing w:after="80" w:line="300" w:lineRule="auto"/>
      </w:pPr>
      <w:r>
        <w:t>One accountable sponsor. Every project must have an authorised business owner who remains accountable for value and major decisions.</w:t>
      </w:r>
    </w:p>
    <w:p>
      <w:pPr>
        <w:numPr>
          <w:ilvl w:val="0"/>
          <w:numId w:val="10"/>
        </w:numPr>
        <w:spacing w:after="80" w:line="300" w:lineRule="auto"/>
      </w:pPr>
      <w:r>
        <w:t>Evidence before approval. Important decisions must be supported by documented facts, assumptions, estimates, risks and acceptance evidence.</w:t>
      </w:r>
    </w:p>
    <w:p>
      <w:pPr>
        <w:numPr>
          <w:ilvl w:val="0"/>
          <w:numId w:val="10"/>
        </w:numPr>
        <w:spacing w:after="80" w:line="300" w:lineRule="auto"/>
      </w:pPr>
      <w:r>
        <w:t>Realistic commitment. Scope, time, cost, quality and resources must be balanced; leadership must not approve mutually impossible expectations.</w:t>
      </w:r>
    </w:p>
    <w:p>
      <w:pPr>
        <w:numPr>
          <w:ilvl w:val="0"/>
          <w:numId w:val="10"/>
        </w:numPr>
        <w:spacing w:after="80" w:line="300" w:lineRule="auto"/>
      </w:pPr>
      <w:r>
        <w:t>Security, privacy and ethics by design. Controls are planned from the beginning and verified before release.</w:t>
      </w:r>
    </w:p>
    <w:p>
      <w:pPr>
        <w:numPr>
          <w:ilvl w:val="0"/>
          <w:numId w:val="10"/>
        </w:numPr>
        <w:spacing w:after="80" w:line="300" w:lineRule="auto"/>
      </w:pPr>
      <w:r>
        <w:t>Controlled change. Changes are assessed and authorised before becoming part of the baseline.</w:t>
      </w:r>
    </w:p>
    <w:p>
      <w:pPr>
        <w:numPr>
          <w:ilvl w:val="0"/>
          <w:numId w:val="10"/>
        </w:numPr>
        <w:spacing w:after="80" w:line="300" w:lineRule="auto"/>
      </w:pPr>
      <w:r>
        <w:t>Transparent reporting. Problems are reported early, accurately and without concealment.</w:t>
      </w:r>
    </w:p>
    <w:p>
      <w:pPr>
        <w:numPr>
          <w:ilvl w:val="0"/>
          <w:numId w:val="10"/>
        </w:numPr>
        <w:spacing w:after="80" w:line="300" w:lineRule="auto"/>
      </w:pPr>
      <w:r>
        <w:t>Fit-for-purpose governance. Control effort is proportional to project size, complexity and risk.</w:t>
      </w:r>
    </w:p>
    <w:p>
      <w:pPr>
        <w:numPr>
          <w:ilvl w:val="0"/>
          <w:numId w:val="10"/>
        </w:numPr>
        <w:spacing w:after="80" w:line="300" w:lineRule="auto"/>
      </w:pPr>
      <w:r>
        <w:t>Learning and accountability. Closure includes lessons, ownership transfer and review of intended benefits.</w:t>
      </w:r>
    </w:p>
    <w:p>
      <w:pPr>
        <w:pStyle w:val="Heading1"/>
        <w:keepNext/>
        <w:pageBreakBefore w:val="0"/>
      </w:pPr>
      <w:r>
        <w:t>2. Project Classification and Tailoring</w:t>
      </w:r>
    </w:p>
    <w:p>
      <w:pPr>
        <w:spacing w:after="120" w:line="300" w:lineRule="auto"/>
      </w:pPr>
      <w:r>
        <w:rPr>
          <w:i w:val="0"/>
        </w:rPr>
        <w:t>Classification determines the minimum level of governance. The project manager proposes a class during intake. The Sponsor confirms a Class C classification; the Project Authority confirms Class A and Class B and ratifies Class C intakes in batch at its monthly review. Appendix A states the matching Gate 1 decision authority. A project moves to the higher class whenever uncertainty exists or when one high-impact condition is present.</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700"/>
        <w:gridCol w:w="3900"/>
        <w:gridCol w:w="3760"/>
      </w:tblGrid>
      <w:tr>
        <w:trPr>
          <w:tblHeader w:val="true"/>
          <w:cantSplit/>
        </w:trPr>
        <w:tc>
          <w:tcPr>
            <w:tcW w:type="dxa" w:w="1700"/>
            <w:tcMar>
              <w:top w:w="100" w:type="dxa"/>
              <w:start w:w="120" w:type="dxa"/>
              <w:bottom w:w="100" w:type="dxa"/>
              <w:end w:w="120" w:type="dxa"/>
            </w:tcMar>
            <w:vAlign w:val="center"/>
            <w:shd w:fill="123A5A"/>
          </w:tcPr>
          <w:p>
            <w:pPr>
              <w:jc w:val="left"/>
            </w:pPr>
            <w:r>
              <w:rPr>
                <w:rFonts w:ascii="Calibri" w:hAnsi="Calibri"/>
                <w:b/>
                <w:color w:val="FFFFFF"/>
                <w:sz w:val="18"/>
              </w:rPr>
              <w:t>Class</w:t>
            </w:r>
          </w:p>
        </w:tc>
        <w:tc>
          <w:tcPr>
            <w:tcW w:type="dxa" w:w="3900"/>
            <w:tcMar>
              <w:top w:w="100" w:type="dxa"/>
              <w:start w:w="120" w:type="dxa"/>
              <w:bottom w:w="100" w:type="dxa"/>
              <w:end w:w="120" w:type="dxa"/>
            </w:tcMar>
            <w:vAlign w:val="center"/>
            <w:shd w:fill="123A5A"/>
          </w:tcPr>
          <w:p>
            <w:pPr>
              <w:jc w:val="left"/>
            </w:pPr>
            <w:r>
              <w:rPr>
                <w:rFonts w:ascii="Calibri" w:hAnsi="Calibri"/>
                <w:b/>
                <w:color w:val="FFFFFF"/>
                <w:sz w:val="18"/>
              </w:rPr>
              <w:t>Typical characteristics</w:t>
            </w:r>
          </w:p>
        </w:tc>
        <w:tc>
          <w:tcPr>
            <w:tcW w:type="dxa" w:w="3760"/>
            <w:tcMar>
              <w:top w:w="100" w:type="dxa"/>
              <w:start w:w="120" w:type="dxa"/>
              <w:bottom w:w="100" w:type="dxa"/>
              <w:end w:w="120" w:type="dxa"/>
            </w:tcMar>
            <w:vAlign w:val="center"/>
            <w:shd w:fill="123A5A"/>
          </w:tcPr>
          <w:p>
            <w:pPr>
              <w:jc w:val="left"/>
            </w:pPr>
            <w:r>
              <w:rPr>
                <w:rFonts w:ascii="Calibri" w:hAnsi="Calibri"/>
                <w:b/>
                <w:color w:val="FFFFFF"/>
                <w:sz w:val="18"/>
              </w:rPr>
              <w:t>Minimum governance</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color w:val="24313A"/>
                <w:sz w:val="17"/>
              </w:rPr>
              <w:t>Class A - Strategic / High Risk</w:t>
            </w:r>
          </w:p>
        </w:tc>
        <w:tc>
          <w:tcPr>
            <w:tcW w:type="dxa" w:w="3900"/>
            <w:tcMar>
              <w:top w:w="100" w:type="dxa"/>
              <w:start w:w="120" w:type="dxa"/>
              <w:bottom w:w="100" w:type="dxa"/>
              <w:end w:w="120" w:type="dxa"/>
            </w:tcMar>
            <w:vAlign w:val="center"/>
          </w:tcPr>
          <w:p>
            <w:pPr>
              <w:spacing w:after="0" w:line="252" w:lineRule="auto"/>
            </w:pPr>
            <w:r>
              <w:rPr>
                <w:rFonts w:ascii="Calibri" w:hAnsi="Calibri"/>
                <w:color w:val="24313A"/>
                <w:sz w:val="17"/>
              </w:rPr>
              <w:t>High financial exposure; sensitive or personal data; critical client service; major cybersecurity, legal, safety, AI, infrastructure or reputational risk; several teams or vendors.</w:t>
            </w:r>
          </w:p>
        </w:tc>
        <w:tc>
          <w:tcPr>
            <w:tcW w:type="dxa" w:w="3760"/>
            <w:tcMar>
              <w:top w:w="100" w:type="dxa"/>
              <w:start w:w="120" w:type="dxa"/>
              <w:bottom w:w="100" w:type="dxa"/>
              <w:end w:w="120" w:type="dxa"/>
            </w:tcMar>
            <w:vAlign w:val="center"/>
          </w:tcPr>
          <w:p>
            <w:pPr>
              <w:spacing w:after="0" w:line="252" w:lineRule="auto"/>
            </w:pPr>
            <w:r>
              <w:rPr>
                <w:rFonts w:ascii="Calibri" w:hAnsi="Calibri"/>
                <w:color w:val="24313A"/>
                <w:sz w:val="17"/>
              </w:rPr>
              <w:t>Full lifecycle, steering oversight, independent assurance, formal baselines, monthly or more frequent gate reviews, controlled release and benefits review.</w:t>
            </w:r>
          </w:p>
        </w:tc>
      </w:tr>
      <w:tr>
        <w:trPr>
          <w:cantSplit/>
        </w:trPr>
        <w:tc>
          <w:tcPr>
            <w:tcW w:type="dxa" w:w="1700"/>
            <w:shd w:fill="F4F6F8"/>
            <w:tcMar>
              <w:top w:w="100" w:type="dxa"/>
              <w:start w:w="120" w:type="dxa"/>
              <w:bottom w:w="100" w:type="dxa"/>
              <w:end w:w="120" w:type="dxa"/>
            </w:tcMar>
            <w:vAlign w:val="center"/>
          </w:tcPr>
          <w:p>
            <w:pPr>
              <w:spacing w:after="0" w:line="252" w:lineRule="auto"/>
            </w:pPr>
            <w:r>
              <w:rPr>
                <w:rFonts w:ascii="Calibri" w:hAnsi="Calibri"/>
                <w:color w:val="24313A"/>
                <w:sz w:val="17"/>
              </w:rPr>
              <w:t>Class B - Standard / Medium Risk</w:t>
            </w:r>
          </w:p>
        </w:tc>
        <w:tc>
          <w:tcPr>
            <w:tcW w:type="dxa" w:w="3900"/>
            <w:shd w:fill="F4F6F8"/>
            <w:tcMar>
              <w:top w:w="100" w:type="dxa"/>
              <w:start w:w="120" w:type="dxa"/>
              <w:bottom w:w="100" w:type="dxa"/>
              <w:end w:w="120" w:type="dxa"/>
            </w:tcMar>
            <w:vAlign w:val="center"/>
          </w:tcPr>
          <w:p>
            <w:pPr>
              <w:spacing w:after="0" w:line="252" w:lineRule="auto"/>
            </w:pPr>
            <w:r>
              <w:rPr>
                <w:rFonts w:ascii="Calibri" w:hAnsi="Calibri"/>
                <w:color w:val="24313A"/>
                <w:sz w:val="17"/>
              </w:rPr>
              <w:t>Defined client or internal project with moderate cost, multiple contributors, technical dependencies or meaningful service impact.</w:t>
            </w:r>
          </w:p>
        </w:tc>
        <w:tc>
          <w:tcPr>
            <w:tcW w:type="dxa" w:w="3760"/>
            <w:shd w:fill="F4F6F8"/>
            <w:tcMar>
              <w:top w:w="100" w:type="dxa"/>
              <w:start w:w="120" w:type="dxa"/>
              <w:bottom w:w="100" w:type="dxa"/>
              <w:end w:w="120" w:type="dxa"/>
            </w:tcMar>
            <w:vAlign w:val="center"/>
          </w:tcPr>
          <w:p>
            <w:pPr>
              <w:spacing w:after="0" w:line="252" w:lineRule="auto"/>
            </w:pPr>
            <w:r>
              <w:rPr>
                <w:rFonts w:ascii="Calibri" w:hAnsi="Calibri"/>
                <w:color w:val="24313A"/>
                <w:sz w:val="17"/>
              </w:rPr>
              <w:t>Full lifecycle with proportionate documents, sponsor gates, regular status reporting, risk and change control, acceptance and closure.</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color w:val="24313A"/>
                <w:sz w:val="17"/>
              </w:rPr>
              <w:t>Class C - Small / Low Risk</w:t>
            </w:r>
          </w:p>
        </w:tc>
        <w:tc>
          <w:tcPr>
            <w:tcW w:type="dxa" w:w="3900"/>
            <w:tcMar>
              <w:top w:w="100" w:type="dxa"/>
              <w:start w:w="120" w:type="dxa"/>
              <w:bottom w:w="100" w:type="dxa"/>
              <w:end w:w="120" w:type="dxa"/>
            </w:tcMar>
            <w:vAlign w:val="center"/>
          </w:tcPr>
          <w:p>
            <w:pPr>
              <w:spacing w:after="0" w:line="252" w:lineRule="auto"/>
            </w:pPr>
            <w:r>
              <w:rPr>
                <w:rFonts w:ascii="Calibri" w:hAnsi="Calibri"/>
                <w:color w:val="24313A"/>
                <w:sz w:val="17"/>
              </w:rPr>
              <w:t>Short duration, low cost, limited users, reversible change, one team and low data/security exposure.</w:t>
            </w:r>
          </w:p>
        </w:tc>
        <w:tc>
          <w:tcPr>
            <w:tcW w:type="dxa" w:w="3760"/>
            <w:tcMar>
              <w:top w:w="100" w:type="dxa"/>
              <w:start w:w="120" w:type="dxa"/>
              <w:bottom w:w="100" w:type="dxa"/>
              <w:end w:w="120" w:type="dxa"/>
            </w:tcMar>
            <w:vAlign w:val="center"/>
          </w:tcPr>
          <w:p>
            <w:pPr>
              <w:spacing w:after="0" w:line="252" w:lineRule="auto"/>
            </w:pPr>
            <w:r>
              <w:rPr>
                <w:rFonts w:ascii="Calibri" w:hAnsi="Calibri"/>
                <w:color w:val="24313A"/>
                <w:sz w:val="17"/>
              </w:rPr>
              <w:t>One-page charter, simple plan, named owner, risk checklist, acceptance evidence and closure note.</w:t>
            </w:r>
          </w:p>
        </w:tc>
      </w:tr>
    </w:tbl>
    <w:p>
      <w:pPr>
        <w:spacing w:after="40"/>
      </w:pPr>
    </w:p>
    <w:p>
      <w:pPr>
        <w:pStyle w:val="Heading2"/>
        <w:keepNext w:val="0"/>
        <w:pageBreakBefore w:val="0"/>
      </w:pPr>
      <w:r>
        <w:t>2.1 Classification Factors</w:t>
      </w:r>
    </w:p>
    <w:p>
      <w:pPr>
        <w:numPr>
          <w:ilvl w:val="0"/>
          <w:numId w:val="10"/>
        </w:numPr>
        <w:spacing w:after="80" w:line="300" w:lineRule="auto"/>
      </w:pPr>
      <w:r>
        <w:t>Financial exposure and the cost of failure.</w:t>
      </w:r>
    </w:p>
    <w:p>
      <w:pPr>
        <w:numPr>
          <w:ilvl w:val="0"/>
          <w:numId w:val="10"/>
        </w:numPr>
        <w:spacing w:after="80" w:line="300" w:lineRule="auto"/>
      </w:pPr>
      <w:r>
        <w:t>Number and importance of users, clients and affected services.</w:t>
      </w:r>
    </w:p>
    <w:p>
      <w:pPr>
        <w:numPr>
          <w:ilvl w:val="0"/>
          <w:numId w:val="10"/>
        </w:numPr>
        <w:spacing w:after="80" w:line="300" w:lineRule="auto"/>
      </w:pPr>
      <w:r>
        <w:t>Sensitivity of data, security requirements and privacy impact.</w:t>
      </w:r>
    </w:p>
    <w:p>
      <w:pPr>
        <w:numPr>
          <w:ilvl w:val="0"/>
          <w:numId w:val="10"/>
        </w:numPr>
        <w:spacing w:after="80" w:line="300" w:lineRule="auto"/>
      </w:pPr>
      <w:r>
        <w:t>Technical novelty, integration complexity and dependence on third parties.</w:t>
      </w:r>
    </w:p>
    <w:p>
      <w:pPr>
        <w:numPr>
          <w:ilvl w:val="0"/>
          <w:numId w:val="10"/>
        </w:numPr>
        <w:spacing w:after="80" w:line="300" w:lineRule="auto"/>
      </w:pPr>
      <w:r>
        <w:t>Legal, contractual, regulatory, ethical, safety and reputational exposure.</w:t>
      </w:r>
    </w:p>
    <w:p>
      <w:pPr>
        <w:numPr>
          <w:ilvl w:val="0"/>
          <w:numId w:val="10"/>
        </w:numPr>
        <w:spacing w:after="80" w:line="300" w:lineRule="auto"/>
      </w:pPr>
      <w:r>
        <w:t>Schedule urgency, resource scarcity and difficulty of reversing the outcome.</w:t>
      </w:r>
    </w:p>
    <w:p>
      <w:pPr>
        <w:numPr>
          <w:ilvl w:val="0"/>
          <w:numId w:val="10"/>
        </w:numPr>
        <w:spacing w:after="80" w:line="300" w:lineRule="auto"/>
      </w:pPr>
      <w:r>
        <w:t>Use of artificial intelligence, automated decisions or unproven technology.</w:t>
      </w:r>
    </w:p>
    <w:p>
      <w:pPr>
        <w:pStyle w:val="Heading2"/>
        <w:keepNext w:val="0"/>
        <w:pageBreakBefore w:val="0"/>
      </w:pPr>
      <w:r>
        <w:t>2.2 Tailoring Rules</w:t>
      </w:r>
    </w:p>
    <w:p>
      <w:pPr>
        <w:spacing w:after="120" w:line="300" w:lineRule="auto"/>
      </w:pPr>
      <w:r>
        <w:rPr>
          <w:i w:val="0"/>
        </w:rPr>
        <w:t>Tailoring reduces unnecessary administration while preserving control. The project manager records which documents, meetings and assurance steps will be combined, simplified or expanded. Mandatory items that cannot be removed are: sponsor, objective, scope, classification, schedule, cost/resource view, risk assessment, change authority, security/privacy review where relevant, acceptance criteria, closure and benefits ownership.</w:t>
      </w:r>
    </w:p>
    <w:p>
      <w:pPr>
        <w:shd w:fill="F4F6F8"/>
        <w:keepLines/>
        <w:pBdr>
          <w:top w:val="single" w:sz="8" w:space="6" w:color="123A5A"/>
          <w:left w:val="single" w:sz="8" w:space="6" w:color="123A5A"/>
          <w:bottom w:val="single" w:sz="8" w:space="6" w:color="123A5A"/>
          <w:right w:val="single" w:sz="8" w:space="6" w:color="123A5A"/>
        </w:pBdr>
        <w:spacing w:before="120" w:after="160" w:line="276" w:lineRule="auto"/>
        <w:ind w:left="160" w:right="160"/>
      </w:pPr>
      <w:r>
        <w:rPr>
          <w:rFonts w:ascii="Calibri" w:hAnsi="Calibri"/>
          <w:b/>
          <w:color w:val="123A5A"/>
        </w:rPr>
        <w:t xml:space="preserve">Tailoring test: </w:t>
      </w:r>
      <w:r>
        <w:rPr>
          <w:rFonts w:ascii="Calibri" w:hAnsi="Calibri"/>
          <w:color w:val="24313A"/>
        </w:rPr>
        <w:t>If a missing control would prevent leadership from knowing what is being approved, who is accountable, what could go wrong, what success means or whether the result was accepted, that control may not be removed.</w:t>
      </w:r>
    </w:p>
    <w:p>
      <w:pPr>
        <w:pStyle w:val="Heading1"/>
        <w:keepNext/>
        <w:pageBreakBefore w:val="0"/>
      </w:pPr>
      <w:r>
        <w:t>3. Governance Structure and Responsibilities</w:t>
      </w:r>
    </w:p>
    <w:p>
      <w:pPr>
        <w:spacing w:after="120" w:line="300" w:lineRule="auto"/>
      </w:pPr>
      <w:r>
        <w:rPr>
          <w:i w:val="0"/>
        </w:rPr>
        <w:t>Governance separates ownership, delivery, assurance and acceptance. One person may perform several roles on a small project, but the responsibilities and decision rights must remain clear.</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900"/>
        <w:gridCol w:w="4300"/>
        <w:gridCol w:w="3160"/>
      </w:tblGrid>
      <w:tr>
        <w:trPr>
          <w:tblHeader w:val="true"/>
          <w:cantSplit/>
        </w:trPr>
        <w:tc>
          <w:tcPr>
            <w:tcW w:type="dxa" w:w="1900"/>
            <w:tcMar>
              <w:top w:w="100" w:type="dxa"/>
              <w:start w:w="120" w:type="dxa"/>
              <w:bottom w:w="100" w:type="dxa"/>
              <w:end w:w="120" w:type="dxa"/>
            </w:tcMar>
            <w:vAlign w:val="center"/>
            <w:shd w:fill="123A5A"/>
          </w:tcPr>
          <w:p>
            <w:pPr>
              <w:jc w:val="left"/>
            </w:pPr>
            <w:r>
              <w:rPr>
                <w:rFonts w:ascii="Calibri" w:hAnsi="Calibri"/>
                <w:b/>
                <w:color w:val="FFFFFF"/>
                <w:sz w:val="18"/>
              </w:rPr>
              <w:t>Role</w:t>
            </w:r>
          </w:p>
        </w:tc>
        <w:tc>
          <w:tcPr>
            <w:tcW w:type="dxa" w:w="4300"/>
            <w:tcMar>
              <w:top w:w="100" w:type="dxa"/>
              <w:start w:w="120" w:type="dxa"/>
              <w:bottom w:w="100" w:type="dxa"/>
              <w:end w:w="120" w:type="dxa"/>
            </w:tcMar>
            <w:vAlign w:val="center"/>
            <w:shd w:fill="123A5A"/>
          </w:tcPr>
          <w:p>
            <w:pPr>
              <w:jc w:val="left"/>
            </w:pPr>
            <w:r>
              <w:rPr>
                <w:rFonts w:ascii="Calibri" w:hAnsi="Calibri"/>
                <w:b/>
                <w:color w:val="FFFFFF"/>
                <w:sz w:val="18"/>
              </w:rPr>
              <w:t>Primary accountability</w:t>
            </w:r>
          </w:p>
        </w:tc>
        <w:tc>
          <w:tcPr>
            <w:tcW w:type="dxa" w:w="3160"/>
            <w:tcMar>
              <w:top w:w="100" w:type="dxa"/>
              <w:start w:w="120" w:type="dxa"/>
              <w:bottom w:w="100" w:type="dxa"/>
              <w:end w:w="120" w:type="dxa"/>
            </w:tcMar>
            <w:vAlign w:val="center"/>
            <w:shd w:fill="123A5A"/>
          </w:tcPr>
          <w:p>
            <w:pPr>
              <w:jc w:val="left"/>
            </w:pPr>
            <w:r>
              <w:rPr>
                <w:rFonts w:ascii="Calibri" w:hAnsi="Calibri"/>
                <w:b/>
                <w:color w:val="FFFFFF"/>
                <w:sz w:val="18"/>
              </w:rPr>
              <w:t>Key decisions</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Executive / Project Authority</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Institutional priority, funding limits, strategic alignment and major exception decisions.</w:t>
            </w:r>
          </w:p>
        </w:tc>
        <w:tc>
          <w:tcPr>
            <w:tcW w:type="dxa" w:w="3160"/>
            <w:tcMar>
              <w:top w:w="100" w:type="dxa"/>
              <w:start w:w="120" w:type="dxa"/>
              <w:bottom w:w="100" w:type="dxa"/>
              <w:end w:w="120" w:type="dxa"/>
            </w:tcMar>
            <w:vAlign w:val="center"/>
          </w:tcPr>
          <w:p>
            <w:pPr>
              <w:spacing w:after="0" w:line="252" w:lineRule="auto"/>
            </w:pPr>
            <w:r>
              <w:rPr>
                <w:rFonts w:ascii="Calibri" w:hAnsi="Calibri"/>
                <w:color w:val="24313A"/>
                <w:sz w:val="17"/>
              </w:rPr>
              <w:t>Approve strategic/high-risk starts, major rebaseline, suspension or termination.</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Sponsor</w:t>
            </w:r>
          </w:p>
        </w:tc>
        <w:tc>
          <w:tcPr>
            <w:tcW w:type="dxa" w:w="4300"/>
            <w:shd w:fill="F4F6F8"/>
            <w:tcMar>
              <w:top w:w="100" w:type="dxa"/>
              <w:start w:w="120" w:type="dxa"/>
              <w:bottom w:w="100" w:type="dxa"/>
              <w:end w:w="120" w:type="dxa"/>
            </w:tcMar>
            <w:vAlign w:val="center"/>
          </w:tcPr>
          <w:p>
            <w:pPr>
              <w:spacing w:after="0" w:line="252" w:lineRule="auto"/>
            </w:pPr>
            <w:r>
              <w:rPr>
                <w:rFonts w:ascii="Calibri" w:hAnsi="Calibri"/>
                <w:color w:val="24313A"/>
                <w:sz w:val="17"/>
              </w:rPr>
              <w:t>Business case, intended benefits, priority, resources and final business acceptance.</w:t>
            </w:r>
          </w:p>
        </w:tc>
        <w:tc>
          <w:tcPr>
            <w:tcW w:type="dxa" w:w="3160"/>
            <w:shd w:fill="F4F6F8"/>
            <w:tcMar>
              <w:top w:w="100" w:type="dxa"/>
              <w:start w:w="120" w:type="dxa"/>
              <w:bottom w:w="100" w:type="dxa"/>
              <w:end w:w="120" w:type="dxa"/>
            </w:tcMar>
            <w:vAlign w:val="center"/>
          </w:tcPr>
          <w:p>
            <w:pPr>
              <w:spacing w:after="0" w:line="252" w:lineRule="auto"/>
            </w:pPr>
            <w:r>
              <w:rPr>
                <w:rFonts w:ascii="Calibri" w:hAnsi="Calibri"/>
                <w:color w:val="24313A"/>
                <w:sz w:val="17"/>
              </w:rPr>
              <w:t>Approve charter, plan, material changes, stage gates and closure.</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Project Manager</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Integrated planning, coordination, controls, reporting, issue resolution and records.</w:t>
            </w:r>
          </w:p>
        </w:tc>
        <w:tc>
          <w:tcPr>
            <w:tcW w:type="dxa" w:w="3160"/>
            <w:tcMar>
              <w:top w:w="100" w:type="dxa"/>
              <w:start w:w="120" w:type="dxa"/>
              <w:bottom w:w="100" w:type="dxa"/>
              <w:end w:w="120" w:type="dxa"/>
            </w:tcMar>
            <w:vAlign w:val="center"/>
          </w:tcPr>
          <w:p>
            <w:pPr>
              <w:spacing w:after="0" w:line="252" w:lineRule="auto"/>
            </w:pPr>
            <w:r>
              <w:rPr>
                <w:rFonts w:ascii="Calibri" w:hAnsi="Calibri"/>
                <w:color w:val="24313A"/>
                <w:sz w:val="17"/>
              </w:rPr>
              <w:t>Manage within approved tolerance; escalate exceptions.</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Product / Business Owner</w:t>
            </w:r>
          </w:p>
        </w:tc>
        <w:tc>
          <w:tcPr>
            <w:tcW w:type="dxa" w:w="4300"/>
            <w:shd w:fill="F4F6F8"/>
            <w:tcMar>
              <w:top w:w="100" w:type="dxa"/>
              <w:start w:w="120" w:type="dxa"/>
              <w:bottom w:w="100" w:type="dxa"/>
              <w:end w:w="120" w:type="dxa"/>
            </w:tcMar>
            <w:vAlign w:val="center"/>
          </w:tcPr>
          <w:p>
            <w:pPr>
              <w:spacing w:after="0" w:line="252" w:lineRule="auto"/>
            </w:pPr>
            <w:r>
              <w:rPr>
                <w:rFonts w:ascii="Calibri" w:hAnsi="Calibri"/>
                <w:color w:val="24313A"/>
                <w:sz w:val="17"/>
              </w:rPr>
              <w:t>User needs, requirements, prioritisation and operational readiness.</w:t>
            </w:r>
          </w:p>
        </w:tc>
        <w:tc>
          <w:tcPr>
            <w:tcW w:type="dxa" w:w="3160"/>
            <w:shd w:fill="F4F6F8"/>
            <w:tcMar>
              <w:top w:w="100" w:type="dxa"/>
              <w:start w:w="120" w:type="dxa"/>
              <w:bottom w:w="100" w:type="dxa"/>
              <w:end w:w="120" w:type="dxa"/>
            </w:tcMar>
            <w:vAlign w:val="center"/>
          </w:tcPr>
          <w:p>
            <w:pPr>
              <w:spacing w:after="0" w:line="252" w:lineRule="auto"/>
            </w:pPr>
            <w:r>
              <w:rPr>
                <w:rFonts w:ascii="Calibri" w:hAnsi="Calibri"/>
                <w:color w:val="24313A"/>
                <w:sz w:val="17"/>
              </w:rPr>
              <w:t>Prioritise scope and accept functional outcomes within authority.</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Technical Lead</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Architecture, engineering approach, technical quality, maintainability and technical risk.</w:t>
            </w:r>
          </w:p>
        </w:tc>
        <w:tc>
          <w:tcPr>
            <w:tcW w:type="dxa" w:w="3160"/>
            <w:tcMar>
              <w:top w:w="100" w:type="dxa"/>
              <w:start w:w="120" w:type="dxa"/>
              <w:bottom w:w="100" w:type="dxa"/>
              <w:end w:w="120" w:type="dxa"/>
            </w:tcMar>
            <w:vAlign w:val="center"/>
          </w:tcPr>
          <w:p>
            <w:pPr>
              <w:spacing w:after="0" w:line="252" w:lineRule="auto"/>
            </w:pPr>
            <w:r>
              <w:rPr>
                <w:rFonts w:ascii="Calibri" w:hAnsi="Calibri"/>
                <w:color w:val="24313A"/>
                <w:sz w:val="17"/>
              </w:rPr>
              <w:t>Approve technical design and readiness evidence.</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Quality / Assurance Reviewer</w:t>
            </w:r>
          </w:p>
        </w:tc>
        <w:tc>
          <w:tcPr>
            <w:tcW w:type="dxa" w:w="4300"/>
            <w:shd w:fill="F4F6F8"/>
            <w:tcMar>
              <w:top w:w="100" w:type="dxa"/>
              <w:start w:w="120" w:type="dxa"/>
              <w:bottom w:w="100" w:type="dxa"/>
              <w:end w:w="120" w:type="dxa"/>
            </w:tcMar>
            <w:vAlign w:val="center"/>
          </w:tcPr>
          <w:p>
            <w:pPr>
              <w:spacing w:after="0" w:line="252" w:lineRule="auto"/>
            </w:pPr>
            <w:r>
              <w:rPr>
                <w:rFonts w:ascii="Calibri" w:hAnsi="Calibri"/>
                <w:color w:val="24313A"/>
                <w:sz w:val="17"/>
              </w:rPr>
              <w:t>Independent check that process, evidence, tests and gate conditions are reliable.</w:t>
            </w:r>
          </w:p>
        </w:tc>
        <w:tc>
          <w:tcPr>
            <w:tcW w:type="dxa" w:w="3160"/>
            <w:shd w:fill="F4F6F8"/>
            <w:tcMar>
              <w:top w:w="100" w:type="dxa"/>
              <w:start w:w="120" w:type="dxa"/>
              <w:bottom w:w="100" w:type="dxa"/>
              <w:end w:w="120" w:type="dxa"/>
            </w:tcMar>
            <w:vAlign w:val="center"/>
          </w:tcPr>
          <w:p>
            <w:pPr>
              <w:spacing w:after="0" w:line="252" w:lineRule="auto"/>
            </w:pPr>
            <w:r>
              <w:rPr>
                <w:rFonts w:ascii="Calibri" w:hAnsi="Calibri"/>
                <w:color w:val="24313A"/>
                <w:sz w:val="17"/>
              </w:rPr>
              <w:t>Recommend pass, conditional pass, hold or reject.</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Finance / Administration</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Budget controls, procurement compliance, payments and financial reporting.</w:t>
            </w:r>
          </w:p>
        </w:tc>
        <w:tc>
          <w:tcPr>
            <w:tcW w:type="dxa" w:w="3160"/>
            <w:tcMar>
              <w:top w:w="100" w:type="dxa"/>
              <w:start w:w="120" w:type="dxa"/>
              <w:bottom w:w="100" w:type="dxa"/>
              <w:end w:w="120" w:type="dxa"/>
            </w:tcMar>
            <w:vAlign w:val="center"/>
          </w:tcPr>
          <w:p>
            <w:pPr>
              <w:spacing w:after="0" w:line="252" w:lineRule="auto"/>
            </w:pPr>
            <w:r>
              <w:rPr>
                <w:rFonts w:ascii="Calibri" w:hAnsi="Calibri"/>
                <w:color w:val="24313A"/>
                <w:sz w:val="17"/>
              </w:rPr>
              <w:t>Verify funding, commitments and financial closure.</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Security / Privacy Reviewer</w:t>
            </w:r>
          </w:p>
        </w:tc>
        <w:tc>
          <w:tcPr>
            <w:tcW w:type="dxa" w:w="4300"/>
            <w:shd w:fill="F4F6F8"/>
            <w:tcMar>
              <w:top w:w="100" w:type="dxa"/>
              <w:start w:w="120" w:type="dxa"/>
              <w:bottom w:w="100" w:type="dxa"/>
              <w:end w:w="120" w:type="dxa"/>
            </w:tcMar>
            <w:vAlign w:val="center"/>
          </w:tcPr>
          <w:p>
            <w:pPr>
              <w:spacing w:after="0" w:line="252" w:lineRule="auto"/>
            </w:pPr>
            <w:r>
              <w:rPr>
                <w:rFonts w:ascii="Calibri" w:hAnsi="Calibri"/>
                <w:color w:val="24313A"/>
                <w:sz w:val="17"/>
              </w:rPr>
              <w:t>Security, data protection, access, threat and release controls where applicable.</w:t>
            </w:r>
          </w:p>
        </w:tc>
        <w:tc>
          <w:tcPr>
            <w:tcW w:type="dxa" w:w="3160"/>
            <w:shd w:fill="F4F6F8"/>
            <w:tcMar>
              <w:top w:w="100" w:type="dxa"/>
              <w:start w:w="120" w:type="dxa"/>
              <w:bottom w:w="100" w:type="dxa"/>
              <w:end w:w="120" w:type="dxa"/>
            </w:tcMar>
            <w:vAlign w:val="center"/>
          </w:tcPr>
          <w:p>
            <w:pPr>
              <w:spacing w:after="0" w:line="252" w:lineRule="auto"/>
            </w:pPr>
            <w:r>
              <w:rPr>
                <w:rFonts w:ascii="Calibri" w:hAnsi="Calibri"/>
                <w:color w:val="24313A"/>
                <w:sz w:val="17"/>
              </w:rPr>
              <w:t>Approve or block risk-sensitive release conditions.</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Service / Operations Owner</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Operational ownership, support, service levels, monitoring, continuity and benefits evidence after handover.</w:t>
            </w:r>
          </w:p>
        </w:tc>
        <w:tc>
          <w:tcPr>
            <w:tcW w:type="dxa" w:w="3160"/>
            <w:tcMar>
              <w:top w:w="100" w:type="dxa"/>
              <w:start w:w="120" w:type="dxa"/>
              <w:bottom w:w="100" w:type="dxa"/>
              <w:end w:w="120" w:type="dxa"/>
            </w:tcMar>
            <w:vAlign w:val="center"/>
          </w:tcPr>
          <w:p>
            <w:pPr>
              <w:spacing w:after="0" w:line="252" w:lineRule="auto"/>
            </w:pPr>
            <w:r>
              <w:rPr>
                <w:rFonts w:ascii="Calibri" w:hAnsi="Calibri"/>
                <w:color w:val="24313A"/>
                <w:sz w:val="17"/>
              </w:rPr>
              <w:t>Accept operational handover, own service risk and convene benefits evidence.</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Team</w:t>
            </w:r>
          </w:p>
        </w:tc>
        <w:tc>
          <w:tcPr>
            <w:tcW w:type="dxa" w:w="43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Produce deliverables, estimates, evidence and timely issue updates.</w:t>
            </w:r>
          </w:p>
        </w:tc>
        <w:tc>
          <w:tcPr>
            <w:tcW w:type="dxa" w:w="3160"/>
            <w:shd w:fill="F4F6F8"/>
            <w:tcMar>
              <w:top w:w="100" w:type="dxa"/>
              <w:start w:w="120" w:type="dxa"/>
              <w:bottom w:w="100" w:type="dxa"/>
              <w:end w:w="120" w:type="dxa"/>
            </w:tcMar>
            <w:vAlign w:val="center"/>
          </w:tcPr>
          <w:p>
            <w:pPr>
              <w:spacing w:after="0" w:line="252" w:lineRule="auto"/>
            </w:pPr>
            <w:r>
              <w:rPr>
                <w:rFonts w:ascii="Calibri" w:hAnsi="Calibri"/>
                <w:color w:val="24313A"/>
                <w:sz w:val="17"/>
              </w:rPr>
              <w:t>Complete assigned work within approved standards.</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Users / Client Representatives</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Operational needs, usability feedback, validation and acceptance participation.</w:t>
            </w:r>
          </w:p>
        </w:tc>
        <w:tc>
          <w:tcPr>
            <w:tcW w:type="dxa" w:w="3160"/>
            <w:tcMar>
              <w:top w:w="100" w:type="dxa"/>
              <w:start w:w="120" w:type="dxa"/>
              <w:bottom w:w="100" w:type="dxa"/>
              <w:end w:w="120" w:type="dxa"/>
            </w:tcMar>
            <w:vAlign w:val="center"/>
          </w:tcPr>
          <w:p>
            <w:pPr>
              <w:spacing w:after="0" w:line="252" w:lineRule="auto"/>
            </w:pPr>
            <w:r>
              <w:rPr>
                <w:rFonts w:ascii="Calibri" w:hAnsi="Calibri"/>
                <w:color w:val="24313A"/>
                <w:sz w:val="17"/>
              </w:rPr>
              <w:t>Confirm user acceptance according to agreed criteria.</w:t>
            </w:r>
          </w:p>
        </w:tc>
      </w:tr>
    </w:tbl>
    <w:p>
      <w:pPr>
        <w:spacing w:after="40"/>
      </w:pPr>
    </w:p>
    <w:p>
      <w:pPr>
        <w:pStyle w:val="Heading2"/>
        <w:keepNext w:val="0"/>
        <w:pageBreakBefore w:val="0"/>
      </w:pPr>
      <w:r>
        <w:t>3.1 Decision Rights and Default Tolerances</w:t>
      </w:r>
    </w:p>
    <w:p>
      <w:pPr>
        <w:spacing w:after="120" w:line="300" w:lineRule="auto"/>
      </w:pPr>
      <w:r>
        <w:rPr>
          <w:i w:val="0"/>
        </w:rPr>
        <w:t>The approved plan must define tolerances for time, cost, scope, quality and risk. A gate may approve tighter limits, but it may exceed the institutional defaults below only when the Project Authority records the reason, compensating controls and expiry or review date. Forecast breach, critical risk, unauthorised data use, security compromise, contractual failure or inability to meet acceptance criteria must be escalated immediately rather than waiting for the next report.</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200"/>
        <w:gridCol w:w="1900"/>
        <w:gridCol w:w="1900"/>
        <w:gridCol w:w="4360"/>
      </w:tblGrid>
      <w:tr>
        <w:trPr>
          <w:tblHeader w:val="true"/>
          <w:cantSplit/>
        </w:trPr>
        <w:tc>
          <w:tcPr>
            <w:tcW w:type="dxa" w:w="1200"/>
            <w:tcMar>
              <w:top w:w="100" w:type="dxa"/>
              <w:start w:w="120" w:type="dxa"/>
              <w:bottom w:w="100" w:type="dxa"/>
              <w:end w:w="120" w:type="dxa"/>
            </w:tcMar>
            <w:vAlign w:val="center"/>
            <w:shd w:fill="123A5A"/>
          </w:tcPr>
          <w:p>
            <w:pPr>
              <w:jc w:val="left"/>
            </w:pPr>
            <w:r>
              <w:rPr>
                <w:rFonts w:ascii="Calibri" w:hAnsi="Calibri"/>
                <w:b/>
                <w:color w:val="FFFFFF"/>
                <w:sz w:val="18"/>
              </w:rPr>
              <w:t>Class</w:t>
            </w:r>
          </w:p>
        </w:tc>
        <w:tc>
          <w:tcPr>
            <w:tcW w:type="dxa" w:w="1900"/>
            <w:tcMar>
              <w:top w:w="100" w:type="dxa"/>
              <w:start w:w="120" w:type="dxa"/>
              <w:bottom w:w="100" w:type="dxa"/>
              <w:end w:w="120" w:type="dxa"/>
            </w:tcMar>
            <w:vAlign w:val="center"/>
            <w:shd w:fill="123A5A"/>
          </w:tcPr>
          <w:p>
            <w:pPr>
              <w:jc w:val="left"/>
            </w:pPr>
            <w:r>
              <w:rPr>
                <w:rFonts w:ascii="Calibri" w:hAnsi="Calibri"/>
                <w:b/>
                <w:color w:val="FFFFFF"/>
                <w:sz w:val="18"/>
              </w:rPr>
              <w:t>Cost tolerance</w:t>
            </w:r>
          </w:p>
        </w:tc>
        <w:tc>
          <w:tcPr>
            <w:tcW w:type="dxa" w:w="1900"/>
            <w:tcMar>
              <w:top w:w="100" w:type="dxa"/>
              <w:start w:w="120" w:type="dxa"/>
              <w:bottom w:w="100" w:type="dxa"/>
              <w:end w:w="120" w:type="dxa"/>
            </w:tcMar>
            <w:vAlign w:val="center"/>
            <w:shd w:fill="123A5A"/>
          </w:tcPr>
          <w:p>
            <w:pPr>
              <w:jc w:val="left"/>
            </w:pPr>
            <w:r>
              <w:rPr>
                <w:rFonts w:ascii="Calibri" w:hAnsi="Calibri"/>
                <w:b/>
                <w:color w:val="FFFFFF"/>
                <w:sz w:val="18"/>
              </w:rPr>
              <w:t>Schedule tolerance</w:t>
            </w:r>
          </w:p>
        </w:tc>
        <w:tc>
          <w:tcPr>
            <w:tcW w:type="dxa" w:w="4360"/>
            <w:tcMar>
              <w:top w:w="100" w:type="dxa"/>
              <w:start w:w="120" w:type="dxa"/>
              <w:bottom w:w="100" w:type="dxa"/>
              <w:end w:w="120" w:type="dxa"/>
            </w:tcMar>
            <w:vAlign w:val="center"/>
            <w:shd w:fill="123A5A"/>
          </w:tcPr>
          <w:p>
            <w:pPr>
              <w:jc w:val="left"/>
            </w:pPr>
            <w:r>
              <w:rPr>
                <w:rFonts w:ascii="Calibri" w:hAnsi="Calibri"/>
                <w:b/>
                <w:color w:val="FFFFFF"/>
                <w:sz w:val="18"/>
              </w:rPr>
              <w:t>Scope, quality and risk floor</w:t>
            </w:r>
          </w:p>
        </w:tc>
      </w:tr>
      <w:tr>
        <w:trPr>
          <w:cantSplit/>
        </w:trPr>
        <w:tc>
          <w:tcPr>
            <w:tcW w:type="dxa" w:w="1200"/>
            <w:tcMar>
              <w:top w:w="100" w:type="dxa"/>
              <w:start w:w="120" w:type="dxa"/>
              <w:bottom w:w="100" w:type="dxa"/>
              <w:end w:w="120" w:type="dxa"/>
            </w:tcMar>
            <w:vAlign w:val="center"/>
          </w:tcPr>
          <w:p>
            <w:pPr>
              <w:spacing w:after="0" w:line="252" w:lineRule="auto"/>
            </w:pPr>
            <w:r>
              <w:rPr>
                <w:rFonts w:ascii="Calibri" w:hAnsi="Calibri"/>
                <w:color w:val="24313A"/>
                <w:sz w:val="17"/>
              </w:rPr>
              <w:t>Class A</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Maximum +/-5% of approved cost baseline.</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Maximum +/-5% of approved stage or completion baseline.</w:t>
            </w:r>
          </w:p>
        </w:tc>
        <w:tc>
          <w:tcPr>
            <w:tcW w:type="dxa" w:w="4360"/>
            <w:tcMar>
              <w:top w:w="100" w:type="dxa"/>
              <w:start w:w="120" w:type="dxa"/>
              <w:bottom w:w="100" w:type="dxa"/>
              <w:end w:w="120" w:type="dxa"/>
            </w:tcMar>
            <w:vAlign w:val="center"/>
          </w:tcPr>
          <w:p>
            <w:pPr>
              <w:spacing w:after="0" w:line="252" w:lineRule="auto"/>
            </w:pPr>
            <w:r>
              <w:rPr>
                <w:rFonts w:ascii="Calibri" w:hAnsi="Calibri"/>
                <w:color w:val="24313A"/>
                <w:sz w:val="17"/>
              </w:rPr>
              <w:t>Zero tolerance for reduced acceptance criteria, unapproved material scope change, unresolved critical defect, unlawful processing or unaccepted critical risk.</w:t>
            </w:r>
          </w:p>
        </w:tc>
      </w:tr>
      <w:tr>
        <w:trPr>
          <w:cantSplit/>
        </w:trPr>
        <w:tc>
          <w:tcPr>
            <w:tcW w:type="dxa" w:w="1200"/>
            <w:shd w:fill="F4F6F8"/>
            <w:tcMar>
              <w:top w:w="100" w:type="dxa"/>
              <w:start w:w="120" w:type="dxa"/>
              <w:bottom w:w="100" w:type="dxa"/>
              <w:end w:w="120" w:type="dxa"/>
            </w:tcMar>
            <w:vAlign w:val="center"/>
          </w:tcPr>
          <w:p>
            <w:pPr>
              <w:spacing w:after="0" w:line="252" w:lineRule="auto"/>
            </w:pPr>
            <w:r>
              <w:rPr>
                <w:rFonts w:ascii="Calibri" w:hAnsi="Calibri"/>
                <w:color w:val="24313A"/>
                <w:sz w:val="17"/>
              </w:rPr>
              <w:t>Class B</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Maximum +/-10% of approved cost baseline.</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Maximum +/-10% of approved stage or completion baseline.</w:t>
            </w:r>
          </w:p>
        </w:tc>
        <w:tc>
          <w:tcPr>
            <w:tcW w:type="dxa" w:w="4360"/>
            <w:shd w:fill="F4F6F8"/>
            <w:tcMar>
              <w:top w:w="100" w:type="dxa"/>
              <w:start w:w="120" w:type="dxa"/>
              <w:bottom w:w="100" w:type="dxa"/>
              <w:end w:w="120" w:type="dxa"/>
            </w:tcMar>
            <w:vAlign w:val="center"/>
          </w:tcPr>
          <w:p>
            <w:pPr>
              <w:spacing w:after="0" w:line="252" w:lineRule="auto"/>
            </w:pPr>
            <w:r>
              <w:rPr>
                <w:rFonts w:ascii="Calibri" w:hAnsi="Calibri"/>
                <w:color w:val="24313A"/>
                <w:sz w:val="17"/>
              </w:rPr>
              <w:t>Sponsor approval is required for changes affecting benefits, acceptance, security/privacy, contract or material user impact.</w:t>
            </w:r>
          </w:p>
        </w:tc>
      </w:tr>
      <w:tr>
        <w:trPr>
          <w:cantSplit/>
        </w:trPr>
        <w:tc>
          <w:tcPr>
            <w:tcW w:type="dxa" w:w="1200"/>
            <w:tcMar>
              <w:top w:w="100" w:type="dxa"/>
              <w:start w:w="120" w:type="dxa"/>
              <w:bottom w:w="100" w:type="dxa"/>
              <w:end w:w="120" w:type="dxa"/>
            </w:tcMar>
            <w:vAlign w:val="center"/>
          </w:tcPr>
          <w:p>
            <w:pPr>
              <w:spacing w:after="0" w:line="252" w:lineRule="auto"/>
            </w:pPr>
            <w:r>
              <w:rPr>
                <w:rFonts w:ascii="Calibri" w:hAnsi="Calibri"/>
                <w:color w:val="24313A"/>
                <w:sz w:val="17"/>
              </w:rPr>
              <w:t>Class C</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Maximum +/-15% of approved cost baseline.</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Maximum +/-15% of approved completion baseline.</w:t>
            </w:r>
          </w:p>
        </w:tc>
        <w:tc>
          <w:tcPr>
            <w:tcW w:type="dxa" w:w="4360"/>
            <w:tcMar>
              <w:top w:w="100" w:type="dxa"/>
              <w:start w:w="120" w:type="dxa"/>
              <w:bottom w:w="100" w:type="dxa"/>
              <w:end w:w="120" w:type="dxa"/>
            </w:tcMar>
            <w:vAlign w:val="center"/>
          </w:tcPr>
          <w:p>
            <w:pPr>
              <w:spacing w:after="0" w:line="252" w:lineRule="auto"/>
            </w:pPr>
            <w:r>
              <w:rPr>
                <w:rFonts w:ascii="Calibri" w:hAnsi="Calibri"/>
                <w:color w:val="24313A"/>
                <w:sz w:val="17"/>
              </w:rPr>
              <w:t>Any change to the objective, acceptance criteria, production use, personal-data exposure or risk class requires sponsor approval and reclassification review.</w:t>
            </w:r>
          </w:p>
        </w:tc>
      </w:tr>
    </w:tbl>
    <w:p>
      <w:pPr>
        <w:spacing w:after="40"/>
      </w:pPr>
    </w:p>
    <w:p>
      <w:pPr>
        <w:shd w:fill="F4F6F8"/>
        <w:keepLines/>
        <w:pBdr>
          <w:top w:val="single" w:sz="8" w:space="6" w:color="9B1C1C"/>
          <w:left w:val="single" w:sz="8" w:space="6" w:color="9B1C1C"/>
          <w:bottom w:val="single" w:sz="8" w:space="6" w:color="9B1C1C"/>
          <w:right w:val="single" w:sz="8" w:space="6" w:color="9B1C1C"/>
        </w:pBdr>
        <w:spacing w:before="120" w:after="160" w:line="276" w:lineRule="auto"/>
        <w:ind w:left="160" w:right="160"/>
      </w:pPr>
      <w:r>
        <w:rPr>
          <w:rFonts w:ascii="Calibri" w:hAnsi="Calibri"/>
          <w:b/>
          <w:color w:val="9B1C1C"/>
        </w:rPr>
        <w:t xml:space="preserve">Non-waivable tolerance: </w:t>
      </w:r>
      <w:r>
        <w:rPr>
          <w:rFonts w:ascii="Calibri" w:hAnsi="Calibri"/>
          <w:color w:val="24313A"/>
        </w:rPr>
        <w:t>There is no tolerance for fraud, deliberate concealment, unlawful activity, unsafe work, unauthorised access, falsified evidence or bypass of a mandatory security, privacy, acceptance or financial control.</w:t>
      </w:r>
    </w:p>
    <w:p>
      <w:pPr>
        <w:pStyle w:val="Heading2"/>
        <w:keepNext w:val="0"/>
        <w:pageBreakBefore w:val="0"/>
      </w:pPr>
      <w:r>
        <w:t>3.2 Delegated Financial Authority</w:t>
      </w:r>
    </w:p>
    <w:p>
      <w:pPr>
        <w:spacing w:after="120" w:line="300" w:lineRule="auto"/>
      </w:pPr>
      <w:r>
        <w:rPr>
          <w:i w:val="0"/>
        </w:rPr>
        <w:t>The following interim institutional bands apply unless a stricter written delegation, client contract or law governs. Amounts are total committed value in Ghana cedis, including taxes, fees, renewals and foreseeable extensions. Commitments must not be split to avoid a band.</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800"/>
        <w:gridCol w:w="2300"/>
        <w:gridCol w:w="4260"/>
      </w:tblGrid>
      <w:tr>
        <w:trPr>
          <w:tblHeader w:val="true"/>
          <w:cantSplit/>
        </w:trPr>
        <w:tc>
          <w:tcPr>
            <w:tcW w:type="dxa" w:w="2800"/>
            <w:tcMar>
              <w:top w:w="100" w:type="dxa"/>
              <w:start w:w="120" w:type="dxa"/>
              <w:bottom w:w="100" w:type="dxa"/>
              <w:end w:w="120" w:type="dxa"/>
            </w:tcMar>
            <w:vAlign w:val="center"/>
            <w:shd w:fill="123A5A"/>
          </w:tcPr>
          <w:p>
            <w:pPr>
              <w:jc w:val="left"/>
            </w:pPr>
            <w:r>
              <w:rPr>
                <w:rFonts w:ascii="Calibri" w:hAnsi="Calibri"/>
                <w:b/>
                <w:color w:val="FFFFFF"/>
                <w:sz w:val="18"/>
              </w:rPr>
              <w:t>Commitment value / condition</w:t>
            </w:r>
          </w:p>
        </w:tc>
        <w:tc>
          <w:tcPr>
            <w:tcW w:type="dxa" w:w="2300"/>
            <w:tcMar>
              <w:top w:w="100" w:type="dxa"/>
              <w:start w:w="120" w:type="dxa"/>
              <w:bottom w:w="100" w:type="dxa"/>
              <w:end w:w="120" w:type="dxa"/>
            </w:tcMar>
            <w:vAlign w:val="center"/>
            <w:shd w:fill="123A5A"/>
          </w:tcPr>
          <w:p>
            <w:pPr>
              <w:jc w:val="left"/>
            </w:pPr>
            <w:r>
              <w:rPr>
                <w:rFonts w:ascii="Calibri" w:hAnsi="Calibri"/>
                <w:b/>
                <w:color w:val="FFFFFF"/>
                <w:sz w:val="18"/>
              </w:rPr>
              <w:t>Accountable approval</w:t>
            </w:r>
          </w:p>
        </w:tc>
        <w:tc>
          <w:tcPr>
            <w:tcW w:type="dxa" w:w="4260"/>
            <w:tcMar>
              <w:top w:w="100" w:type="dxa"/>
              <w:start w:w="120" w:type="dxa"/>
              <w:bottom w:w="100" w:type="dxa"/>
              <w:end w:w="120" w:type="dxa"/>
            </w:tcMar>
            <w:vAlign w:val="center"/>
            <w:shd w:fill="123A5A"/>
          </w:tcPr>
          <w:p>
            <w:pPr>
              <w:jc w:val="left"/>
            </w:pPr>
            <w:r>
              <w:rPr>
                <w:rFonts w:ascii="Calibri" w:hAnsi="Calibri"/>
                <w:b/>
                <w:color w:val="FFFFFF"/>
                <w:sz w:val="18"/>
              </w:rPr>
              <w:t>Mandatory control</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7"/>
              </w:rPr>
              <w:t>Up to GHS 2,500 within an approved budget line</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Project Manager</w:t>
            </w:r>
          </w:p>
        </w:tc>
        <w:tc>
          <w:tcPr>
            <w:tcW w:type="dxa" w:w="4260"/>
            <w:tcMar>
              <w:top w:w="100" w:type="dxa"/>
              <w:start w:w="120" w:type="dxa"/>
              <w:bottom w:w="100" w:type="dxa"/>
              <w:end w:w="120" w:type="dxa"/>
            </w:tcMar>
            <w:vAlign w:val="center"/>
          </w:tcPr>
          <w:p>
            <w:pPr>
              <w:spacing w:after="0" w:line="252" w:lineRule="auto"/>
            </w:pPr>
            <w:r>
              <w:rPr>
                <w:rFonts w:ascii="Calibri" w:hAnsi="Calibri"/>
                <w:color w:val="24313A"/>
                <w:sz w:val="17"/>
              </w:rPr>
              <w:t>Finance verifies budget availability and procurement evidence before commitment.</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7"/>
              </w:rPr>
              <w:t>GHS 2,501-15,000</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Sponsor</w:t>
            </w:r>
          </w:p>
        </w:tc>
        <w:tc>
          <w:tcPr>
            <w:tcW w:type="dxa" w:w="4260"/>
            <w:shd w:fill="F4F6F8"/>
            <w:tcMar>
              <w:top w:w="100" w:type="dxa"/>
              <w:start w:w="120" w:type="dxa"/>
              <w:bottom w:w="100" w:type="dxa"/>
              <w:end w:w="120" w:type="dxa"/>
            </w:tcMar>
            <w:vAlign w:val="center"/>
          </w:tcPr>
          <w:p>
            <w:pPr>
              <w:spacing w:after="0" w:line="252" w:lineRule="auto"/>
            </w:pPr>
            <w:r>
              <w:rPr>
                <w:rFonts w:ascii="Calibri" w:hAnsi="Calibri"/>
                <w:color w:val="24313A"/>
                <w:sz w:val="17"/>
              </w:rPr>
              <w:t>Finance concurrence and written commitment record.</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7"/>
              </w:rPr>
              <w:t>GHS 15,001-50,000</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Project Authority</w:t>
            </w:r>
          </w:p>
        </w:tc>
        <w:tc>
          <w:tcPr>
            <w:tcW w:type="dxa" w:w="4260"/>
            <w:tcMar>
              <w:top w:w="100" w:type="dxa"/>
              <w:start w:w="120" w:type="dxa"/>
              <w:bottom w:w="100" w:type="dxa"/>
              <w:end w:w="120" w:type="dxa"/>
            </w:tcMar>
            <w:vAlign w:val="center"/>
          </w:tcPr>
          <w:p>
            <w:pPr>
              <w:spacing w:after="0" w:line="252" w:lineRule="auto"/>
            </w:pPr>
            <w:r>
              <w:rPr>
                <w:rFonts w:ascii="Calibri" w:hAnsi="Calibri"/>
                <w:color w:val="24313A"/>
                <w:sz w:val="17"/>
              </w:rPr>
              <w:t>Sponsor recommendation, Finance concurrence and documented value/selection decision.</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7"/>
              </w:rPr>
              <w:t>Above GHS 50,000; multi-year, foreign-currency, debt, guarantee or material liability</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Executive / Project Authority</w:t>
            </w:r>
          </w:p>
        </w:tc>
        <w:tc>
          <w:tcPr>
            <w:tcW w:type="dxa" w:w="4260"/>
            <w:shd w:fill="F4F6F8"/>
            <w:tcMar>
              <w:top w:w="100" w:type="dxa"/>
              <w:start w:w="120" w:type="dxa"/>
              <w:bottom w:w="100" w:type="dxa"/>
              <w:end w:w="120" w:type="dxa"/>
            </w:tcMar>
            <w:vAlign w:val="center"/>
          </w:tcPr>
          <w:p>
            <w:pPr>
              <w:spacing w:after="0" w:line="252" w:lineRule="auto"/>
            </w:pPr>
            <w:r>
              <w:rPr>
                <w:rFonts w:ascii="Calibri" w:hAnsi="Calibri"/>
                <w:color w:val="24313A"/>
                <w:sz w:val="17"/>
              </w:rPr>
              <w:t>Finance concurrence and legal/commercial review where relevant.</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7"/>
              </w:rPr>
              <w:t>Any unbudgeted commitment or forecast total above the approved baseline</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Next higher authority than the normal value band</w:t>
            </w:r>
          </w:p>
        </w:tc>
        <w:tc>
          <w:tcPr>
            <w:tcW w:type="dxa" w:w="4260"/>
            <w:tcMar>
              <w:top w:w="100" w:type="dxa"/>
              <w:start w:w="120" w:type="dxa"/>
              <w:bottom w:w="100" w:type="dxa"/>
              <w:end w:w="120" w:type="dxa"/>
            </w:tcMar>
            <w:vAlign w:val="center"/>
          </w:tcPr>
          <w:p>
            <w:pPr>
              <w:spacing w:after="0" w:line="252" w:lineRule="auto"/>
            </w:pPr>
            <w:r>
              <w:rPr>
                <w:rFonts w:ascii="Calibri" w:hAnsi="Calibri"/>
                <w:color w:val="24313A"/>
                <w:sz w:val="17"/>
              </w:rPr>
              <w:t>Approved change request and updated cost forecast before commitment, except authorised emergency containment.</w:t>
            </w:r>
          </w:p>
        </w:tc>
      </w:tr>
    </w:tbl>
    <w:p>
      <w:pPr>
        <w:spacing w:after="40"/>
      </w:pPr>
    </w:p>
    <w:p>
      <w:pPr>
        <w:spacing w:after="120" w:line="300" w:lineRule="auto"/>
      </w:pPr>
      <w:r>
        <w:rPr>
          <w:i w:val="0"/>
        </w:rPr>
        <w:t>Freston Kenny Adedeme, as Framework Owner, must review these interim bands using actual cost and delegation evidence by 31 January 2027. A replacement schedule becomes effective only through a controlled revision approved at the same or higher authority level.</w:t>
      </w:r>
    </w:p>
    <w:p>
      <w:pPr>
        <w:pStyle w:val="Heading2"/>
        <w:keepNext w:val="0"/>
        <w:pageBreakBefore w:val="0"/>
      </w:pPr>
      <w:r>
        <w:t>3.3 Minimum Role Separation</w:t>
      </w:r>
    </w:p>
    <w:p>
      <w:pPr>
        <w:spacing w:after="120" w:line="300" w:lineRule="auto"/>
      </w:pPr>
      <w:r>
        <w:rPr>
          <w:i w:val="0"/>
        </w:rPr>
        <w:t>No project manager may approve their own charter, baseline, material change, release, acceptance or closure. For Class A and Class B projects, the sponsor and final acceptance authority must be different people, and no individual may be the sole author, reviewer, tester and approver of the same material deliverable. Class C may combine sponsor and acceptance authority only when the project manager is different and objective acceptance evidence is retained.</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Compensating assurance: </w:t>
      </w:r>
      <w:r>
        <w:rPr>
          <w:rFonts w:ascii="Calibri" w:hAnsi="Calibri"/>
          <w:color w:val="24313A"/>
        </w:rPr>
        <w:t>Where staffing prevents the required separation, the Project Authority must approve a named reviewer who is independent of delivery, the evidence to be checked and the time limit. Class A compensating arrangements require Executive Authority approval and may not waive legal, security, privacy or financial controls.</w:t>
      </w:r>
    </w:p>
    <w:p>
      <w:pPr>
        <w:pStyle w:val="Heading2"/>
        <w:keepNext w:val="0"/>
        <w:pageBreakBefore w:val="0"/>
      </w:pPr>
      <w:r>
        <w:t>3.4 Constitution of the Project Authority</w:t>
      </w:r>
    </w:p>
    <w:p>
      <w:pPr>
        <w:spacing w:after="120" w:line="300" w:lineRule="auto"/>
      </w:pPr>
      <w:r>
        <w:rPr>
          <w:i w:val="0"/>
        </w:rPr>
        <w:t>The KenAddme IT Links Project Authority is the standing governance body for portfolio priority, Class A oversight, major commitments and exceptions. It is chaired by Freston Kenny Adedeme as Document Owner / Executive Authority, or by a formally recorded delegate.</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900"/>
        <w:gridCol w:w="7460"/>
      </w:tblGrid>
      <w:tr>
        <w:trPr>
          <w:tblHeader w:val="true"/>
          <w:cantSplit/>
        </w:trPr>
        <w:tc>
          <w:tcPr>
            <w:tcW w:type="dxa" w:w="1900"/>
            <w:tcMar>
              <w:top w:w="100" w:type="dxa"/>
              <w:start w:w="120" w:type="dxa"/>
              <w:bottom w:w="100" w:type="dxa"/>
              <w:end w:w="120" w:type="dxa"/>
            </w:tcMar>
            <w:vAlign w:val="center"/>
            <w:shd w:fill="123A5A"/>
          </w:tcPr>
          <w:p>
            <w:pPr>
              <w:jc w:val="left"/>
            </w:pPr>
            <w:r>
              <w:rPr>
                <w:rFonts w:ascii="Calibri" w:hAnsi="Calibri"/>
                <w:b/>
                <w:color w:val="FFFFFF"/>
                <w:sz w:val="18"/>
              </w:rPr>
              <w:t>Element</w:t>
            </w:r>
          </w:p>
        </w:tc>
        <w:tc>
          <w:tcPr>
            <w:tcW w:type="dxa" w:w="7460"/>
            <w:tcMar>
              <w:top w:w="100" w:type="dxa"/>
              <w:start w:w="120" w:type="dxa"/>
              <w:bottom w:w="100" w:type="dxa"/>
              <w:end w:w="120" w:type="dxa"/>
            </w:tcMar>
            <w:vAlign w:val="center"/>
            <w:shd w:fill="123A5A"/>
          </w:tcPr>
          <w:p>
            <w:pPr>
              <w:jc w:val="left"/>
            </w:pPr>
            <w:r>
              <w:rPr>
                <w:rFonts w:ascii="Calibri" w:hAnsi="Calibri"/>
                <w:b/>
                <w:color w:val="FFFFFF"/>
                <w:sz w:val="18"/>
              </w:rPr>
              <w:t>Institutional rule</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Core membership</w:t>
            </w:r>
          </w:p>
        </w:tc>
        <w:tc>
          <w:tcPr>
            <w:tcW w:type="dxa" w:w="7460"/>
            <w:tcMar>
              <w:top w:w="100" w:type="dxa"/>
              <w:start w:w="120" w:type="dxa"/>
              <w:bottom w:w="100" w:type="dxa"/>
              <w:end w:w="120" w:type="dxa"/>
            </w:tcMar>
            <w:vAlign w:val="center"/>
          </w:tcPr>
          <w:p>
            <w:pPr>
              <w:spacing w:after="0" w:line="252" w:lineRule="auto"/>
            </w:pPr>
            <w:r>
              <w:rPr>
                <w:rFonts w:ascii="Calibri" w:hAnsi="Calibri"/>
                <w:color w:val="24313A"/>
                <w:sz w:val="17"/>
              </w:rPr>
              <w:t>Chair/Executive Authority, the relevant Project Sponsor, Finance/Administration and one Technical, Quality, Security or Service representative appropriate to the decision.</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Quorum</w:t>
            </w:r>
          </w:p>
        </w:tc>
        <w:tc>
          <w:tcPr>
            <w:tcW w:type="dxa" w:w="7460"/>
            <w:shd w:fill="F4F6F8"/>
            <w:tcMar>
              <w:top w:w="100" w:type="dxa"/>
              <w:start w:w="120" w:type="dxa"/>
              <w:bottom w:w="100" w:type="dxa"/>
              <w:end w:w="120" w:type="dxa"/>
            </w:tcMar>
            <w:vAlign w:val="center"/>
          </w:tcPr>
          <w:p>
            <w:pPr>
              <w:spacing w:after="0" w:line="252" w:lineRule="auto"/>
            </w:pPr>
            <w:r>
              <w:rPr>
                <w:rFonts w:ascii="Calibri" w:hAnsi="Calibri"/>
                <w:color w:val="24313A"/>
                <w:sz w:val="17"/>
              </w:rPr>
              <w:t>At least three people: the Chair or delegate, the Sponsor, and one control reviewer independent of the Project Manager. The Project Manager may present but does not vote on self-prepared approvals. Where internal staffing cannot supply an independent control reviewer, the Chair may appoint a suitably qualified external reviewer or, with client agreement, a client-side representative to serve for quorum purposes; the appointment, its scope, its independence basis and its time limit must be recorded. This fallback may not be used to satisfy a legal, security, privacy or financial control that requires a specific approver.</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Cadence</w:t>
            </w:r>
          </w:p>
        </w:tc>
        <w:tc>
          <w:tcPr>
            <w:tcW w:type="dxa" w:w="7460"/>
            <w:tcMar>
              <w:top w:w="100" w:type="dxa"/>
              <w:start w:w="120" w:type="dxa"/>
              <w:bottom w:w="100" w:type="dxa"/>
              <w:end w:w="120" w:type="dxa"/>
            </w:tcMar>
            <w:vAlign w:val="center"/>
          </w:tcPr>
          <w:p>
            <w:pPr>
              <w:spacing w:after="0" w:line="252" w:lineRule="auto"/>
            </w:pPr>
            <w:r>
              <w:rPr>
                <w:rFonts w:ascii="Calibri" w:hAnsi="Calibri"/>
                <w:color w:val="24313A"/>
                <w:sz w:val="17"/>
              </w:rPr>
              <w:t>Monthly portfolio and Class A review; ad hoc meetings within two business days for urgent initiation, red status, major exception or termination decisions.</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Powers</w:t>
            </w:r>
          </w:p>
        </w:tc>
        <w:tc>
          <w:tcPr>
            <w:tcW w:type="dxa" w:w="7460"/>
            <w:shd w:fill="F4F6F8"/>
            <w:tcMar>
              <w:top w:w="100" w:type="dxa"/>
              <w:start w:w="120" w:type="dxa"/>
              <w:bottom w:w="100" w:type="dxa"/>
              <w:end w:w="120" w:type="dxa"/>
            </w:tcMar>
            <w:vAlign w:val="center"/>
          </w:tcPr>
          <w:p>
            <w:pPr>
              <w:spacing w:after="0" w:line="252" w:lineRule="auto"/>
            </w:pPr>
            <w:r>
              <w:rPr>
                <w:rFonts w:ascii="Calibri" w:hAnsi="Calibri"/>
                <w:color w:val="24313A"/>
                <w:sz w:val="17"/>
              </w:rPr>
              <w:t>Prioritise intake, confirm classification, approve Class A gates, commitments beyond sponsor limits, material rebaselines, compensating assurance, suspension, termination and framework exceptions.</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Records</w:t>
            </w:r>
          </w:p>
        </w:tc>
        <w:tc>
          <w:tcPr>
            <w:tcW w:type="dxa" w:w="7460"/>
            <w:tcMar>
              <w:top w:w="100" w:type="dxa"/>
              <w:start w:w="120" w:type="dxa"/>
              <w:bottom w:w="100" w:type="dxa"/>
              <w:end w:w="120" w:type="dxa"/>
            </w:tcMar>
            <w:vAlign w:val="center"/>
          </w:tcPr>
          <w:p>
            <w:pPr>
              <w:spacing w:after="0" w:line="252" w:lineRule="auto"/>
            </w:pPr>
            <w:r>
              <w:rPr>
                <w:rFonts w:ascii="Calibri" w:hAnsi="Calibri"/>
                <w:color w:val="24313A"/>
                <w:sz w:val="17"/>
              </w:rPr>
              <w:t>Agenda, attendees, conflicts, evidence reviewed, decision, conditions, dissent, owner and due date must be recorded in the project repository.</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Sponsor also holds authority role</w:t>
            </w:r>
          </w:p>
        </w:tc>
        <w:tc>
          <w:tcPr>
            <w:tcW w:type="dxa" w:w="7460"/>
            <w:shd w:fill="F4F6F8"/>
            <w:tcMar>
              <w:top w:w="100" w:type="dxa"/>
              <w:start w:w="120" w:type="dxa"/>
              <w:bottom w:w="100" w:type="dxa"/>
              <w:end w:w="120" w:type="dxa"/>
            </w:tcMar>
            <w:vAlign w:val="center"/>
          </w:tcPr>
          <w:p>
            <w:pPr>
              <w:spacing w:after="0" w:line="252" w:lineRule="auto"/>
            </w:pPr>
            <w:r>
              <w:rPr>
                <w:rFonts w:ascii="Calibri" w:hAnsi="Calibri"/>
                <w:color w:val="24313A"/>
                <w:sz w:val="17"/>
              </w:rPr>
              <w:t>The Sponsor must not count twice toward quorum. Another management member chairs that decision and an independent control reviewer must concur.</w:t>
            </w:r>
          </w:p>
        </w:tc>
      </w:tr>
    </w:tbl>
    <w:p>
      <w:pPr>
        <w:spacing w:after="40"/>
      </w:pPr>
    </w:p>
    <w:p>
      <w:pPr>
        <w:pStyle w:val="Heading2"/>
        <w:keepNext w:val="0"/>
        <w:pageBreakBefore w:val="0"/>
      </w:pPr>
      <w:r>
        <w:t>3.5 Gate Decisions</w:t>
      </w:r>
    </w:p>
    <w:p>
      <w:pPr>
        <w:numPr>
          <w:ilvl w:val="0"/>
          <w:numId w:val="10"/>
        </w:numPr>
        <w:spacing w:after="80" w:line="300" w:lineRule="auto"/>
      </w:pPr>
      <w:r>
        <w:t>Approve: all mandatory conditions are satisfied.</w:t>
      </w:r>
    </w:p>
    <w:p>
      <w:pPr>
        <w:numPr>
          <w:ilvl w:val="0"/>
          <w:numId w:val="10"/>
        </w:numPr>
        <w:spacing w:after="80" w:line="300" w:lineRule="auto"/>
      </w:pPr>
      <w:r>
        <w:t>Approve with conditions: limited conditions are assigned with owners and deadlines; unresolved critical conditions cannot be treated this way.</w:t>
      </w:r>
    </w:p>
    <w:p>
      <w:pPr>
        <w:numPr>
          <w:ilvl w:val="0"/>
          <w:numId w:val="10"/>
        </w:numPr>
        <w:spacing w:after="80" w:line="300" w:lineRule="auto"/>
      </w:pPr>
      <w:r>
        <w:t>Hold: evidence or readiness is insufficient and work must pause at the gate.</w:t>
      </w:r>
    </w:p>
    <w:p>
      <w:pPr>
        <w:numPr>
          <w:ilvl w:val="0"/>
          <w:numId w:val="10"/>
        </w:numPr>
        <w:spacing w:after="80" w:line="300" w:lineRule="auto"/>
      </w:pPr>
      <w:r>
        <w:t>Redirect: the objective, approach, scope or solution must be revised before reconsideration.</w:t>
      </w:r>
    </w:p>
    <w:p>
      <w:pPr>
        <w:numPr>
          <w:ilvl w:val="0"/>
          <w:numId w:val="10"/>
        </w:numPr>
        <w:spacing w:after="80" w:line="300" w:lineRule="auto"/>
      </w:pPr>
      <w:r>
        <w:t>Terminate: the project is no longer viable, valuable, lawful, safe or strategically justified.</w:t>
      </w:r>
    </w:p>
    <w:p>
      <w:pPr>
        <w:pStyle w:val="Heading1"/>
        <w:keepNext/>
        <w:pageBreakBefore w:val="0"/>
      </w:pPr>
      <w:r>
        <w:t>4. Stage 1 - Strategic Intake and Opportunity Definition</w:t>
      </w:r>
    </w:p>
    <w:p>
      <w:pPr>
        <w:pStyle w:val="Heading2"/>
        <w:keepNext w:val="0"/>
        <w:pageBreakBefore w:val="0"/>
      </w:pPr>
      <w:r>
        <w:t>4.1 Purpose</w:t>
      </w:r>
    </w:p>
    <w:p>
      <w:pPr>
        <w:spacing w:after="120" w:line="300" w:lineRule="auto"/>
      </w:pPr>
      <w:r>
        <w:rPr>
          <w:i w:val="0"/>
        </w:rPr>
        <w:t>Strategic intake prevents the institution from spending effort on unclear or low-value ideas. It records the problem, desired outcome, likely beneficiaries, urgency and initial constraints before detailed analysis begins.</w:t>
      </w:r>
    </w:p>
    <w:p>
      <w:pPr>
        <w:pStyle w:val="Heading2"/>
        <w:keepNext w:val="0"/>
        <w:pageBreakBefore w:val="0"/>
      </w:pPr>
      <w:r>
        <w:t>4.2 Entry Conditions</w:t>
      </w:r>
    </w:p>
    <w:p>
      <w:pPr>
        <w:numPr>
          <w:ilvl w:val="0"/>
          <w:numId w:val="10"/>
        </w:numPr>
        <w:spacing w:after="80" w:line="300" w:lineRule="auto"/>
      </w:pPr>
      <w:r>
        <w:t>A problem, opportunity, client request or improvement idea has been identified.</w:t>
      </w:r>
    </w:p>
    <w:p>
      <w:pPr>
        <w:numPr>
          <w:ilvl w:val="0"/>
          <w:numId w:val="10"/>
        </w:numPr>
        <w:spacing w:after="80" w:line="300" w:lineRule="auto"/>
      </w:pPr>
      <w:r>
        <w:t>A person is willing to act as the idea owner.</w:t>
      </w:r>
    </w:p>
    <w:p>
      <w:pPr>
        <w:numPr>
          <w:ilvl w:val="0"/>
          <w:numId w:val="10"/>
        </w:numPr>
        <w:spacing w:after="80" w:line="300" w:lineRule="auto"/>
      </w:pPr>
      <w:r>
        <w:t>The idea is sufficiently clear to describe in plain language.</w:t>
      </w:r>
    </w:p>
    <w:p>
      <w:pPr>
        <w:pStyle w:val="Heading2"/>
        <w:keepNext w:val="0"/>
        <w:pageBreakBefore w:val="0"/>
      </w:pPr>
      <w:r>
        <w:t>4.3 Required Activities</w:t>
      </w:r>
    </w:p>
    <w:p>
      <w:pPr>
        <w:numPr>
          <w:ilvl w:val="0"/>
          <w:numId w:val="10"/>
        </w:numPr>
        <w:spacing w:after="80" w:line="300" w:lineRule="auto"/>
      </w:pPr>
      <w:r>
        <w:t>Describe the current situation and the evidence that a problem or opportunity exists.</w:t>
      </w:r>
    </w:p>
    <w:p>
      <w:pPr>
        <w:numPr>
          <w:ilvl w:val="0"/>
          <w:numId w:val="10"/>
        </w:numPr>
        <w:spacing w:after="80" w:line="300" w:lineRule="auto"/>
      </w:pPr>
      <w:r>
        <w:t>Identify affected users, clients, services and institutional goals.</w:t>
      </w:r>
    </w:p>
    <w:p>
      <w:pPr>
        <w:numPr>
          <w:ilvl w:val="0"/>
          <w:numId w:val="10"/>
        </w:numPr>
        <w:spacing w:after="80" w:line="300" w:lineRule="auto"/>
      </w:pPr>
      <w:r>
        <w:t>State the expected outcome without assuming a solution too early.</w:t>
      </w:r>
    </w:p>
    <w:p>
      <w:pPr>
        <w:numPr>
          <w:ilvl w:val="0"/>
          <w:numId w:val="10"/>
        </w:numPr>
        <w:spacing w:after="80" w:line="300" w:lineRule="auto"/>
      </w:pPr>
      <w:r>
        <w:t>Screen for obvious legal, ethical, security, privacy, safety, financial and reputational concerns.</w:t>
      </w:r>
    </w:p>
    <w:p>
      <w:pPr>
        <w:numPr>
          <w:ilvl w:val="0"/>
          <w:numId w:val="10"/>
        </w:numPr>
        <w:spacing w:after="80" w:line="300" w:lineRule="auto"/>
      </w:pPr>
      <w:r>
        <w:t>Estimate urgency, rough scale and whether the work is a project or routine operation.</w:t>
      </w:r>
    </w:p>
    <w:p>
      <w:pPr>
        <w:numPr>
          <w:ilvl w:val="0"/>
          <w:numId w:val="10"/>
        </w:numPr>
        <w:spacing w:after="80" w:line="300" w:lineRule="auto"/>
      </w:pPr>
      <w:r>
        <w:t>Compare the idea with active commitments and resource capacity.</w:t>
      </w:r>
    </w:p>
    <w:p>
      <w:pPr>
        <w:pStyle w:val="Heading2"/>
        <w:keepNext w:val="0"/>
        <w:pageBreakBefore w:val="0"/>
      </w:pPr>
      <w:r>
        <w:t>4.4 Required Outputs</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800"/>
        <w:gridCol w:w="6560"/>
      </w:tblGrid>
      <w:tr>
        <w:trPr>
          <w:tblHeader w:val="true"/>
          <w:cantSplit/>
        </w:trPr>
        <w:tc>
          <w:tcPr>
            <w:tcW w:type="dxa" w:w="2800"/>
            <w:tcMar>
              <w:top w:w="100" w:type="dxa"/>
              <w:start w:w="120" w:type="dxa"/>
              <w:bottom w:w="100" w:type="dxa"/>
              <w:end w:w="120" w:type="dxa"/>
            </w:tcMar>
            <w:vAlign w:val="center"/>
            <w:shd w:fill="123A5A"/>
          </w:tcPr>
          <w:p>
            <w:pPr>
              <w:jc w:val="left"/>
            </w:pPr>
            <w:r>
              <w:rPr>
                <w:rFonts w:ascii="Calibri" w:hAnsi="Calibri"/>
                <w:b/>
                <w:color w:val="FFFFFF"/>
                <w:sz w:val="19"/>
              </w:rPr>
              <w:t>Output</w:t>
            </w:r>
          </w:p>
        </w:tc>
        <w:tc>
          <w:tcPr>
            <w:tcW w:type="dxa" w:w="6560"/>
            <w:tcMar>
              <w:top w:w="100" w:type="dxa"/>
              <w:start w:w="120" w:type="dxa"/>
              <w:bottom w:w="100" w:type="dxa"/>
              <w:end w:w="120" w:type="dxa"/>
            </w:tcMar>
            <w:vAlign w:val="center"/>
            <w:shd w:fill="123A5A"/>
          </w:tcPr>
          <w:p>
            <w:pPr>
              <w:jc w:val="left"/>
            </w:pPr>
            <w:r>
              <w:rPr>
                <w:rFonts w:ascii="Calibri" w:hAnsi="Calibri"/>
                <w:b/>
                <w:color w:val="FFFFFF"/>
                <w:sz w:val="19"/>
              </w:rPr>
              <w:t>Minimum content</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8"/>
              </w:rPr>
              <w:t>Project Idea / Intake Record</w:t>
            </w:r>
          </w:p>
        </w:tc>
        <w:tc>
          <w:tcPr>
            <w:tcW w:type="dxa" w:w="6560"/>
            <w:tcMar>
              <w:top w:w="100" w:type="dxa"/>
              <w:start w:w="120" w:type="dxa"/>
              <w:bottom w:w="100" w:type="dxa"/>
              <w:end w:w="120" w:type="dxa"/>
            </w:tcMar>
            <w:vAlign w:val="center"/>
          </w:tcPr>
          <w:p>
            <w:pPr>
              <w:spacing w:after="0" w:line="252" w:lineRule="auto"/>
            </w:pPr>
            <w:r>
              <w:rPr>
                <w:rFonts w:ascii="Calibri" w:hAnsi="Calibri"/>
                <w:color w:val="24313A"/>
                <w:sz w:val="18"/>
              </w:rPr>
              <w:t>Problem or opportunity, proposed outcome, beneficiaries, owner, urgency and known constraints.</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8"/>
              </w:rPr>
              <w:t>Initial Classification</w:t>
            </w:r>
          </w:p>
        </w:tc>
        <w:tc>
          <w:tcPr>
            <w:tcW w:type="dxa" w:w="6560"/>
            <w:shd w:fill="F4F6F8"/>
            <w:tcMar>
              <w:top w:w="100" w:type="dxa"/>
              <w:start w:w="120" w:type="dxa"/>
              <w:bottom w:w="100" w:type="dxa"/>
              <w:end w:w="120" w:type="dxa"/>
            </w:tcMar>
            <w:vAlign w:val="center"/>
          </w:tcPr>
          <w:p>
            <w:pPr>
              <w:spacing w:after="0" w:line="252" w:lineRule="auto"/>
            </w:pPr>
            <w:r>
              <w:rPr>
                <w:rFonts w:ascii="Calibri" w:hAnsi="Calibri"/>
                <w:color w:val="24313A"/>
                <w:sz w:val="18"/>
              </w:rPr>
              <w:t>Proposed Class A, B or C with reasons.</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8"/>
              </w:rPr>
              <w:t>Initial Screening</w:t>
            </w:r>
          </w:p>
        </w:tc>
        <w:tc>
          <w:tcPr>
            <w:tcW w:type="dxa" w:w="6560"/>
            <w:tcMar>
              <w:top w:w="100" w:type="dxa"/>
              <w:start w:w="120" w:type="dxa"/>
              <w:bottom w:w="100" w:type="dxa"/>
              <w:end w:w="120" w:type="dxa"/>
            </w:tcMar>
            <w:vAlign w:val="center"/>
          </w:tcPr>
          <w:p>
            <w:pPr>
              <w:spacing w:after="0" w:line="252" w:lineRule="auto"/>
            </w:pPr>
            <w:r>
              <w:rPr>
                <w:rFonts w:ascii="Calibri" w:hAnsi="Calibri"/>
                <w:color w:val="24313A"/>
                <w:sz w:val="18"/>
              </w:rPr>
              <w:t>Major concerns, dependencies, conflicts and obvious disqualifiers.</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8"/>
              </w:rPr>
              <w:t>Portfolio Recommendation</w:t>
            </w:r>
          </w:p>
        </w:tc>
        <w:tc>
          <w:tcPr>
            <w:tcW w:type="dxa" w:w="6560"/>
            <w:shd w:fill="F4F6F8"/>
            <w:tcMar>
              <w:top w:w="100" w:type="dxa"/>
              <w:start w:w="120" w:type="dxa"/>
              <w:bottom w:w="100" w:type="dxa"/>
              <w:end w:w="120" w:type="dxa"/>
            </w:tcMar>
            <w:vAlign w:val="center"/>
          </w:tcPr>
          <w:p>
            <w:pPr>
              <w:spacing w:after="0" w:line="252" w:lineRule="auto"/>
            </w:pPr>
            <w:r>
              <w:rPr>
                <w:rFonts w:ascii="Calibri" w:hAnsi="Calibri"/>
                <w:color w:val="24313A"/>
                <w:sz w:val="18"/>
              </w:rPr>
              <w:t>Proceed to feasibility, defer, merge, return for clarification or decline.</w:t>
            </w:r>
          </w:p>
        </w:tc>
      </w:tr>
    </w:tbl>
    <w:p>
      <w:pPr>
        <w:spacing w:after="40"/>
      </w:pPr>
    </w:p>
    <w:p>
      <w:pPr>
        <w:pStyle w:val="Heading2"/>
        <w:keepNext w:val="0"/>
        <w:pageBreakBefore w:val="0"/>
      </w:pPr>
      <w:r>
        <w:t>4.5 Gate 1 - Intake Decision</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Exit criteria: </w:t>
      </w:r>
      <w:r>
        <w:rPr>
          <w:rFonts w:ascii="Calibri" w:hAnsi="Calibri"/>
          <w:color w:val="24313A"/>
        </w:rPr>
        <w:t>The need is real enough to investigate, an idea owner is identified, the work supports institutional or client value, and feasibility effort is justified.</w:t>
      </w:r>
    </w:p>
    <w:p>
      <w:pPr>
        <w:pStyle w:val="Heading2"/>
        <w:keepNext w:val="0"/>
        <w:pageBreakBefore w:val="0"/>
      </w:pPr>
      <w:r>
        <w:t>4.6 Expedited Initiation for Urgent Work</w:t>
      </w:r>
    </w:p>
    <w:p>
      <w:pPr>
        <w:spacing w:after="120" w:line="300" w:lineRule="auto"/>
      </w:pPr>
      <w:r>
        <w:rPr>
          <w:i w:val="0"/>
        </w:rPr>
        <w:t>A combined Gate 1/2 decision may be used only when delaying a genuinely urgent new project would create material client, security, legal, service, funding or tender harm. Urgency caused solely by poor planning does not qualify. The expedited decision authorises a limited start; it does not waive finance, procurement, security, privacy, safety, acceptance or evidence controls.</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200"/>
        <w:gridCol w:w="7160"/>
      </w:tblGrid>
      <w:tr>
        <w:trPr>
          <w:tblHeader w:val="true"/>
          <w:cantSplit/>
        </w:trPr>
        <w:tc>
          <w:tcPr>
            <w:tcW w:type="dxa" w:w="2200"/>
            <w:tcMar>
              <w:top w:w="100" w:type="dxa"/>
              <w:start w:w="120" w:type="dxa"/>
              <w:bottom w:w="100" w:type="dxa"/>
              <w:end w:w="120" w:type="dxa"/>
            </w:tcMar>
            <w:vAlign w:val="center"/>
            <w:shd w:fill="123A5A"/>
          </w:tcPr>
          <w:p>
            <w:pPr>
              <w:jc w:val="left"/>
            </w:pPr>
            <w:r>
              <w:rPr>
                <w:rFonts w:ascii="Calibri" w:hAnsi="Calibri"/>
                <w:b/>
                <w:color w:val="FFFFFF"/>
                <w:sz w:val="18"/>
              </w:rPr>
              <w:t>Control</w:t>
            </w:r>
          </w:p>
        </w:tc>
        <w:tc>
          <w:tcPr>
            <w:tcW w:type="dxa" w:w="7160"/>
            <w:tcMar>
              <w:top w:w="100" w:type="dxa"/>
              <w:start w:w="120" w:type="dxa"/>
              <w:bottom w:w="100" w:type="dxa"/>
              <w:end w:w="120" w:type="dxa"/>
            </w:tcMar>
            <w:vAlign w:val="center"/>
            <w:shd w:fill="123A5A"/>
          </w:tcPr>
          <w:p>
            <w:pPr>
              <w:jc w:val="left"/>
            </w:pPr>
            <w:r>
              <w:rPr>
                <w:rFonts w:ascii="Calibri" w:hAnsi="Calibri"/>
                <w:b/>
                <w:color w:val="FFFFFF"/>
                <w:sz w:val="18"/>
              </w:rPr>
              <w:t>Mandatory expedited-start rule</w:t>
            </w:r>
          </w:p>
        </w:tc>
      </w:tr>
      <w:tr>
        <w:trPr>
          <w:cantSplit/>
        </w:trPr>
        <w:tc>
          <w:tcPr>
            <w:tcW w:type="dxa" w:w="2200"/>
            <w:tcMar>
              <w:top w:w="100" w:type="dxa"/>
              <w:start w:w="120" w:type="dxa"/>
              <w:bottom w:w="100" w:type="dxa"/>
              <w:end w:w="120" w:type="dxa"/>
            </w:tcMar>
            <w:vAlign w:val="center"/>
          </w:tcPr>
          <w:p>
            <w:pPr>
              <w:spacing w:after="0" w:line="252" w:lineRule="auto"/>
            </w:pPr>
            <w:r>
              <w:rPr>
                <w:rFonts w:ascii="Calibri" w:hAnsi="Calibri"/>
                <w:color w:val="24313A"/>
                <w:sz w:val="17"/>
              </w:rPr>
              <w:t>Authority</w:t>
            </w:r>
          </w:p>
        </w:tc>
        <w:tc>
          <w:tcPr>
            <w:tcW w:type="dxa" w:w="7160"/>
            <w:tcMar>
              <w:top w:w="100" w:type="dxa"/>
              <w:start w:w="120" w:type="dxa"/>
              <w:bottom w:w="100" w:type="dxa"/>
              <w:end w:w="120" w:type="dxa"/>
            </w:tcMar>
            <w:vAlign w:val="center"/>
          </w:tcPr>
          <w:p>
            <w:pPr>
              <w:spacing w:after="0" w:line="252" w:lineRule="auto"/>
            </w:pPr>
            <w:r>
              <w:rPr>
                <w:rFonts w:ascii="Calibri" w:hAnsi="Calibri"/>
                <w:color w:val="24313A"/>
                <w:sz w:val="17"/>
              </w:rPr>
              <w:t>Class B or C requires the Sponsor and Project Authority Chair. Class A requires the Executive / Project Authority and an independent control reviewer.</w:t>
            </w:r>
          </w:p>
        </w:tc>
      </w:tr>
      <w:tr>
        <w:trPr>
          <w:cantSplit/>
        </w:trPr>
        <w:tc>
          <w:tcPr>
            <w:tcW w:type="dxa" w:w="2200"/>
            <w:shd w:fill="F4F6F8"/>
            <w:tcMar>
              <w:top w:w="100" w:type="dxa"/>
              <w:start w:w="120" w:type="dxa"/>
              <w:bottom w:w="100" w:type="dxa"/>
              <w:end w:w="120" w:type="dxa"/>
            </w:tcMar>
            <w:vAlign w:val="center"/>
          </w:tcPr>
          <w:p>
            <w:pPr>
              <w:spacing w:after="0" w:line="252" w:lineRule="auto"/>
            </w:pPr>
            <w:r>
              <w:rPr>
                <w:rFonts w:ascii="Calibri" w:hAnsi="Calibri"/>
                <w:color w:val="24313A"/>
                <w:sz w:val="17"/>
              </w:rPr>
              <w:t>Minimum decision record</w:t>
            </w:r>
          </w:p>
        </w:tc>
        <w:tc>
          <w:tcPr>
            <w:tcW w:type="dxa" w:w="7160"/>
            <w:shd w:fill="F4F6F8"/>
            <w:tcMar>
              <w:top w:w="100" w:type="dxa"/>
              <w:start w:w="120" w:type="dxa"/>
              <w:bottom w:w="100" w:type="dxa"/>
              <w:end w:w="120" w:type="dxa"/>
            </w:tcMar>
            <w:vAlign w:val="center"/>
          </w:tcPr>
          <w:p>
            <w:pPr>
              <w:spacing w:after="0" w:line="252" w:lineRule="auto"/>
            </w:pPr>
            <w:r>
              <w:rPr>
                <w:rFonts w:ascii="Calibri" w:hAnsi="Calibri"/>
                <w:color w:val="24313A"/>
                <w:sz w:val="17"/>
              </w:rPr>
              <w:t>Urgent need, objective, provisional scope, sponsor, project manager, class, maximum spend, time limit, principal risks, data/security conditions, acceptance concept and stop authority.</w:t>
            </w:r>
          </w:p>
        </w:tc>
      </w:tr>
      <w:tr>
        <w:trPr>
          <w:cantSplit/>
        </w:trPr>
        <w:tc>
          <w:tcPr>
            <w:tcW w:type="dxa" w:w="2200"/>
            <w:tcMar>
              <w:top w:w="100" w:type="dxa"/>
              <w:start w:w="120" w:type="dxa"/>
              <w:bottom w:w="100" w:type="dxa"/>
              <w:end w:w="120" w:type="dxa"/>
            </w:tcMar>
            <w:vAlign w:val="center"/>
          </w:tcPr>
          <w:p>
            <w:pPr>
              <w:spacing w:after="0" w:line="252" w:lineRule="auto"/>
            </w:pPr>
            <w:r>
              <w:rPr>
                <w:rFonts w:ascii="Calibri" w:hAnsi="Calibri"/>
                <w:color w:val="24313A"/>
                <w:sz w:val="17"/>
              </w:rPr>
              <w:t>Baseline deadline</w:t>
            </w:r>
          </w:p>
        </w:tc>
        <w:tc>
          <w:tcPr>
            <w:tcW w:type="dxa" w:w="7160"/>
            <w:tcMar>
              <w:top w:w="100" w:type="dxa"/>
              <w:start w:w="120" w:type="dxa"/>
              <w:bottom w:w="100" w:type="dxa"/>
              <w:end w:w="120" w:type="dxa"/>
            </w:tcMar>
            <w:vAlign w:val="center"/>
          </w:tcPr>
          <w:p>
            <w:pPr>
              <w:spacing w:after="0" w:line="252" w:lineRule="auto"/>
            </w:pPr>
            <w:r>
              <w:rPr>
                <w:rFonts w:ascii="Calibri" w:hAnsi="Calibri"/>
                <w:color w:val="24313A"/>
                <w:sz w:val="17"/>
              </w:rPr>
              <w:t>Class A must present Gate 3 within 5 business days. Class B/C must present Gate 3 within 10 business days. All classes must do so before production release or 25% of authorised budget is committed, whichever occurs first.</w:t>
            </w:r>
          </w:p>
        </w:tc>
      </w:tr>
      <w:tr>
        <w:trPr>
          <w:cantSplit/>
        </w:trPr>
        <w:tc>
          <w:tcPr>
            <w:tcW w:type="dxa" w:w="2200"/>
            <w:shd w:fill="F4F6F8"/>
            <w:tcMar>
              <w:top w:w="100" w:type="dxa"/>
              <w:start w:w="120" w:type="dxa"/>
              <w:bottom w:w="100" w:type="dxa"/>
              <w:end w:w="120" w:type="dxa"/>
            </w:tcMar>
            <w:vAlign w:val="center"/>
          </w:tcPr>
          <w:p>
            <w:pPr>
              <w:spacing w:after="0" w:line="252" w:lineRule="auto"/>
            </w:pPr>
            <w:r>
              <w:rPr>
                <w:rFonts w:ascii="Calibri" w:hAnsi="Calibri"/>
                <w:color w:val="24313A"/>
                <w:sz w:val="17"/>
              </w:rPr>
              <w:t>Retrospective review</w:t>
            </w:r>
          </w:p>
        </w:tc>
        <w:tc>
          <w:tcPr>
            <w:tcW w:type="dxa" w:w="7160"/>
            <w:shd w:fill="F4F6F8"/>
            <w:tcMar>
              <w:top w:w="100" w:type="dxa"/>
              <w:start w:w="120" w:type="dxa"/>
              <w:bottom w:w="100" w:type="dxa"/>
              <w:end w:w="120" w:type="dxa"/>
            </w:tcMar>
            <w:vAlign w:val="center"/>
          </w:tcPr>
          <w:p>
            <w:pPr>
              <w:spacing w:after="0" w:line="252" w:lineRule="auto"/>
            </w:pPr>
            <w:r>
              <w:rPr>
                <w:rFonts w:ascii="Calibri" w:hAnsi="Calibri"/>
                <w:color w:val="24313A"/>
                <w:sz w:val="17"/>
              </w:rPr>
              <w:t>The Project Authority reviews necessity, authority, decisions, spend, risk and missing evidence within 5 business days of the start.</w:t>
            </w:r>
          </w:p>
        </w:tc>
      </w:tr>
      <w:tr>
        <w:trPr>
          <w:cantSplit/>
        </w:trPr>
        <w:tc>
          <w:tcPr>
            <w:tcW w:type="dxa" w:w="2200"/>
            <w:tcMar>
              <w:top w:w="100" w:type="dxa"/>
              <w:start w:w="120" w:type="dxa"/>
              <w:bottom w:w="100" w:type="dxa"/>
              <w:end w:w="120" w:type="dxa"/>
            </w:tcMar>
            <w:vAlign w:val="center"/>
          </w:tcPr>
          <w:p>
            <w:pPr>
              <w:spacing w:after="0" w:line="252" w:lineRule="auto"/>
            </w:pPr>
            <w:r>
              <w:rPr>
                <w:rFonts w:ascii="Calibri" w:hAnsi="Calibri"/>
                <w:color w:val="24313A"/>
                <w:sz w:val="17"/>
              </w:rPr>
              <w:t>Failure to regularise</w:t>
            </w:r>
          </w:p>
        </w:tc>
        <w:tc>
          <w:tcPr>
            <w:tcW w:type="dxa" w:w="7160"/>
            <w:tcMar>
              <w:top w:w="100" w:type="dxa"/>
              <w:start w:w="120" w:type="dxa"/>
              <w:bottom w:w="100" w:type="dxa"/>
              <w:end w:w="120" w:type="dxa"/>
            </w:tcMar>
            <w:vAlign w:val="center"/>
          </w:tcPr>
          <w:p>
            <w:pPr>
              <w:spacing w:after="0" w:line="252" w:lineRule="auto"/>
            </w:pPr>
            <w:r>
              <w:rPr>
                <w:rFonts w:ascii="Calibri" w:hAnsi="Calibri"/>
                <w:color w:val="24313A"/>
                <w:sz w:val="17"/>
              </w:rPr>
              <w:t>Work is held, commitments stop and the matter is escalated unless the Executive Authority records a lawful, time-bound extension.</w:t>
            </w:r>
          </w:p>
        </w:tc>
      </w:tr>
    </w:tbl>
    <w:p>
      <w:pPr>
        <w:spacing w:after="40"/>
      </w:pPr>
    </w:p>
    <w:p>
      <w:pPr>
        <w:pStyle w:val="Heading1"/>
        <w:keepNext/>
        <w:pageBreakBefore w:val="0"/>
      </w:pPr>
      <w:r>
        <w:t>5. Stage 2 - Initiation and Feasibility</w:t>
      </w:r>
    </w:p>
    <w:p>
      <w:pPr>
        <w:pStyle w:val="Heading2"/>
        <w:keepNext w:val="0"/>
        <w:pageBreakBefore w:val="0"/>
      </w:pPr>
      <w:r>
        <w:t>5.1 Purpose</w:t>
      </w:r>
    </w:p>
    <w:p>
      <w:pPr>
        <w:spacing w:after="120" w:line="300" w:lineRule="auto"/>
      </w:pPr>
      <w:r>
        <w:rPr>
          <w:i w:val="0"/>
        </w:rPr>
        <w:t>Initiation converts an accepted idea into an authorised project proposal. Feasibility determines whether KenAddme IT Links can and should deliver it under realistic technical, operational, economic, schedule, legal and risk conditions.</w:t>
      </w:r>
    </w:p>
    <w:p>
      <w:pPr>
        <w:pStyle w:val="Heading2"/>
        <w:keepNext w:val="0"/>
        <w:pageBreakBefore w:val="0"/>
      </w:pPr>
      <w:r>
        <w:t>5.2 Feasibility Dimensions</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000"/>
        <w:gridCol w:w="7360"/>
      </w:tblGrid>
      <w:tr>
        <w:trPr>
          <w:tblHeader w:val="true"/>
          <w:cantSplit/>
        </w:trPr>
        <w:tc>
          <w:tcPr>
            <w:tcW w:type="dxa" w:w="2000"/>
            <w:tcMar>
              <w:top w:w="100" w:type="dxa"/>
              <w:start w:w="120" w:type="dxa"/>
              <w:bottom w:w="100" w:type="dxa"/>
              <w:end w:w="120" w:type="dxa"/>
            </w:tcMar>
            <w:vAlign w:val="center"/>
            <w:shd w:fill="123A5A"/>
          </w:tcPr>
          <w:p>
            <w:pPr>
              <w:jc w:val="left"/>
            </w:pPr>
            <w:r>
              <w:rPr>
                <w:rFonts w:ascii="Calibri" w:hAnsi="Calibri"/>
                <w:b/>
                <w:color w:val="FFFFFF"/>
                <w:sz w:val="18"/>
              </w:rPr>
              <w:t>Dimension</w:t>
            </w:r>
          </w:p>
        </w:tc>
        <w:tc>
          <w:tcPr>
            <w:tcW w:type="dxa" w:w="7360"/>
            <w:tcMar>
              <w:top w:w="100" w:type="dxa"/>
              <w:start w:w="120" w:type="dxa"/>
              <w:bottom w:w="100" w:type="dxa"/>
              <w:end w:w="120" w:type="dxa"/>
            </w:tcMar>
            <w:vAlign w:val="center"/>
            <w:shd w:fill="123A5A"/>
          </w:tcPr>
          <w:p>
            <w:pPr>
              <w:jc w:val="left"/>
            </w:pPr>
            <w:r>
              <w:rPr>
                <w:rFonts w:ascii="Calibri" w:hAnsi="Calibri"/>
                <w:b/>
                <w:color w:val="FFFFFF"/>
                <w:sz w:val="18"/>
              </w:rPr>
              <w:t>Questions to answer</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color w:val="24313A"/>
                <w:sz w:val="17"/>
              </w:rPr>
              <w:t>Strategic</w:t>
            </w:r>
          </w:p>
        </w:tc>
        <w:tc>
          <w:tcPr>
            <w:tcW w:type="dxa" w:w="7360"/>
            <w:tcMar>
              <w:top w:w="100" w:type="dxa"/>
              <w:start w:w="120" w:type="dxa"/>
              <w:bottom w:w="100" w:type="dxa"/>
              <w:end w:w="120" w:type="dxa"/>
            </w:tcMar>
            <w:vAlign w:val="center"/>
          </w:tcPr>
          <w:p>
            <w:pPr>
              <w:spacing w:after="0" w:line="252" w:lineRule="auto"/>
            </w:pPr>
            <w:r>
              <w:rPr>
                <w:rFonts w:ascii="Calibri" w:hAnsi="Calibri"/>
                <w:color w:val="24313A"/>
                <w:sz w:val="17"/>
              </w:rPr>
              <w:t>Does the project support institutional direction or a valid client commitment?</w:t>
            </w:r>
          </w:p>
        </w:tc>
      </w:tr>
      <w:tr>
        <w:trPr>
          <w:cantSplit/>
        </w:trPr>
        <w:tc>
          <w:tcPr>
            <w:tcW w:type="dxa" w:w="2000"/>
            <w:shd w:fill="F4F6F8"/>
            <w:tcMar>
              <w:top w:w="100" w:type="dxa"/>
              <w:start w:w="120" w:type="dxa"/>
              <w:bottom w:w="100" w:type="dxa"/>
              <w:end w:w="120" w:type="dxa"/>
            </w:tcMar>
            <w:vAlign w:val="center"/>
          </w:tcPr>
          <w:p>
            <w:pPr>
              <w:spacing w:after="0" w:line="252" w:lineRule="auto"/>
            </w:pPr>
            <w:r>
              <w:rPr>
                <w:rFonts w:ascii="Calibri" w:hAnsi="Calibri"/>
                <w:color w:val="24313A"/>
                <w:sz w:val="17"/>
              </w:rPr>
              <w:t>Technical</w:t>
            </w:r>
          </w:p>
        </w:tc>
        <w:tc>
          <w:tcPr>
            <w:tcW w:type="dxa" w:w="7360"/>
            <w:shd w:fill="F4F6F8"/>
            <w:tcMar>
              <w:top w:w="100" w:type="dxa"/>
              <w:start w:w="120" w:type="dxa"/>
              <w:bottom w:w="100" w:type="dxa"/>
              <w:end w:w="120" w:type="dxa"/>
            </w:tcMar>
            <w:vAlign w:val="center"/>
          </w:tcPr>
          <w:p>
            <w:pPr>
              <w:spacing w:after="0" w:line="252" w:lineRule="auto"/>
            </w:pPr>
            <w:r>
              <w:rPr>
                <w:rFonts w:ascii="Calibri" w:hAnsi="Calibri"/>
                <w:color w:val="24313A"/>
                <w:sz w:val="17"/>
              </w:rPr>
              <w:t>Can the solution be built, integrated, secured, tested, operated and maintained?</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color w:val="24313A"/>
                <w:sz w:val="17"/>
              </w:rPr>
              <w:t>Operational</w:t>
            </w:r>
          </w:p>
        </w:tc>
        <w:tc>
          <w:tcPr>
            <w:tcW w:type="dxa" w:w="7360"/>
            <w:tcMar>
              <w:top w:w="100" w:type="dxa"/>
              <w:start w:w="120" w:type="dxa"/>
              <w:bottom w:w="100" w:type="dxa"/>
              <w:end w:w="120" w:type="dxa"/>
            </w:tcMar>
            <w:vAlign w:val="center"/>
          </w:tcPr>
          <w:p>
            <w:pPr>
              <w:spacing w:after="0" w:line="252" w:lineRule="auto"/>
            </w:pPr>
            <w:r>
              <w:rPr>
                <w:rFonts w:ascii="Calibri" w:hAnsi="Calibri"/>
                <w:color w:val="24313A"/>
                <w:sz w:val="17"/>
              </w:rPr>
              <w:t>Will users, processes, support teams and infrastructure be ready?</w:t>
            </w:r>
          </w:p>
        </w:tc>
      </w:tr>
      <w:tr>
        <w:trPr>
          <w:cantSplit/>
        </w:trPr>
        <w:tc>
          <w:tcPr>
            <w:tcW w:type="dxa" w:w="2000"/>
            <w:shd w:fill="F4F6F8"/>
            <w:tcMar>
              <w:top w:w="100" w:type="dxa"/>
              <w:start w:w="120" w:type="dxa"/>
              <w:bottom w:w="100" w:type="dxa"/>
              <w:end w:w="120" w:type="dxa"/>
            </w:tcMar>
            <w:vAlign w:val="center"/>
          </w:tcPr>
          <w:p>
            <w:pPr>
              <w:spacing w:after="0" w:line="252" w:lineRule="auto"/>
            </w:pPr>
            <w:r>
              <w:rPr>
                <w:rFonts w:ascii="Calibri" w:hAnsi="Calibri"/>
                <w:color w:val="24313A"/>
                <w:sz w:val="17"/>
              </w:rPr>
              <w:t>Economic</w:t>
            </w:r>
          </w:p>
        </w:tc>
        <w:tc>
          <w:tcPr>
            <w:tcW w:type="dxa" w:w="7360"/>
            <w:shd w:fill="F4F6F8"/>
            <w:tcMar>
              <w:top w:w="100" w:type="dxa"/>
              <w:start w:w="120" w:type="dxa"/>
              <w:bottom w:w="100" w:type="dxa"/>
              <w:end w:w="120" w:type="dxa"/>
            </w:tcMar>
            <w:vAlign w:val="center"/>
          </w:tcPr>
          <w:p>
            <w:pPr>
              <w:spacing w:after="0" w:line="252" w:lineRule="auto"/>
            </w:pPr>
            <w:r>
              <w:rPr>
                <w:rFonts w:ascii="Calibri" w:hAnsi="Calibri"/>
                <w:color w:val="24313A"/>
                <w:sz w:val="17"/>
              </w:rPr>
              <w:t>Are total costs justified by expected value and available funding?</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color w:val="24313A"/>
                <w:sz w:val="17"/>
              </w:rPr>
              <w:t>Schedule</w:t>
            </w:r>
          </w:p>
        </w:tc>
        <w:tc>
          <w:tcPr>
            <w:tcW w:type="dxa" w:w="7360"/>
            <w:tcMar>
              <w:top w:w="100" w:type="dxa"/>
              <w:start w:w="120" w:type="dxa"/>
              <w:bottom w:w="100" w:type="dxa"/>
              <w:end w:w="120" w:type="dxa"/>
            </w:tcMar>
            <w:vAlign w:val="center"/>
          </w:tcPr>
          <w:p>
            <w:pPr>
              <w:spacing w:after="0" w:line="252" w:lineRule="auto"/>
            </w:pPr>
            <w:r>
              <w:rPr>
                <w:rFonts w:ascii="Calibri" w:hAnsi="Calibri"/>
                <w:color w:val="24313A"/>
                <w:sz w:val="17"/>
              </w:rPr>
              <w:t>Can the outcome be delivered by the needed date with realistic dependencies?</w:t>
            </w:r>
          </w:p>
        </w:tc>
      </w:tr>
      <w:tr>
        <w:trPr>
          <w:cantSplit/>
        </w:trPr>
        <w:tc>
          <w:tcPr>
            <w:tcW w:type="dxa" w:w="2000"/>
            <w:shd w:fill="F4F6F8"/>
            <w:tcMar>
              <w:top w:w="100" w:type="dxa"/>
              <w:start w:w="120" w:type="dxa"/>
              <w:bottom w:w="100" w:type="dxa"/>
              <w:end w:w="120" w:type="dxa"/>
            </w:tcMar>
            <w:vAlign w:val="center"/>
          </w:tcPr>
          <w:p>
            <w:pPr>
              <w:spacing w:after="0" w:line="252" w:lineRule="auto"/>
            </w:pPr>
            <w:r>
              <w:rPr>
                <w:rFonts w:ascii="Calibri" w:hAnsi="Calibri"/>
                <w:color w:val="24313A"/>
                <w:sz w:val="17"/>
              </w:rPr>
              <w:t>Legal / Contractual</w:t>
            </w:r>
          </w:p>
        </w:tc>
        <w:tc>
          <w:tcPr>
            <w:tcW w:type="dxa" w:w="7360"/>
            <w:shd w:fill="F4F6F8"/>
            <w:tcMar>
              <w:top w:w="100" w:type="dxa"/>
              <w:start w:w="120" w:type="dxa"/>
              <w:bottom w:w="100" w:type="dxa"/>
              <w:end w:w="120" w:type="dxa"/>
            </w:tcMar>
            <w:vAlign w:val="center"/>
          </w:tcPr>
          <w:p>
            <w:pPr>
              <w:spacing w:after="0" w:line="252" w:lineRule="auto"/>
            </w:pPr>
            <w:r>
              <w:rPr>
                <w:rFonts w:ascii="Calibri" w:hAnsi="Calibri"/>
                <w:color w:val="24313A"/>
                <w:sz w:val="17"/>
              </w:rPr>
              <w:t>Are rights, obligations, licences, data uses and vendor terms acceptable?</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color w:val="24313A"/>
                <w:sz w:val="17"/>
              </w:rPr>
              <w:t>Ethical / Social</w:t>
            </w:r>
          </w:p>
        </w:tc>
        <w:tc>
          <w:tcPr>
            <w:tcW w:type="dxa" w:w="7360"/>
            <w:tcMar>
              <w:top w:w="100" w:type="dxa"/>
              <w:start w:w="120" w:type="dxa"/>
              <w:bottom w:w="100" w:type="dxa"/>
              <w:end w:w="120" w:type="dxa"/>
            </w:tcMar>
            <w:vAlign w:val="center"/>
          </w:tcPr>
          <w:p>
            <w:pPr>
              <w:spacing w:after="0" w:line="252" w:lineRule="auto"/>
            </w:pPr>
            <w:r>
              <w:rPr>
                <w:rFonts w:ascii="Calibri" w:hAnsi="Calibri"/>
                <w:color w:val="24313A"/>
                <w:sz w:val="17"/>
              </w:rPr>
              <w:t>Could the project create unfair, harmful or inappropriate outcomes?</w:t>
            </w:r>
          </w:p>
        </w:tc>
      </w:tr>
      <w:tr>
        <w:trPr>
          <w:cantSplit/>
        </w:trPr>
        <w:tc>
          <w:tcPr>
            <w:tcW w:type="dxa" w:w="2000"/>
            <w:shd w:fill="F4F6F8"/>
            <w:tcMar>
              <w:top w:w="100" w:type="dxa"/>
              <w:start w:w="120" w:type="dxa"/>
              <w:bottom w:w="100" w:type="dxa"/>
              <w:end w:w="120" w:type="dxa"/>
            </w:tcMar>
            <w:vAlign w:val="center"/>
          </w:tcPr>
          <w:p>
            <w:pPr>
              <w:spacing w:after="0" w:line="252" w:lineRule="auto"/>
            </w:pPr>
            <w:r>
              <w:rPr>
                <w:rFonts w:ascii="Calibri" w:hAnsi="Calibri"/>
                <w:color w:val="24313A"/>
                <w:sz w:val="17"/>
              </w:rPr>
              <w:t>Resource</w:t>
            </w:r>
          </w:p>
        </w:tc>
        <w:tc>
          <w:tcPr>
            <w:tcW w:type="dxa" w:w="7360"/>
            <w:shd w:fill="F4F6F8"/>
            <w:tcMar>
              <w:top w:w="100" w:type="dxa"/>
              <w:start w:w="120" w:type="dxa"/>
              <w:bottom w:w="100" w:type="dxa"/>
              <w:end w:w="120" w:type="dxa"/>
            </w:tcMar>
            <w:vAlign w:val="center"/>
          </w:tcPr>
          <w:p>
            <w:pPr>
              <w:spacing w:after="0" w:line="252" w:lineRule="auto"/>
            </w:pPr>
            <w:r>
              <w:rPr>
                <w:rFonts w:ascii="Calibri" w:hAnsi="Calibri"/>
                <w:color w:val="24313A"/>
                <w:sz w:val="17"/>
              </w:rPr>
              <w:t>Are suitable people, tools, environments and suppliers available?</w:t>
            </w:r>
          </w:p>
        </w:tc>
      </w:tr>
    </w:tbl>
    <w:p>
      <w:pPr>
        <w:spacing w:after="40"/>
      </w:pPr>
    </w:p>
    <w:p>
      <w:pPr>
        <w:pStyle w:val="Heading2"/>
        <w:keepNext w:val="0"/>
        <w:pageBreakBefore w:val="0"/>
      </w:pPr>
      <w:r>
        <w:t>5.3 Required Activities</w:t>
      </w:r>
    </w:p>
    <w:p>
      <w:pPr>
        <w:numPr>
          <w:ilvl w:val="0"/>
          <w:numId w:val="10"/>
        </w:numPr>
        <w:spacing w:after="80" w:line="300" w:lineRule="auto"/>
      </w:pPr>
      <w:r>
        <w:t>Identify alternative approaches, including doing nothing, buying, building, partnering or changing the process.</w:t>
      </w:r>
    </w:p>
    <w:p>
      <w:pPr>
        <w:numPr>
          <w:ilvl w:val="0"/>
          <w:numId w:val="10"/>
        </w:numPr>
        <w:spacing w:after="80" w:line="300" w:lineRule="auto"/>
      </w:pPr>
      <w:r>
        <w:t>Prepare high-level scope, exclusions, assumptions and acceptance concept.</w:t>
      </w:r>
    </w:p>
    <w:p>
      <w:pPr>
        <w:numPr>
          <w:ilvl w:val="0"/>
          <w:numId w:val="10"/>
        </w:numPr>
        <w:spacing w:after="80" w:line="300" w:lineRule="auto"/>
      </w:pPr>
      <w:r>
        <w:t>Estimate cost, duration, resource demand and expected benefits as ranges where uncertainty is high.</w:t>
      </w:r>
    </w:p>
    <w:p>
      <w:pPr>
        <w:numPr>
          <w:ilvl w:val="0"/>
          <w:numId w:val="10"/>
        </w:numPr>
        <w:spacing w:after="80" w:line="300" w:lineRule="auto"/>
      </w:pPr>
      <w:r>
        <w:t>Identify principal risks, dependencies and constraints.</w:t>
      </w:r>
    </w:p>
    <w:p>
      <w:pPr>
        <w:numPr>
          <w:ilvl w:val="0"/>
          <w:numId w:val="10"/>
        </w:numPr>
        <w:spacing w:after="80" w:line="300" w:lineRule="auto"/>
      </w:pPr>
      <w:r>
        <w:t>Nominate sponsor, project manager and key decision makers.</w:t>
      </w:r>
    </w:p>
    <w:p>
      <w:pPr>
        <w:numPr>
          <w:ilvl w:val="0"/>
          <w:numId w:val="10"/>
        </w:numPr>
        <w:spacing w:after="80" w:line="300" w:lineRule="auto"/>
      </w:pPr>
      <w:r>
        <w:t>Prepare a project charter and proportionate business case.</w:t>
      </w:r>
    </w:p>
    <w:p>
      <w:pPr>
        <w:pStyle w:val="Heading2"/>
        <w:keepNext w:val="0"/>
        <w:pageBreakBefore w:val="0"/>
      </w:pPr>
      <w:r>
        <w:t>5.4 Gate 2 - Project Authorisation</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Exit criteria: </w:t>
      </w:r>
      <w:r>
        <w:rPr>
          <w:rFonts w:ascii="Calibri" w:hAnsi="Calibri"/>
          <w:color w:val="24313A"/>
        </w:rPr>
        <w:t>A sponsor accepts accountability; the business case is credible; scope and intended outcome are clear; major risks are understood; suitable resources are likely available; and feasibility evidence supports proceeding.</w:t>
      </w:r>
    </w:p>
    <w:p>
      <w:pPr>
        <w:pStyle w:val="Heading1"/>
        <w:keepNext/>
        <w:pageBreakBefore/>
      </w:pPr>
      <w:r>
        <w:t>6. Stage 3 - Detailed Planning and Baseline Approval</w:t>
      </w:r>
    </w:p>
    <w:p>
      <w:pPr>
        <w:pStyle w:val="Heading2"/>
        <w:keepNext w:val="0"/>
        <w:pageBreakBefore w:val="0"/>
      </w:pPr>
      <w:r>
        <w:t>6.1 Purpose</w:t>
      </w:r>
    </w:p>
    <w:p>
      <w:pPr>
        <w:spacing w:after="120" w:line="300" w:lineRule="auto"/>
      </w:pPr>
      <w:r>
        <w:rPr>
          <w:i w:val="0"/>
        </w:rPr>
        <w:t>Planning converts the charter into a coordinated delivery baseline. It defines what will be produced, how work will be organised, when it will happen, who will perform it, what it will cost, how quality will be verified and how risks, changes and communication will be controlled.</w:t>
      </w:r>
    </w:p>
    <w:p>
      <w:pPr>
        <w:pStyle w:val="Heading2"/>
        <w:keepNext w:val="0"/>
        <w:pageBreakBefore w:val="0"/>
      </w:pPr>
      <w:r>
        <w:t>6.2 The Integrated Project Plan</w:t>
      </w:r>
    </w:p>
    <w:p>
      <w:pPr>
        <w:numPr>
          <w:ilvl w:val="0"/>
          <w:numId w:val="10"/>
        </w:numPr>
        <w:spacing w:after="80" w:line="300" w:lineRule="auto"/>
      </w:pPr>
      <w:r>
        <w:t>Scope statement, deliverables, exclusions, requirements and acceptance criteria.</w:t>
      </w:r>
    </w:p>
    <w:p>
      <w:pPr>
        <w:numPr>
          <w:ilvl w:val="0"/>
          <w:numId w:val="10"/>
        </w:numPr>
        <w:spacing w:after="80" w:line="300" w:lineRule="auto"/>
      </w:pPr>
      <w:r>
        <w:t>Work breakdown structure with manageable work packages.</w:t>
      </w:r>
    </w:p>
    <w:p>
      <w:pPr>
        <w:numPr>
          <w:ilvl w:val="0"/>
          <w:numId w:val="10"/>
        </w:numPr>
        <w:spacing w:after="80" w:line="300" w:lineRule="auto"/>
      </w:pPr>
      <w:r>
        <w:t>Schedule with dependencies, milestones, estimates, critical constraints and contingency.</w:t>
      </w:r>
    </w:p>
    <w:p>
      <w:pPr>
        <w:numPr>
          <w:ilvl w:val="0"/>
          <w:numId w:val="10"/>
        </w:numPr>
        <w:spacing w:after="80" w:line="300" w:lineRule="auto"/>
      </w:pPr>
      <w:r>
        <w:t>Budget, procurement, staff effort, tools, infrastructure and reserves.</w:t>
      </w:r>
    </w:p>
    <w:p>
      <w:pPr>
        <w:numPr>
          <w:ilvl w:val="0"/>
          <w:numId w:val="10"/>
        </w:numPr>
        <w:spacing w:after="80" w:line="300" w:lineRule="auto"/>
      </w:pPr>
      <w:r>
        <w:t>Responsibility assignment and decision authority.</w:t>
      </w:r>
    </w:p>
    <w:p>
      <w:pPr>
        <w:numPr>
          <w:ilvl w:val="0"/>
          <w:numId w:val="10"/>
        </w:numPr>
        <w:spacing w:after="80" w:line="300" w:lineRule="auto"/>
      </w:pPr>
      <w:r>
        <w:t>Quality plan, review points, test strategy and evidence required for acceptance.</w:t>
      </w:r>
    </w:p>
    <w:p>
      <w:pPr>
        <w:numPr>
          <w:ilvl w:val="0"/>
          <w:numId w:val="10"/>
        </w:numPr>
        <w:spacing w:after="80" w:line="300" w:lineRule="auto"/>
      </w:pPr>
      <w:r>
        <w:t>Risk register, response actions, issue process and escalation thresholds.</w:t>
      </w:r>
    </w:p>
    <w:p>
      <w:pPr>
        <w:numPr>
          <w:ilvl w:val="0"/>
          <w:numId w:val="10"/>
        </w:numPr>
        <w:spacing w:after="80" w:line="300" w:lineRule="auto"/>
      </w:pPr>
      <w:r>
        <w:t>Communication, stakeholder engagement and reporting calendar.</w:t>
      </w:r>
    </w:p>
    <w:p>
      <w:pPr>
        <w:numPr>
          <w:ilvl w:val="0"/>
          <w:numId w:val="10"/>
        </w:numPr>
        <w:spacing w:after="80" w:line="300" w:lineRule="auto"/>
      </w:pPr>
      <w:r>
        <w:t>Security, privacy, data, access, backup, continuity and release controls where relevant.</w:t>
      </w:r>
    </w:p>
    <w:p>
      <w:pPr>
        <w:numPr>
          <w:ilvl w:val="0"/>
          <w:numId w:val="10"/>
        </w:numPr>
        <w:spacing w:after="80" w:line="300" w:lineRule="auto"/>
      </w:pPr>
      <w:r>
        <w:t>Change, configuration, version, document and records management.</w:t>
      </w:r>
    </w:p>
    <w:p>
      <w:pPr>
        <w:numPr>
          <w:ilvl w:val="0"/>
          <w:numId w:val="10"/>
        </w:numPr>
        <w:spacing w:after="80" w:line="300" w:lineRule="auto"/>
      </w:pPr>
      <w:r>
        <w:t>Transition, training, support, handover, rollback and closure approach.</w:t>
      </w:r>
    </w:p>
    <w:p>
      <w:pPr>
        <w:numPr>
          <w:ilvl w:val="0"/>
          <w:numId w:val="10"/>
        </w:numPr>
        <w:spacing w:after="80" w:line="300" w:lineRule="auto"/>
      </w:pPr>
      <w:r>
        <w:t>Funded benefits-review effort, operational benefit owner and default Gate 7 due date.</w:t>
      </w:r>
    </w:p>
    <w:p>
      <w:pPr>
        <w:pStyle w:val="Heading2"/>
        <w:keepNext w:val="0"/>
        <w:pageBreakBefore w:val="0"/>
      </w:pPr>
      <w:r>
        <w:t>6.3 Baseline Quality Tests</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800"/>
        <w:gridCol w:w="7560"/>
      </w:tblGrid>
      <w:tr>
        <w:trPr>
          <w:tblHeader w:val="true"/>
          <w:cantSplit/>
        </w:trPr>
        <w:tc>
          <w:tcPr>
            <w:tcW w:type="dxa" w:w="1800"/>
            <w:tcMar>
              <w:top w:w="100" w:type="dxa"/>
              <w:start w:w="120" w:type="dxa"/>
              <w:bottom w:w="100" w:type="dxa"/>
              <w:end w:w="120" w:type="dxa"/>
            </w:tcMar>
            <w:vAlign w:val="center"/>
            <w:shd w:fill="123A5A"/>
          </w:tcPr>
          <w:p>
            <w:pPr>
              <w:jc w:val="left"/>
            </w:pPr>
            <w:r>
              <w:rPr>
                <w:rFonts w:ascii="Calibri" w:hAnsi="Calibri"/>
                <w:b/>
                <w:color w:val="FFFFFF"/>
                <w:sz w:val="19"/>
              </w:rPr>
              <w:t>Test</w:t>
            </w:r>
          </w:p>
        </w:tc>
        <w:tc>
          <w:tcPr>
            <w:tcW w:type="dxa" w:w="7560"/>
            <w:tcMar>
              <w:top w:w="100" w:type="dxa"/>
              <w:start w:w="120" w:type="dxa"/>
              <w:bottom w:w="100" w:type="dxa"/>
              <w:end w:w="120" w:type="dxa"/>
            </w:tcMar>
            <w:vAlign w:val="center"/>
            <w:shd w:fill="123A5A"/>
          </w:tcPr>
          <w:p>
            <w:pPr>
              <w:jc w:val="left"/>
            </w:pPr>
            <w:r>
              <w:rPr>
                <w:rFonts w:ascii="Calibri" w:hAnsi="Calibri"/>
                <w:b/>
                <w:color w:val="FFFFFF"/>
                <w:sz w:val="19"/>
              </w:rPr>
              <w:t>Planning evidence</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8"/>
              </w:rPr>
              <w:t>Complete</w:t>
            </w:r>
          </w:p>
        </w:tc>
        <w:tc>
          <w:tcPr>
            <w:tcW w:type="dxa" w:w="7560"/>
            <w:tcMar>
              <w:top w:w="100" w:type="dxa"/>
              <w:start w:w="120" w:type="dxa"/>
              <w:bottom w:w="100" w:type="dxa"/>
              <w:end w:w="120" w:type="dxa"/>
            </w:tcMar>
            <w:vAlign w:val="center"/>
          </w:tcPr>
          <w:p>
            <w:pPr>
              <w:spacing w:after="0" w:line="252" w:lineRule="auto"/>
            </w:pPr>
            <w:r>
              <w:rPr>
                <w:rFonts w:ascii="Calibri" w:hAnsi="Calibri"/>
                <w:color w:val="24313A"/>
                <w:sz w:val="18"/>
              </w:rPr>
              <w:t>Every approved deliverable appears in the work, schedule, ownership and acceptance plans.</w:t>
            </w:r>
          </w:p>
        </w:tc>
      </w:tr>
      <w:tr>
        <w:trPr>
          <w:cantSplit/>
        </w:trPr>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8"/>
              </w:rPr>
              <w:t>Consistent</w:t>
            </w:r>
          </w:p>
        </w:tc>
        <w:tc>
          <w:tcPr>
            <w:tcW w:type="dxa" w:w="7560"/>
            <w:shd w:fill="F4F6F8"/>
            <w:tcMar>
              <w:top w:w="100" w:type="dxa"/>
              <w:start w:w="120" w:type="dxa"/>
              <w:bottom w:w="100" w:type="dxa"/>
              <w:end w:w="120" w:type="dxa"/>
            </w:tcMar>
            <w:vAlign w:val="center"/>
          </w:tcPr>
          <w:p>
            <w:pPr>
              <w:spacing w:after="0" w:line="252" w:lineRule="auto"/>
            </w:pPr>
            <w:r>
              <w:rPr>
                <w:rFonts w:ascii="Calibri" w:hAnsi="Calibri"/>
                <w:color w:val="24313A"/>
                <w:sz w:val="18"/>
              </w:rPr>
              <w:t>Scope, schedule, budget, resources and quality expectations do not contradict one another.</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8"/>
              </w:rPr>
              <w:t>Achievable</w:t>
            </w:r>
          </w:p>
        </w:tc>
        <w:tc>
          <w:tcPr>
            <w:tcW w:type="dxa" w:w="7560"/>
            <w:tcMar>
              <w:top w:w="100" w:type="dxa"/>
              <w:start w:w="120" w:type="dxa"/>
              <w:bottom w:w="100" w:type="dxa"/>
              <w:end w:w="120" w:type="dxa"/>
            </w:tcMar>
            <w:vAlign w:val="center"/>
          </w:tcPr>
          <w:p>
            <w:pPr>
              <w:spacing w:after="0" w:line="252" w:lineRule="auto"/>
            </w:pPr>
            <w:r>
              <w:rPr>
                <w:rFonts w:ascii="Calibri" w:hAnsi="Calibri"/>
                <w:color w:val="24313A"/>
                <w:sz w:val="18"/>
              </w:rPr>
              <w:t>Estimates reflect actual capacity, dependencies, uncertainty and constraints.</w:t>
            </w:r>
          </w:p>
        </w:tc>
      </w:tr>
      <w:tr>
        <w:trPr>
          <w:cantSplit/>
        </w:trPr>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8"/>
              </w:rPr>
              <w:t>Controlled</w:t>
            </w:r>
          </w:p>
        </w:tc>
        <w:tc>
          <w:tcPr>
            <w:tcW w:type="dxa" w:w="7560"/>
            <w:shd w:fill="F4F6F8"/>
            <w:tcMar>
              <w:top w:w="100" w:type="dxa"/>
              <w:start w:w="120" w:type="dxa"/>
              <w:bottom w:w="100" w:type="dxa"/>
              <w:end w:w="120" w:type="dxa"/>
            </w:tcMar>
            <w:vAlign w:val="center"/>
          </w:tcPr>
          <w:p>
            <w:pPr>
              <w:spacing w:after="0" w:line="252" w:lineRule="auto"/>
            </w:pPr>
            <w:r>
              <w:rPr>
                <w:rFonts w:ascii="Calibri" w:hAnsi="Calibri"/>
                <w:color w:val="24313A"/>
                <w:sz w:val="18"/>
              </w:rPr>
              <w:t>Tolerances, reporting, risks, changes and decisions have named owners and methods.</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8"/>
              </w:rPr>
              <w:t>Acceptable</w:t>
            </w:r>
          </w:p>
        </w:tc>
        <w:tc>
          <w:tcPr>
            <w:tcW w:type="dxa" w:w="7560"/>
            <w:tcMar>
              <w:top w:w="100" w:type="dxa"/>
              <w:start w:w="120" w:type="dxa"/>
              <w:bottom w:w="100" w:type="dxa"/>
              <w:end w:w="120" w:type="dxa"/>
            </w:tcMar>
            <w:vAlign w:val="center"/>
          </w:tcPr>
          <w:p>
            <w:pPr>
              <w:spacing w:after="0" w:line="252" w:lineRule="auto"/>
            </w:pPr>
            <w:r>
              <w:rPr>
                <w:rFonts w:ascii="Calibri" w:hAnsi="Calibri"/>
                <w:color w:val="24313A"/>
                <w:sz w:val="18"/>
              </w:rPr>
              <w:t>Sponsor, delivery leads, reviewers and affected operational owners agree to their responsibilities.</w:t>
            </w:r>
          </w:p>
        </w:tc>
      </w:tr>
    </w:tbl>
    <w:p>
      <w:pPr>
        <w:spacing w:after="40"/>
      </w:pPr>
    </w:p>
    <w:p>
      <w:pPr>
        <w:pStyle w:val="Heading2"/>
        <w:keepNext w:val="0"/>
        <w:pageBreakBefore w:val="0"/>
      </w:pPr>
      <w:r>
        <w:t>6.4 Gate 3 - Delivery Readiness</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Exit criteria: </w:t>
      </w:r>
      <w:r>
        <w:rPr>
          <w:rFonts w:ascii="Calibri" w:hAnsi="Calibri"/>
          <w:color w:val="24313A"/>
        </w:rPr>
        <w:t>The integrated plan is realistic; funds and people are committed; key requirements and acceptance criteria are testable; material risks have responses; controls and reporting are ready; and the sponsor formally authorises execution.</w:t>
      </w:r>
    </w:p>
    <w:p>
      <w:pPr>
        <w:pStyle w:val="Heading1"/>
        <w:keepNext/>
        <w:pageBreakBefore w:val="0"/>
      </w:pPr>
      <w:r>
        <w:t>7. Stage 4 - Execution and Team Coordination</w:t>
      </w:r>
    </w:p>
    <w:p>
      <w:pPr>
        <w:pStyle w:val="Heading2"/>
        <w:keepNext w:val="0"/>
        <w:pageBreakBefore w:val="0"/>
      </w:pPr>
      <w:r>
        <w:t>7.1 Purpose</w:t>
      </w:r>
    </w:p>
    <w:p>
      <w:pPr>
        <w:spacing w:after="120" w:line="300" w:lineRule="auto"/>
      </w:pPr>
      <w:r>
        <w:rPr>
          <w:i w:val="0"/>
        </w:rPr>
        <w:t>Execution produces the approved deliverables and builds readiness for their use. The project manager coordinates people, information, suppliers, decisions and environments so that work is completed according to the baseline and verified progressively.</w:t>
      </w:r>
    </w:p>
    <w:p>
      <w:pPr>
        <w:pStyle w:val="Heading2"/>
        <w:keepNext w:val="0"/>
        <w:pageBreakBefore w:val="0"/>
      </w:pPr>
      <w:r>
        <w:t>7.2 Required Practices</w:t>
      </w:r>
    </w:p>
    <w:p>
      <w:pPr>
        <w:numPr>
          <w:ilvl w:val="0"/>
          <w:numId w:val="10"/>
        </w:numPr>
        <w:spacing w:after="80" w:line="300" w:lineRule="auto"/>
      </w:pPr>
      <w:r>
        <w:t>Hold a formal kickoff that confirms objectives, roles, ways of working, reporting and escalation.</w:t>
      </w:r>
    </w:p>
    <w:p>
      <w:pPr>
        <w:numPr>
          <w:ilvl w:val="0"/>
          <w:numId w:val="10"/>
        </w:numPr>
        <w:spacing w:after="80" w:line="300" w:lineRule="auto"/>
      </w:pPr>
      <w:r>
        <w:t>Authorise work packages with clear outputs, owners, dates, quality criteria and dependencies.</w:t>
      </w:r>
    </w:p>
    <w:p>
      <w:pPr>
        <w:numPr>
          <w:ilvl w:val="0"/>
          <w:numId w:val="10"/>
        </w:numPr>
        <w:spacing w:after="80" w:line="300" w:lineRule="auto"/>
      </w:pPr>
      <w:r>
        <w:t>Maintain one controlled source for current plans, decisions, risks, issues, changes and deliverable versions.</w:t>
      </w:r>
    </w:p>
    <w:p>
      <w:pPr>
        <w:numPr>
          <w:ilvl w:val="0"/>
          <w:numId w:val="10"/>
        </w:numPr>
        <w:spacing w:after="80" w:line="300" w:lineRule="auto"/>
      </w:pPr>
      <w:r>
        <w:t>Review deliverables early and progressively; do not postpone quality until final testing.</w:t>
      </w:r>
    </w:p>
    <w:p>
      <w:pPr>
        <w:numPr>
          <w:ilvl w:val="0"/>
          <w:numId w:val="10"/>
        </w:numPr>
        <w:spacing w:after="80" w:line="300" w:lineRule="auto"/>
      </w:pPr>
      <w:r>
        <w:t>Manage team capacity, collaboration, knowledge transfer and conflict.</w:t>
      </w:r>
    </w:p>
    <w:p>
      <w:pPr>
        <w:numPr>
          <w:ilvl w:val="0"/>
          <w:numId w:val="10"/>
        </w:numPr>
        <w:spacing w:after="80" w:line="300" w:lineRule="auto"/>
      </w:pPr>
      <w:r>
        <w:t>Control vendors, external contributors and client dependencies against agreed obligations.</w:t>
      </w:r>
    </w:p>
    <w:p>
      <w:pPr>
        <w:numPr>
          <w:ilvl w:val="0"/>
          <w:numId w:val="10"/>
        </w:numPr>
        <w:spacing w:after="80" w:line="300" w:lineRule="auto"/>
      </w:pPr>
      <w:r>
        <w:t>Prepare users, operations, training, support, data migration and release environments in parallel with development.</w:t>
      </w:r>
    </w:p>
    <w:p>
      <w:pPr>
        <w:numPr>
          <w:ilvl w:val="0"/>
          <w:numId w:val="10"/>
        </w:numPr>
        <w:spacing w:after="80" w:line="300" w:lineRule="auto"/>
      </w:pPr>
      <w:r>
        <w:t>Record evidence of reviews, tests, approvals and corrected defects.</w:t>
      </w:r>
    </w:p>
    <w:p>
      <w:pPr>
        <w:pStyle w:val="Heading2"/>
        <w:keepNext w:val="0"/>
        <w:pageBreakBefore w:val="0"/>
      </w:pPr>
      <w:r>
        <w:t>7.3 Work Package Acceptance</w:t>
      </w:r>
    </w:p>
    <w:p>
      <w:pPr>
        <w:spacing w:after="120" w:line="300" w:lineRule="auto"/>
      </w:pPr>
      <w:r>
        <w:rPr>
          <w:i w:val="0"/>
        </w:rPr>
        <w:t>A work package is complete only when its output exists, specified checks have passed, defects are resolved or formally accepted, supporting documentation is updated, dependencies are communicated and the authorised reviewer accepts the result. Percentage-complete estimates alone are not acceptance evidence.</w:t>
      </w:r>
    </w:p>
    <w:p>
      <w:pPr>
        <w:pStyle w:val="Heading2"/>
        <w:keepNext w:val="0"/>
        <w:pageBreakBefore w:val="0"/>
      </w:pPr>
      <w:r>
        <w:t>7.4 Gate 4 - Major Deliverable or Release Readiness</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Exit criteria: </w:t>
      </w:r>
      <w:r>
        <w:rPr>
          <w:rFonts w:ascii="Calibri" w:hAnsi="Calibri"/>
          <w:color w:val="24313A"/>
        </w:rPr>
        <w:t>The deliverable meets agreed requirements; tests and reviews are evidenced; unresolved defects and risks are within approved limits; operations and users are ready; security and privacy conditions are satisfied; and release or transition authority is granted.</w:t>
      </w:r>
    </w:p>
    <w:p>
      <w:pPr>
        <w:pStyle w:val="Heading1"/>
        <w:keepNext/>
        <w:pageBreakBefore w:val="0"/>
      </w:pPr>
      <w:r>
        <w:t>8. Stage 5 - Continuous Monitoring, Control and Corrective Action</w:t>
      </w:r>
    </w:p>
    <w:p>
      <w:pPr>
        <w:pStyle w:val="Heading2"/>
        <w:keepNext w:val="0"/>
        <w:pageBreakBefore w:val="0"/>
      </w:pPr>
      <w:r>
        <w:t>8.1 Purpose</w:t>
      </w:r>
    </w:p>
    <w:p>
      <w:pPr>
        <w:spacing w:after="120" w:line="300" w:lineRule="auto"/>
      </w:pPr>
      <w:r>
        <w:rPr>
          <w:i w:val="0"/>
        </w:rPr>
        <w:t>Monitoring and control begin when Gate 3 authorises execution and continue until Gate 6 closure. They run alongside delivery rather than after it. Their purpose is to detect variance early, forecast outcomes, support timely decisions and keep delivery within authorised scope, time, cost, quality and risk tolerances.</w:t>
      </w:r>
    </w:p>
    <w:p>
      <w:pPr>
        <w:pStyle w:val="Heading2"/>
        <w:keepNext w:val="0"/>
        <w:pageBreakBefore w:val="0"/>
      </w:pPr>
      <w:r>
        <w:t>8.2 Control Cycle</w:t>
      </w:r>
    </w:p>
    <w:p>
      <w:pPr>
        <w:numPr>
          <w:ilvl w:val="0"/>
          <w:numId w:val="11"/>
        </w:numPr>
        <w:spacing w:after="80" w:line="300" w:lineRule="auto"/>
      </w:pPr>
      <w:r>
        <w:t>Measure actual progress, expenditure, quality, risks, issues and resource use.</w:t>
      </w:r>
    </w:p>
    <w:p>
      <w:pPr>
        <w:numPr>
          <w:ilvl w:val="0"/>
          <w:numId w:val="11"/>
        </w:numPr>
        <w:spacing w:after="80" w:line="300" w:lineRule="auto"/>
      </w:pPr>
      <w:r>
        <w:t>Compare actual and forecast performance with approved baselines and tolerances.</w:t>
      </w:r>
    </w:p>
    <w:p>
      <w:pPr>
        <w:numPr>
          <w:ilvl w:val="0"/>
          <w:numId w:val="11"/>
        </w:numPr>
        <w:spacing w:after="80" w:line="300" w:lineRule="auto"/>
      </w:pPr>
      <w:r>
        <w:t>Analyse root causes, consequences and available corrective actions.</w:t>
      </w:r>
    </w:p>
    <w:p>
      <w:pPr>
        <w:numPr>
          <w:ilvl w:val="0"/>
          <w:numId w:val="11"/>
        </w:numPr>
        <w:spacing w:after="80" w:line="300" w:lineRule="auto"/>
      </w:pPr>
      <w:r>
        <w:t>Decide within authority or escalate to the appropriate decision maker.</w:t>
      </w:r>
    </w:p>
    <w:p>
      <w:pPr>
        <w:numPr>
          <w:ilvl w:val="0"/>
          <w:numId w:val="11"/>
        </w:numPr>
        <w:spacing w:after="80" w:line="300" w:lineRule="auto"/>
      </w:pPr>
      <w:r>
        <w:t>Implement approved correction and update affected plans and records.</w:t>
      </w:r>
    </w:p>
    <w:p>
      <w:pPr>
        <w:numPr>
          <w:ilvl w:val="0"/>
          <w:numId w:val="11"/>
        </w:numPr>
        <w:spacing w:after="80" w:line="300" w:lineRule="auto"/>
      </w:pPr>
      <w:r>
        <w:t>Verify whether the correction worked and communicate the outcome.</w:t>
      </w:r>
    </w:p>
    <w:p>
      <w:pPr>
        <w:pStyle w:val="Heading2"/>
        <w:keepNext w:val="0"/>
        <w:pageBreakBefore w:val="0"/>
      </w:pPr>
      <w:r>
        <w:t>8.3 Minimum Status Report</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100"/>
        <w:gridCol w:w="7260"/>
      </w:tblGrid>
      <w:tr>
        <w:trPr>
          <w:tblHeader w:val="true"/>
          <w:cantSplit/>
        </w:trPr>
        <w:tc>
          <w:tcPr>
            <w:tcW w:type="dxa" w:w="2100"/>
            <w:tcMar>
              <w:top w:w="100" w:type="dxa"/>
              <w:start w:w="120" w:type="dxa"/>
              <w:bottom w:w="100" w:type="dxa"/>
              <w:end w:w="120" w:type="dxa"/>
            </w:tcMar>
            <w:vAlign w:val="center"/>
            <w:shd w:fill="123A5A"/>
          </w:tcPr>
          <w:p>
            <w:pPr>
              <w:jc w:val="left"/>
            </w:pPr>
            <w:r>
              <w:rPr>
                <w:rFonts w:ascii="Calibri" w:hAnsi="Calibri"/>
                <w:b/>
                <w:color w:val="FFFFFF"/>
                <w:sz w:val="18"/>
              </w:rPr>
              <w:t>Area</w:t>
            </w:r>
          </w:p>
        </w:tc>
        <w:tc>
          <w:tcPr>
            <w:tcW w:type="dxa" w:w="7260"/>
            <w:tcMar>
              <w:top w:w="100" w:type="dxa"/>
              <w:start w:w="120" w:type="dxa"/>
              <w:bottom w:w="100" w:type="dxa"/>
              <w:end w:w="120" w:type="dxa"/>
            </w:tcMar>
            <w:vAlign w:val="center"/>
            <w:shd w:fill="123A5A"/>
          </w:tcPr>
          <w:p>
            <w:pPr>
              <w:jc w:val="left"/>
            </w:pPr>
            <w:r>
              <w:rPr>
                <w:rFonts w:ascii="Calibri" w:hAnsi="Calibri"/>
                <w:b/>
                <w:color w:val="FFFFFF"/>
                <w:sz w:val="18"/>
              </w:rPr>
              <w:t>Required information</w:t>
            </w:r>
          </w:p>
        </w:tc>
      </w:tr>
      <w:tr>
        <w:trPr>
          <w:cantSplit/>
        </w:trPr>
        <w:tc>
          <w:tcPr>
            <w:tcW w:type="dxa" w:w="2100"/>
            <w:tcMar>
              <w:top w:w="100" w:type="dxa"/>
              <w:start w:w="120" w:type="dxa"/>
              <w:bottom w:w="100" w:type="dxa"/>
              <w:end w:w="120" w:type="dxa"/>
            </w:tcMar>
            <w:vAlign w:val="center"/>
          </w:tcPr>
          <w:p>
            <w:pPr>
              <w:spacing w:after="0" w:line="252" w:lineRule="auto"/>
            </w:pPr>
            <w:r>
              <w:rPr>
                <w:rFonts w:ascii="Calibri" w:hAnsi="Calibri"/>
                <w:color w:val="24313A"/>
                <w:sz w:val="17"/>
              </w:rPr>
              <w:t>Overall status</w:t>
            </w:r>
          </w:p>
        </w:tc>
        <w:tc>
          <w:tcPr>
            <w:tcW w:type="dxa" w:w="7260"/>
            <w:tcMar>
              <w:top w:w="100" w:type="dxa"/>
              <w:start w:w="120" w:type="dxa"/>
              <w:bottom w:w="100" w:type="dxa"/>
              <w:end w:w="120" w:type="dxa"/>
            </w:tcMar>
            <w:vAlign w:val="center"/>
          </w:tcPr>
          <w:p>
            <w:pPr>
              <w:spacing w:after="0" w:line="252" w:lineRule="auto"/>
            </w:pPr>
            <w:r>
              <w:rPr>
                <w:rFonts w:ascii="Calibri" w:hAnsi="Calibri"/>
                <w:color w:val="24313A"/>
                <w:sz w:val="17"/>
              </w:rPr>
              <w:t>Green, amber or red with a short evidence-based explanation.</w:t>
            </w:r>
          </w:p>
        </w:tc>
      </w:tr>
      <w:tr>
        <w:trPr>
          <w:cantSplit/>
        </w:trPr>
        <w:tc>
          <w:tcPr>
            <w:tcW w:type="dxa" w:w="2100"/>
            <w:shd w:fill="F4F6F8"/>
            <w:tcMar>
              <w:top w:w="100" w:type="dxa"/>
              <w:start w:w="120" w:type="dxa"/>
              <w:bottom w:w="100" w:type="dxa"/>
              <w:end w:w="120" w:type="dxa"/>
            </w:tcMar>
            <w:vAlign w:val="center"/>
          </w:tcPr>
          <w:p>
            <w:pPr>
              <w:spacing w:after="0" w:line="252" w:lineRule="auto"/>
            </w:pPr>
            <w:r>
              <w:rPr>
                <w:rFonts w:ascii="Calibri" w:hAnsi="Calibri"/>
                <w:color w:val="24313A"/>
                <w:sz w:val="17"/>
              </w:rPr>
              <w:t>Achievements</w:t>
            </w:r>
          </w:p>
        </w:tc>
        <w:tc>
          <w:tcPr>
            <w:tcW w:type="dxa" w:w="7260"/>
            <w:shd w:fill="F4F6F8"/>
            <w:tcMar>
              <w:top w:w="100" w:type="dxa"/>
              <w:start w:w="120" w:type="dxa"/>
              <w:bottom w:w="100" w:type="dxa"/>
              <w:end w:w="120" w:type="dxa"/>
            </w:tcMar>
            <w:vAlign w:val="center"/>
          </w:tcPr>
          <w:p>
            <w:pPr>
              <w:spacing w:after="0" w:line="252" w:lineRule="auto"/>
            </w:pPr>
            <w:r>
              <w:rPr>
                <w:rFonts w:ascii="Calibri" w:hAnsi="Calibri"/>
                <w:color w:val="24313A"/>
                <w:sz w:val="17"/>
              </w:rPr>
              <w:t>Completed and accepted outputs since the last report.</w:t>
            </w:r>
          </w:p>
        </w:tc>
      </w:tr>
      <w:tr>
        <w:trPr>
          <w:cantSplit/>
        </w:trPr>
        <w:tc>
          <w:tcPr>
            <w:tcW w:type="dxa" w:w="2100"/>
            <w:tcMar>
              <w:top w:w="100" w:type="dxa"/>
              <w:start w:w="120" w:type="dxa"/>
              <w:bottom w:w="100" w:type="dxa"/>
              <w:end w:w="120" w:type="dxa"/>
            </w:tcMar>
            <w:vAlign w:val="center"/>
          </w:tcPr>
          <w:p>
            <w:pPr>
              <w:spacing w:after="0" w:line="252" w:lineRule="auto"/>
            </w:pPr>
            <w:r>
              <w:rPr>
                <w:rFonts w:ascii="Calibri" w:hAnsi="Calibri"/>
                <w:color w:val="24313A"/>
                <w:sz w:val="17"/>
              </w:rPr>
              <w:t>Next period</w:t>
            </w:r>
          </w:p>
        </w:tc>
        <w:tc>
          <w:tcPr>
            <w:tcW w:type="dxa" w:w="7260"/>
            <w:tcMar>
              <w:top w:w="100" w:type="dxa"/>
              <w:start w:w="120" w:type="dxa"/>
              <w:bottom w:w="100" w:type="dxa"/>
              <w:end w:w="120" w:type="dxa"/>
            </w:tcMar>
            <w:vAlign w:val="center"/>
          </w:tcPr>
          <w:p>
            <w:pPr>
              <w:spacing w:after="0" w:line="252" w:lineRule="auto"/>
            </w:pPr>
            <w:r>
              <w:rPr>
                <w:rFonts w:ascii="Calibri" w:hAnsi="Calibri"/>
                <w:color w:val="24313A"/>
                <w:sz w:val="17"/>
              </w:rPr>
              <w:t>Planned milestones, decisions and dependencies.</w:t>
            </w:r>
          </w:p>
        </w:tc>
      </w:tr>
      <w:tr>
        <w:trPr>
          <w:cantSplit/>
        </w:trPr>
        <w:tc>
          <w:tcPr>
            <w:tcW w:type="dxa" w:w="2100"/>
            <w:shd w:fill="F4F6F8"/>
            <w:tcMar>
              <w:top w:w="100" w:type="dxa"/>
              <w:start w:w="120" w:type="dxa"/>
              <w:bottom w:w="100" w:type="dxa"/>
              <w:end w:w="120" w:type="dxa"/>
            </w:tcMar>
            <w:vAlign w:val="center"/>
          </w:tcPr>
          <w:p>
            <w:pPr>
              <w:spacing w:after="0" w:line="252" w:lineRule="auto"/>
            </w:pPr>
            <w:r>
              <w:rPr>
                <w:rFonts w:ascii="Calibri" w:hAnsi="Calibri"/>
                <w:color w:val="24313A"/>
                <w:sz w:val="17"/>
              </w:rPr>
              <w:t>Schedule</w:t>
            </w:r>
          </w:p>
        </w:tc>
        <w:tc>
          <w:tcPr>
            <w:tcW w:type="dxa" w:w="7260"/>
            <w:shd w:fill="F4F6F8"/>
            <w:tcMar>
              <w:top w:w="100" w:type="dxa"/>
              <w:start w:w="120" w:type="dxa"/>
              <w:bottom w:w="100" w:type="dxa"/>
              <w:end w:w="120" w:type="dxa"/>
            </w:tcMar>
            <w:vAlign w:val="center"/>
          </w:tcPr>
          <w:p>
            <w:pPr>
              <w:spacing w:after="0" w:line="252" w:lineRule="auto"/>
            </w:pPr>
            <w:r>
              <w:rPr>
                <w:rFonts w:ascii="Calibri" w:hAnsi="Calibri"/>
                <w:color w:val="24313A"/>
                <w:sz w:val="17"/>
              </w:rPr>
              <w:t>Actual and forecast milestones; material variance and cause.</w:t>
            </w:r>
          </w:p>
        </w:tc>
      </w:tr>
      <w:tr>
        <w:trPr>
          <w:cantSplit/>
        </w:trPr>
        <w:tc>
          <w:tcPr>
            <w:tcW w:type="dxa" w:w="2100"/>
            <w:tcMar>
              <w:top w:w="100" w:type="dxa"/>
              <w:start w:w="120" w:type="dxa"/>
              <w:bottom w:w="100" w:type="dxa"/>
              <w:end w:w="120" w:type="dxa"/>
            </w:tcMar>
            <w:vAlign w:val="center"/>
          </w:tcPr>
          <w:p>
            <w:pPr>
              <w:spacing w:after="0" w:line="252" w:lineRule="auto"/>
            </w:pPr>
            <w:r>
              <w:rPr>
                <w:rFonts w:ascii="Calibri" w:hAnsi="Calibri"/>
                <w:color w:val="24313A"/>
                <w:sz w:val="17"/>
              </w:rPr>
              <w:t>Cost / Resources</w:t>
            </w:r>
          </w:p>
        </w:tc>
        <w:tc>
          <w:tcPr>
            <w:tcW w:type="dxa" w:w="7260"/>
            <w:tcMar>
              <w:top w:w="100" w:type="dxa"/>
              <w:start w:w="120" w:type="dxa"/>
              <w:bottom w:w="100" w:type="dxa"/>
              <w:end w:w="120" w:type="dxa"/>
            </w:tcMar>
            <w:vAlign w:val="center"/>
          </w:tcPr>
          <w:p>
            <w:pPr>
              <w:spacing w:after="0" w:line="252" w:lineRule="auto"/>
            </w:pPr>
            <w:r>
              <w:rPr>
                <w:rFonts w:ascii="Calibri" w:hAnsi="Calibri"/>
                <w:color w:val="24313A"/>
                <w:sz w:val="17"/>
              </w:rPr>
              <w:t>Spend, commitments, forecast, capacity and variance.</w:t>
            </w:r>
          </w:p>
        </w:tc>
      </w:tr>
      <w:tr>
        <w:trPr>
          <w:cantSplit/>
        </w:trPr>
        <w:tc>
          <w:tcPr>
            <w:tcW w:type="dxa" w:w="2100"/>
            <w:shd w:fill="F4F6F8"/>
            <w:tcMar>
              <w:top w:w="100" w:type="dxa"/>
              <w:start w:w="120" w:type="dxa"/>
              <w:bottom w:w="100" w:type="dxa"/>
              <w:end w:w="120" w:type="dxa"/>
            </w:tcMar>
            <w:vAlign w:val="center"/>
          </w:tcPr>
          <w:p>
            <w:pPr>
              <w:spacing w:after="0" w:line="252" w:lineRule="auto"/>
            </w:pPr>
            <w:r>
              <w:rPr>
                <w:rFonts w:ascii="Calibri" w:hAnsi="Calibri"/>
                <w:color w:val="24313A"/>
                <w:sz w:val="17"/>
              </w:rPr>
              <w:t>Scope / Quality</w:t>
            </w:r>
          </w:p>
        </w:tc>
        <w:tc>
          <w:tcPr>
            <w:tcW w:type="dxa" w:w="7260"/>
            <w:shd w:fill="F4F6F8"/>
            <w:tcMar>
              <w:top w:w="100" w:type="dxa"/>
              <w:start w:w="120" w:type="dxa"/>
              <w:bottom w:w="100" w:type="dxa"/>
              <w:end w:w="120" w:type="dxa"/>
            </w:tcMar>
            <w:vAlign w:val="center"/>
          </w:tcPr>
          <w:p>
            <w:pPr>
              <w:spacing w:after="0" w:line="252" w:lineRule="auto"/>
            </w:pPr>
            <w:r>
              <w:rPr>
                <w:rFonts w:ascii="Calibri" w:hAnsi="Calibri"/>
                <w:color w:val="24313A"/>
                <w:sz w:val="17"/>
              </w:rPr>
              <w:t>Approved changes, defects, acceptance and quality trend.</w:t>
            </w:r>
          </w:p>
        </w:tc>
      </w:tr>
      <w:tr>
        <w:trPr>
          <w:cantSplit/>
        </w:trPr>
        <w:tc>
          <w:tcPr>
            <w:tcW w:type="dxa" w:w="2100"/>
            <w:tcMar>
              <w:top w:w="100" w:type="dxa"/>
              <w:start w:w="120" w:type="dxa"/>
              <w:bottom w:w="100" w:type="dxa"/>
              <w:end w:w="120" w:type="dxa"/>
            </w:tcMar>
            <w:vAlign w:val="center"/>
          </w:tcPr>
          <w:p>
            <w:pPr>
              <w:spacing w:after="0" w:line="252" w:lineRule="auto"/>
            </w:pPr>
            <w:r>
              <w:rPr>
                <w:rFonts w:ascii="Calibri" w:hAnsi="Calibri"/>
                <w:color w:val="24313A"/>
                <w:sz w:val="17"/>
              </w:rPr>
              <w:t>Risks / Issues</w:t>
            </w:r>
          </w:p>
        </w:tc>
        <w:tc>
          <w:tcPr>
            <w:tcW w:type="dxa" w:w="7260"/>
            <w:tcMar>
              <w:top w:w="100" w:type="dxa"/>
              <w:start w:w="120" w:type="dxa"/>
              <w:bottom w:w="100" w:type="dxa"/>
              <w:end w:w="120" w:type="dxa"/>
            </w:tcMar>
            <w:vAlign w:val="center"/>
          </w:tcPr>
          <w:p>
            <w:pPr>
              <w:spacing w:after="0" w:line="252" w:lineRule="auto"/>
            </w:pPr>
            <w:r>
              <w:rPr>
                <w:rFonts w:ascii="Calibri" w:hAnsi="Calibri"/>
                <w:color w:val="24313A"/>
                <w:sz w:val="17"/>
              </w:rPr>
              <w:t>Top exposures, owners, actions, dates and escalation needs.</w:t>
            </w:r>
          </w:p>
        </w:tc>
      </w:tr>
      <w:tr>
        <w:trPr>
          <w:cantSplit/>
        </w:trPr>
        <w:tc>
          <w:tcPr>
            <w:tcW w:type="dxa" w:w="2100"/>
            <w:shd w:fill="F4F6F8"/>
            <w:tcMar>
              <w:top w:w="100" w:type="dxa"/>
              <w:start w:w="120" w:type="dxa"/>
              <w:bottom w:w="100" w:type="dxa"/>
              <w:end w:w="120" w:type="dxa"/>
            </w:tcMar>
            <w:vAlign w:val="center"/>
          </w:tcPr>
          <w:p>
            <w:pPr>
              <w:spacing w:after="0" w:line="252" w:lineRule="auto"/>
            </w:pPr>
            <w:r>
              <w:rPr>
                <w:rFonts w:ascii="Calibri" w:hAnsi="Calibri"/>
                <w:color w:val="24313A"/>
                <w:sz w:val="17"/>
              </w:rPr>
              <w:t>Decisions</w:t>
            </w:r>
          </w:p>
        </w:tc>
        <w:tc>
          <w:tcPr>
            <w:tcW w:type="dxa" w:w="7260"/>
            <w:shd w:fill="F4F6F8"/>
            <w:tcMar>
              <w:top w:w="100" w:type="dxa"/>
              <w:start w:w="120" w:type="dxa"/>
              <w:bottom w:w="100" w:type="dxa"/>
              <w:end w:w="120" w:type="dxa"/>
            </w:tcMar>
            <w:vAlign w:val="center"/>
          </w:tcPr>
          <w:p>
            <w:pPr>
              <w:spacing w:after="0" w:line="252" w:lineRule="auto"/>
            </w:pPr>
            <w:r>
              <w:rPr>
                <w:rFonts w:ascii="Calibri" w:hAnsi="Calibri"/>
                <w:color w:val="24313A"/>
                <w:sz w:val="17"/>
              </w:rPr>
              <w:t>Specific decisions required, decision owner and needed date.</w:t>
            </w:r>
          </w:p>
        </w:tc>
      </w:tr>
    </w:tbl>
    <w:p>
      <w:pPr>
        <w:spacing w:after="40"/>
      </w:pPr>
    </w:p>
    <w:p>
      <w:pPr>
        <w:pStyle w:val="Heading2"/>
        <w:keepNext w:val="0"/>
        <w:pageBreakBefore w:val="0"/>
      </w:pPr>
      <w:r>
        <w:t>8.4 Required Reporting and Gate 5 Cadence</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200"/>
        <w:gridCol w:w="3800"/>
        <w:gridCol w:w="4360"/>
      </w:tblGrid>
      <w:tr>
        <w:trPr>
          <w:tblHeader w:val="true"/>
          <w:cantSplit/>
        </w:trPr>
        <w:tc>
          <w:tcPr>
            <w:tcW w:type="dxa" w:w="1200"/>
            <w:tcMar>
              <w:top w:w="100" w:type="dxa"/>
              <w:start w:w="120" w:type="dxa"/>
              <w:bottom w:w="100" w:type="dxa"/>
              <w:end w:w="120" w:type="dxa"/>
            </w:tcMar>
            <w:vAlign w:val="center"/>
            <w:shd w:fill="123A5A"/>
          </w:tcPr>
          <w:p>
            <w:pPr>
              <w:jc w:val="left"/>
            </w:pPr>
            <w:r>
              <w:rPr>
                <w:rFonts w:ascii="Calibri" w:hAnsi="Calibri"/>
                <w:b/>
                <w:color w:val="FFFFFF"/>
                <w:sz w:val="18"/>
              </w:rPr>
              <w:t>Class</w:t>
            </w:r>
          </w:p>
        </w:tc>
        <w:tc>
          <w:tcPr>
            <w:tcW w:type="dxa" w:w="3800"/>
            <w:tcMar>
              <w:top w:w="100" w:type="dxa"/>
              <w:start w:w="120" w:type="dxa"/>
              <w:bottom w:w="100" w:type="dxa"/>
              <w:end w:w="120" w:type="dxa"/>
            </w:tcMar>
            <w:vAlign w:val="center"/>
            <w:shd w:fill="123A5A"/>
          </w:tcPr>
          <w:p>
            <w:pPr>
              <w:jc w:val="left"/>
            </w:pPr>
            <w:r>
              <w:rPr>
                <w:rFonts w:ascii="Calibri" w:hAnsi="Calibri"/>
                <w:b/>
                <w:color w:val="FFFFFF"/>
                <w:sz w:val="18"/>
              </w:rPr>
              <w:t>Routine status rhythm</w:t>
            </w:r>
          </w:p>
        </w:tc>
        <w:tc>
          <w:tcPr>
            <w:tcW w:type="dxa" w:w="4360"/>
            <w:tcMar>
              <w:top w:w="100" w:type="dxa"/>
              <w:start w:w="120" w:type="dxa"/>
              <w:bottom w:w="100" w:type="dxa"/>
              <w:end w:w="120" w:type="dxa"/>
            </w:tcMar>
            <w:vAlign w:val="center"/>
            <w:shd w:fill="123A5A"/>
          </w:tcPr>
          <w:p>
            <w:pPr>
              <w:jc w:val="left"/>
            </w:pPr>
            <w:r>
              <w:rPr>
                <w:rFonts w:ascii="Calibri" w:hAnsi="Calibri"/>
                <w:b/>
                <w:color w:val="FFFFFF"/>
                <w:sz w:val="18"/>
              </w:rPr>
              <w:t>Gate 5 decision rhythm</w:t>
            </w:r>
          </w:p>
        </w:tc>
      </w:tr>
      <w:tr>
        <w:trPr>
          <w:cantSplit/>
        </w:trPr>
        <w:tc>
          <w:tcPr>
            <w:tcW w:type="dxa" w:w="1200"/>
            <w:tcMar>
              <w:top w:w="100" w:type="dxa"/>
              <w:start w:w="120" w:type="dxa"/>
              <w:bottom w:w="100" w:type="dxa"/>
              <w:end w:w="120" w:type="dxa"/>
            </w:tcMar>
            <w:vAlign w:val="center"/>
          </w:tcPr>
          <w:p>
            <w:pPr>
              <w:spacing w:after="0" w:line="252" w:lineRule="auto"/>
            </w:pPr>
            <w:r>
              <w:rPr>
                <w:rFonts w:ascii="Calibri" w:hAnsi="Calibri"/>
                <w:color w:val="24313A"/>
                <w:sz w:val="17"/>
              </w:rPr>
              <w:t>Class A</w:t>
            </w:r>
          </w:p>
        </w:tc>
        <w:tc>
          <w:tcPr>
            <w:tcW w:type="dxa" w:w="3800"/>
            <w:tcMar>
              <w:top w:w="100" w:type="dxa"/>
              <w:start w:w="120" w:type="dxa"/>
              <w:bottom w:w="100" w:type="dxa"/>
              <w:end w:w="120" w:type="dxa"/>
            </w:tcMar>
            <w:vAlign w:val="center"/>
          </w:tcPr>
          <w:p>
            <w:pPr>
              <w:spacing w:after="0" w:line="252" w:lineRule="auto"/>
            </w:pPr>
            <w:r>
              <w:rPr>
                <w:rFonts w:ascii="Calibri" w:hAnsi="Calibri"/>
                <w:color w:val="24313A"/>
                <w:sz w:val="17"/>
              </w:rPr>
              <w:t>Weekly delivery review and formal status at least every two weeks.</w:t>
            </w:r>
          </w:p>
        </w:tc>
        <w:tc>
          <w:tcPr>
            <w:tcW w:type="dxa" w:w="4360"/>
            <w:tcMar>
              <w:top w:w="100" w:type="dxa"/>
              <w:start w:w="120" w:type="dxa"/>
              <w:bottom w:w="100" w:type="dxa"/>
              <w:end w:w="120" w:type="dxa"/>
            </w:tcMar>
            <w:vAlign w:val="center"/>
          </w:tcPr>
          <w:p>
            <w:pPr>
              <w:spacing w:after="0" w:line="252" w:lineRule="auto"/>
            </w:pPr>
            <w:r>
              <w:rPr>
                <w:rFonts w:ascii="Calibri" w:hAnsi="Calibri"/>
                <w:color w:val="24313A"/>
                <w:sz w:val="17"/>
              </w:rPr>
              <w:t>Monthly Project Authority continuation review, at every major milestone and immediately after any trigger.</w:t>
            </w:r>
          </w:p>
        </w:tc>
      </w:tr>
      <w:tr>
        <w:trPr>
          <w:cantSplit/>
        </w:trPr>
        <w:tc>
          <w:tcPr>
            <w:tcW w:type="dxa" w:w="1200"/>
            <w:shd w:fill="F4F6F8"/>
            <w:tcMar>
              <w:top w:w="100" w:type="dxa"/>
              <w:start w:w="120" w:type="dxa"/>
              <w:bottom w:w="100" w:type="dxa"/>
              <w:end w:w="120" w:type="dxa"/>
            </w:tcMar>
            <w:vAlign w:val="center"/>
          </w:tcPr>
          <w:p>
            <w:pPr>
              <w:spacing w:after="0" w:line="252" w:lineRule="auto"/>
            </w:pPr>
            <w:r>
              <w:rPr>
                <w:rFonts w:ascii="Calibri" w:hAnsi="Calibri"/>
                <w:color w:val="24313A"/>
                <w:sz w:val="17"/>
              </w:rPr>
              <w:t>Class B</w:t>
            </w:r>
          </w:p>
        </w:tc>
        <w:tc>
          <w:tcPr>
            <w:tcW w:type="dxa" w:w="3800"/>
            <w:shd w:fill="F4F6F8"/>
            <w:tcMar>
              <w:top w:w="100" w:type="dxa"/>
              <w:start w:w="120" w:type="dxa"/>
              <w:bottom w:w="100" w:type="dxa"/>
              <w:end w:w="120" w:type="dxa"/>
            </w:tcMar>
            <w:vAlign w:val="center"/>
          </w:tcPr>
          <w:p>
            <w:pPr>
              <w:spacing w:after="0" w:line="252" w:lineRule="auto"/>
            </w:pPr>
            <w:r>
              <w:rPr>
                <w:rFonts w:ascii="Calibri" w:hAnsi="Calibri"/>
                <w:color w:val="24313A"/>
                <w:sz w:val="17"/>
              </w:rPr>
              <w:t>Formal status at least monthly, with team review at least every two weeks.</w:t>
            </w:r>
          </w:p>
        </w:tc>
        <w:tc>
          <w:tcPr>
            <w:tcW w:type="dxa" w:w="4360"/>
            <w:shd w:fill="F4F6F8"/>
            <w:tcMar>
              <w:top w:w="100" w:type="dxa"/>
              <w:start w:w="120" w:type="dxa"/>
              <w:bottom w:w="100" w:type="dxa"/>
              <w:end w:w="120" w:type="dxa"/>
            </w:tcMar>
            <w:vAlign w:val="center"/>
          </w:tcPr>
          <w:p>
            <w:pPr>
              <w:spacing w:after="0" w:line="252" w:lineRule="auto"/>
            </w:pPr>
            <w:r>
              <w:rPr>
                <w:rFonts w:ascii="Calibri" w:hAnsi="Calibri"/>
                <w:color w:val="24313A"/>
                <w:sz w:val="17"/>
              </w:rPr>
              <w:t>At least every eight weeks, at every major milestone and immediately after any trigger.</w:t>
            </w:r>
          </w:p>
        </w:tc>
      </w:tr>
      <w:tr>
        <w:trPr>
          <w:cantSplit/>
        </w:trPr>
        <w:tc>
          <w:tcPr>
            <w:tcW w:type="dxa" w:w="1200"/>
            <w:tcMar>
              <w:top w:w="100" w:type="dxa"/>
              <w:start w:w="120" w:type="dxa"/>
              <w:bottom w:w="100" w:type="dxa"/>
              <w:end w:w="120" w:type="dxa"/>
            </w:tcMar>
            <w:vAlign w:val="center"/>
          </w:tcPr>
          <w:p>
            <w:pPr>
              <w:spacing w:after="0" w:line="252" w:lineRule="auto"/>
            </w:pPr>
            <w:r>
              <w:rPr>
                <w:rFonts w:ascii="Calibri" w:hAnsi="Calibri"/>
                <w:color w:val="24313A"/>
                <w:sz w:val="17"/>
              </w:rPr>
              <w:t>Class C</w:t>
            </w:r>
          </w:p>
        </w:tc>
        <w:tc>
          <w:tcPr>
            <w:tcW w:type="dxa" w:w="3800"/>
            <w:tcMar>
              <w:top w:w="100" w:type="dxa"/>
              <w:start w:w="120" w:type="dxa"/>
              <w:bottom w:w="100" w:type="dxa"/>
              <w:end w:w="120" w:type="dxa"/>
            </w:tcMar>
            <w:vAlign w:val="center"/>
          </w:tcPr>
          <w:p>
            <w:pPr>
              <w:spacing w:after="0" w:line="252" w:lineRule="auto"/>
            </w:pPr>
            <w:r>
              <w:rPr>
                <w:rFonts w:ascii="Calibri" w:hAnsi="Calibri"/>
                <w:color w:val="24313A"/>
                <w:sz w:val="17"/>
              </w:rPr>
              <w:t>Status at least monthly while active; a midpoint check is required when duration exceeds 20 business days.</w:t>
            </w:r>
          </w:p>
        </w:tc>
        <w:tc>
          <w:tcPr>
            <w:tcW w:type="dxa" w:w="4360"/>
            <w:tcMar>
              <w:top w:w="100" w:type="dxa"/>
              <w:start w:w="120" w:type="dxa"/>
              <w:bottom w:w="100" w:type="dxa"/>
              <w:end w:w="120" w:type="dxa"/>
            </w:tcMar>
            <w:vAlign w:val="center"/>
          </w:tcPr>
          <w:p>
            <w:pPr>
              <w:spacing w:after="0" w:line="252" w:lineRule="auto"/>
            </w:pPr>
            <w:r>
              <w:rPr>
                <w:rFonts w:ascii="Calibri" w:hAnsi="Calibri"/>
                <w:color w:val="24313A"/>
                <w:sz w:val="17"/>
              </w:rPr>
              <w:t>At midpoint for projects longer than 20 business days and immediately after any trigger.</w:t>
            </w:r>
          </w:p>
        </w:tc>
      </w:tr>
    </w:tbl>
    <w:p>
      <w:pPr>
        <w:spacing w:after="40"/>
      </w:pPr>
    </w:p>
    <w:p>
      <w:pPr>
        <w:spacing w:after="120" w:line="300" w:lineRule="auto"/>
      </w:pPr>
      <w:r>
        <w:rPr>
          <w:i w:val="0"/>
        </w:rPr>
        <w:t>A Gate 5 trigger occurs when Section 12.2 requires immediate escalation; a tolerance is forecast to be breached; a material change, rebaseline, funding release, supplier failure or recovery plan needs approval; a critical dependency changes; acceptance becomes doubtful; or the Sponsor, Project Authority or assurance reviewer calls the gate. The project manager must convene the decision within two business days for a red condition and within five business days for any other material trigger.</w:t>
      </w:r>
    </w:p>
    <w:p>
      <w:pPr>
        <w:pStyle w:val="Heading2"/>
        <w:keepNext w:val="0"/>
        <w:pageBreakBefore w:val="0"/>
      </w:pPr>
      <w:r>
        <w:t>8.5 Gate 5 - Continuation or Exception Decision</w:t>
      </w:r>
    </w:p>
    <w:p>
      <w:pPr>
        <w:shd w:fill="F9EFEF"/>
        <w:keepLines/>
        <w:pBdr>
          <w:top w:val="single" w:sz="8" w:space="6" w:color="9B1C1C"/>
          <w:left w:val="single" w:sz="8" w:space="6" w:color="9B1C1C"/>
          <w:bottom w:val="single" w:sz="8" w:space="6" w:color="9B1C1C"/>
          <w:right w:val="single" w:sz="8" w:space="6" w:color="9B1C1C"/>
        </w:pBdr>
        <w:spacing w:before="120" w:after="160" w:line="276" w:lineRule="auto"/>
        <w:ind w:left="160" w:right="160"/>
      </w:pPr>
      <w:r>
        <w:rPr>
          <w:rFonts w:ascii="Calibri" w:hAnsi="Calibri"/>
          <w:b/>
          <w:color w:val="9B1C1C"/>
        </w:rPr>
        <w:t xml:space="preserve">Exit criteria: </w:t>
      </w:r>
      <w:r>
        <w:rPr>
          <w:rFonts w:ascii="Calibri" w:hAnsi="Calibri"/>
          <w:color w:val="24313A"/>
        </w:rPr>
        <w:t>Forecast performance remains acceptable, or a credible recovery/rebaseline decision has been approved. If value has disappeared, risk is unacceptable or recovery is not credible, the project must be paused, redirected or terminated.</w:t>
      </w:r>
    </w:p>
    <w:p>
      <w:pPr>
        <w:pStyle w:val="Heading1"/>
        <w:keepNext/>
        <w:pageBreakBefore w:val="0"/>
      </w:pPr>
      <w:r>
        <w:t>9. Stage 6 - Transition, Acceptance and Closure</w:t>
      </w:r>
    </w:p>
    <w:p>
      <w:pPr>
        <w:pStyle w:val="Heading2"/>
        <w:keepNext w:val="0"/>
        <w:pageBreakBefore w:val="0"/>
      </w:pPr>
      <w:r>
        <w:t>9.1 Purpose</w:t>
      </w:r>
    </w:p>
    <w:p>
      <w:pPr>
        <w:spacing w:after="120" w:line="300" w:lineRule="auto"/>
      </w:pPr>
      <w:r>
        <w:rPr>
          <w:i w:val="0"/>
        </w:rPr>
        <w:t>Closure is a controlled transfer of responsibility, not simply the end of team activity. It confirms that deliverables are accepted, operations can support them, obligations are settled, records are preserved and remaining work has an accountable owner.</w:t>
      </w:r>
    </w:p>
    <w:p>
      <w:pPr>
        <w:pStyle w:val="Heading2"/>
        <w:keepNext w:val="0"/>
        <w:pageBreakBefore w:val="0"/>
      </w:pPr>
      <w:r>
        <w:t>9.2 Closure Requirements</w:t>
      </w:r>
    </w:p>
    <w:p>
      <w:pPr>
        <w:numPr>
          <w:ilvl w:val="0"/>
          <w:numId w:val="10"/>
        </w:numPr>
        <w:spacing w:after="80" w:line="300" w:lineRule="auto"/>
      </w:pPr>
      <w:r>
        <w:t>Obtain formal acceptance against approved criteria and record any accepted limitations.</w:t>
      </w:r>
    </w:p>
    <w:p>
      <w:pPr>
        <w:numPr>
          <w:ilvl w:val="0"/>
          <w:numId w:val="10"/>
        </w:numPr>
        <w:spacing w:after="80" w:line="300" w:lineRule="auto"/>
      </w:pPr>
      <w:r>
        <w:t>Complete release, migration, training, support, security, backup, recovery and operational-readiness actions.</w:t>
      </w:r>
    </w:p>
    <w:p>
      <w:pPr>
        <w:numPr>
          <w:ilvl w:val="0"/>
          <w:numId w:val="10"/>
        </w:numPr>
        <w:spacing w:after="80" w:line="300" w:lineRule="auto"/>
      </w:pPr>
      <w:r>
        <w:t>Transfer ownership of products, data, licences, environments, documentation and unresolved actions.</w:t>
      </w:r>
    </w:p>
    <w:p>
      <w:pPr>
        <w:numPr>
          <w:ilvl w:val="0"/>
          <w:numId w:val="10"/>
        </w:numPr>
        <w:spacing w:after="80" w:line="300" w:lineRule="auto"/>
      </w:pPr>
      <w:r>
        <w:t>Close or hand over contracts, invoices, assets, accounts and access rights.</w:t>
      </w:r>
    </w:p>
    <w:p>
      <w:pPr>
        <w:numPr>
          <w:ilvl w:val="0"/>
          <w:numId w:val="10"/>
        </w:numPr>
        <w:spacing w:after="80" w:line="300" w:lineRule="auto"/>
      </w:pPr>
      <w:r>
        <w:t>Reconcile the budget and record final cost, schedule, scope and quality performance.</w:t>
      </w:r>
    </w:p>
    <w:p>
      <w:pPr>
        <w:numPr>
          <w:ilvl w:val="0"/>
          <w:numId w:val="10"/>
        </w:numPr>
        <w:spacing w:after="80" w:line="300" w:lineRule="auto"/>
      </w:pPr>
      <w:r>
        <w:t>Archive current versions, approvals, evidence, decisions, lessons and closure records.</w:t>
      </w:r>
    </w:p>
    <w:p>
      <w:pPr>
        <w:numPr>
          <w:ilvl w:val="0"/>
          <w:numId w:val="10"/>
        </w:numPr>
        <w:spacing w:after="80" w:line="300" w:lineRule="auto"/>
      </w:pPr>
      <w:r>
        <w:t>Release people and resources responsibly and acknowledge contributions.</w:t>
      </w:r>
    </w:p>
    <w:p>
      <w:pPr>
        <w:numPr>
          <w:ilvl w:val="0"/>
          <w:numId w:val="10"/>
        </w:numPr>
        <w:spacing w:after="80" w:line="300" w:lineRule="auto"/>
      </w:pPr>
      <w:r>
        <w:t>Assign benefits measures, owners, review dates and outstanding corrective actions.</w:t>
      </w:r>
    </w:p>
    <w:p>
      <w:pPr>
        <w:pStyle w:val="Heading2"/>
        <w:keepNext w:val="0"/>
        <w:pageBreakBefore w:val="0"/>
      </w:pPr>
      <w:r>
        <w:t>9.3 Gate 6 - Closure Approval</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Exit criteria: </w:t>
      </w:r>
      <w:r>
        <w:rPr>
          <w:rFonts w:ascii="Calibri" w:hAnsi="Calibri"/>
          <w:color w:val="24313A"/>
        </w:rPr>
        <w:t>The authorised client or sponsor has accepted the outcome; operations own it; outstanding actions are assigned; finances and contracts are reconciled; records are archived; and the sponsor approves project closure.</w:t>
      </w:r>
    </w:p>
    <w:p>
      <w:pPr>
        <w:pStyle w:val="Heading2"/>
        <w:keepNext w:val="0"/>
        <w:pageBreakBefore w:val="0"/>
      </w:pPr>
      <w:r>
        <w:t>9.4 Early Termination</w:t>
      </w:r>
    </w:p>
    <w:p>
      <w:pPr>
        <w:spacing w:after="120" w:line="300" w:lineRule="auto"/>
      </w:pPr>
      <w:r>
        <w:rPr>
          <w:i w:val="0"/>
        </w:rPr>
        <w:t>A terminated project still requires controlled closure. The project manager must protect data and assets, stop commitments, settle obligations, preserve useful work, document the decision, capture lessons and transfer any remaining responsibilities.</w:t>
      </w:r>
    </w:p>
    <w:p>
      <w:pPr>
        <w:pStyle w:val="Heading1"/>
        <w:keepNext/>
        <w:pageBreakBefore w:val="0"/>
      </w:pPr>
      <w:r>
        <w:t>10. Stage 7 - Benefits Realisation and Post-Project Review</w:t>
      </w:r>
    </w:p>
    <w:p>
      <w:pPr>
        <w:pStyle w:val="Heading2"/>
        <w:keepNext w:val="0"/>
        <w:pageBreakBefore w:val="0"/>
      </w:pPr>
      <w:r>
        <w:t>10.1 Purpose</w:t>
      </w:r>
    </w:p>
    <w:p>
      <w:pPr>
        <w:spacing w:after="120" w:line="300" w:lineRule="auto"/>
      </w:pPr>
      <w:r>
        <w:rPr>
          <w:i w:val="0"/>
        </w:rPr>
        <w:t>A deliverable can be completed without creating value. Benefits review examines whether the result is being used, whether the intended improvement occurred, what unintended effects appeared and what further action is required.</w:t>
      </w:r>
    </w:p>
    <w:p>
      <w:pPr>
        <w:pStyle w:val="Heading2"/>
        <w:keepNext w:val="0"/>
        <w:pageBreakBefore w:val="0"/>
      </w:pPr>
      <w:r>
        <w:t>10.2 Benefits Plan</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900"/>
        <w:gridCol w:w="7460"/>
      </w:tblGrid>
      <w:tr>
        <w:trPr>
          <w:tblHeader w:val="true"/>
          <w:cantSplit/>
        </w:trPr>
        <w:tc>
          <w:tcPr>
            <w:tcW w:type="dxa" w:w="1900"/>
            <w:tcMar>
              <w:top w:w="100" w:type="dxa"/>
              <w:start w:w="120" w:type="dxa"/>
              <w:bottom w:w="100" w:type="dxa"/>
              <w:end w:w="120" w:type="dxa"/>
            </w:tcMar>
            <w:vAlign w:val="center"/>
            <w:shd w:fill="123A5A"/>
          </w:tcPr>
          <w:p>
            <w:pPr>
              <w:jc w:val="left"/>
            </w:pPr>
            <w:r>
              <w:rPr>
                <w:rFonts w:ascii="Calibri" w:hAnsi="Calibri"/>
                <w:b/>
                <w:color w:val="FFFFFF"/>
                <w:sz w:val="18"/>
              </w:rPr>
              <w:t>Element</w:t>
            </w:r>
          </w:p>
        </w:tc>
        <w:tc>
          <w:tcPr>
            <w:tcW w:type="dxa" w:w="7460"/>
            <w:tcMar>
              <w:top w:w="100" w:type="dxa"/>
              <w:start w:w="120" w:type="dxa"/>
              <w:bottom w:w="100" w:type="dxa"/>
              <w:end w:w="120" w:type="dxa"/>
            </w:tcMar>
            <w:vAlign w:val="center"/>
            <w:shd w:fill="123A5A"/>
          </w:tcPr>
          <w:p>
            <w:pPr>
              <w:jc w:val="left"/>
            </w:pPr>
            <w:r>
              <w:rPr>
                <w:rFonts w:ascii="Calibri" w:hAnsi="Calibri"/>
                <w:b/>
                <w:color w:val="FFFFFF"/>
                <w:sz w:val="18"/>
              </w:rPr>
              <w:t>Required definition</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Benefit</w:t>
            </w:r>
          </w:p>
        </w:tc>
        <w:tc>
          <w:tcPr>
            <w:tcW w:type="dxa" w:w="7460"/>
            <w:tcMar>
              <w:top w:w="100" w:type="dxa"/>
              <w:start w:w="120" w:type="dxa"/>
              <w:bottom w:w="100" w:type="dxa"/>
              <w:end w:w="120" w:type="dxa"/>
            </w:tcMar>
            <w:vAlign w:val="center"/>
          </w:tcPr>
          <w:p>
            <w:pPr>
              <w:spacing w:after="0" w:line="252" w:lineRule="auto"/>
            </w:pPr>
            <w:r>
              <w:rPr>
                <w:rFonts w:ascii="Calibri" w:hAnsi="Calibri"/>
                <w:color w:val="24313A"/>
                <w:sz w:val="17"/>
              </w:rPr>
              <w:t>The measurable improvement expected from the project.</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Baseline</w:t>
            </w:r>
          </w:p>
        </w:tc>
        <w:tc>
          <w:tcPr>
            <w:tcW w:type="dxa" w:w="7460"/>
            <w:shd w:fill="F4F6F8"/>
            <w:tcMar>
              <w:top w:w="100" w:type="dxa"/>
              <w:start w:w="120" w:type="dxa"/>
              <w:bottom w:w="100" w:type="dxa"/>
              <w:end w:w="120" w:type="dxa"/>
            </w:tcMar>
            <w:vAlign w:val="center"/>
          </w:tcPr>
          <w:p>
            <w:pPr>
              <w:spacing w:after="0" w:line="252" w:lineRule="auto"/>
            </w:pPr>
            <w:r>
              <w:rPr>
                <w:rFonts w:ascii="Calibri" w:hAnsi="Calibri"/>
                <w:color w:val="24313A"/>
                <w:sz w:val="17"/>
              </w:rPr>
              <w:t>The situation or performance before implementation.</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Measure</w:t>
            </w:r>
          </w:p>
        </w:tc>
        <w:tc>
          <w:tcPr>
            <w:tcW w:type="dxa" w:w="7460"/>
            <w:tcMar>
              <w:top w:w="100" w:type="dxa"/>
              <w:start w:w="120" w:type="dxa"/>
              <w:bottom w:w="100" w:type="dxa"/>
              <w:end w:w="120" w:type="dxa"/>
            </w:tcMar>
            <w:vAlign w:val="center"/>
          </w:tcPr>
          <w:p>
            <w:pPr>
              <w:spacing w:after="0" w:line="252" w:lineRule="auto"/>
            </w:pPr>
            <w:r>
              <w:rPr>
                <w:rFonts w:ascii="Calibri" w:hAnsi="Calibri"/>
                <w:color w:val="24313A"/>
                <w:sz w:val="17"/>
              </w:rPr>
              <w:t>Indicator, calculation method and data source.</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Target</w:t>
            </w:r>
          </w:p>
        </w:tc>
        <w:tc>
          <w:tcPr>
            <w:tcW w:type="dxa" w:w="7460"/>
            <w:shd w:fill="F4F6F8"/>
            <w:tcMar>
              <w:top w:w="100" w:type="dxa"/>
              <w:start w:w="120" w:type="dxa"/>
              <w:bottom w:w="100" w:type="dxa"/>
              <w:end w:w="120" w:type="dxa"/>
            </w:tcMar>
            <w:vAlign w:val="center"/>
          </w:tcPr>
          <w:p>
            <w:pPr>
              <w:spacing w:after="0" w:line="252" w:lineRule="auto"/>
            </w:pPr>
            <w:r>
              <w:rPr>
                <w:rFonts w:ascii="Calibri" w:hAnsi="Calibri"/>
                <w:color w:val="24313A"/>
                <w:sz w:val="17"/>
              </w:rPr>
              <w:t>Expected amount of improvement and date.</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Owner</w:t>
            </w:r>
          </w:p>
        </w:tc>
        <w:tc>
          <w:tcPr>
            <w:tcW w:type="dxa" w:w="7460"/>
            <w:tcMar>
              <w:top w:w="100" w:type="dxa"/>
              <w:start w:w="120" w:type="dxa"/>
              <w:bottom w:w="100" w:type="dxa"/>
              <w:end w:w="120" w:type="dxa"/>
            </w:tcMar>
            <w:vAlign w:val="center"/>
          </w:tcPr>
          <w:p>
            <w:pPr>
              <w:spacing w:after="0" w:line="252" w:lineRule="auto"/>
            </w:pPr>
            <w:r>
              <w:rPr>
                <w:rFonts w:ascii="Calibri" w:hAnsi="Calibri"/>
                <w:color w:val="24313A"/>
                <w:sz w:val="17"/>
              </w:rPr>
              <w:t>Operational leader accountable after project closure.</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Dependencies</w:t>
            </w:r>
          </w:p>
        </w:tc>
        <w:tc>
          <w:tcPr>
            <w:tcW w:type="dxa" w:w="7460"/>
            <w:shd w:fill="F4F6F8"/>
            <w:tcMar>
              <w:top w:w="100" w:type="dxa"/>
              <w:start w:w="120" w:type="dxa"/>
              <w:bottom w:w="100" w:type="dxa"/>
              <w:end w:w="120" w:type="dxa"/>
            </w:tcMar>
            <w:vAlign w:val="center"/>
          </w:tcPr>
          <w:p>
            <w:pPr>
              <w:spacing w:after="0" w:line="252" w:lineRule="auto"/>
            </w:pPr>
            <w:r>
              <w:rPr>
                <w:rFonts w:ascii="Calibri" w:hAnsi="Calibri"/>
                <w:color w:val="24313A"/>
                <w:sz w:val="17"/>
              </w:rPr>
              <w:t>Conditions outside the project needed to realise value.</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Review dates</w:t>
            </w:r>
          </w:p>
        </w:tc>
        <w:tc>
          <w:tcPr>
            <w:tcW w:type="dxa" w:w="7460"/>
            <w:tcMar>
              <w:top w:w="100" w:type="dxa"/>
              <w:start w:w="120" w:type="dxa"/>
              <w:bottom w:w="100" w:type="dxa"/>
              <w:end w:w="120" w:type="dxa"/>
            </w:tcMar>
            <w:vAlign w:val="center"/>
          </w:tcPr>
          <w:p>
            <w:pPr>
              <w:spacing w:after="0" w:line="252" w:lineRule="auto"/>
            </w:pPr>
            <w:r>
              <w:rPr>
                <w:rFonts w:ascii="Calibri" w:hAnsi="Calibri"/>
                <w:color w:val="24313A"/>
                <w:sz w:val="17"/>
              </w:rPr>
              <w:t>When early, intermediate and final results will be checked.</w:t>
            </w:r>
          </w:p>
        </w:tc>
      </w:tr>
    </w:tbl>
    <w:p>
      <w:pPr>
        <w:spacing w:after="40"/>
      </w:pPr>
    </w:p>
    <w:p>
      <w:pPr>
        <w:pStyle w:val="Heading2"/>
        <w:keepNext w:val="0"/>
        <w:pageBreakBefore w:val="0"/>
      </w:pPr>
      <w:r>
        <w:t>10.3 Default Timing, Funding and Enforcement</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200"/>
        <w:gridCol w:w="4300"/>
        <w:gridCol w:w="3860"/>
      </w:tblGrid>
      <w:tr>
        <w:trPr>
          <w:tblHeader w:val="true"/>
          <w:cantSplit/>
        </w:trPr>
        <w:tc>
          <w:tcPr>
            <w:tcW w:type="dxa" w:w="1200"/>
            <w:tcMar>
              <w:top w:w="100" w:type="dxa"/>
              <w:start w:w="120" w:type="dxa"/>
              <w:bottom w:w="100" w:type="dxa"/>
              <w:end w:w="120" w:type="dxa"/>
            </w:tcMar>
            <w:vAlign w:val="center"/>
            <w:shd w:fill="123A5A"/>
          </w:tcPr>
          <w:p>
            <w:pPr>
              <w:jc w:val="left"/>
            </w:pPr>
            <w:r>
              <w:rPr>
                <w:rFonts w:ascii="Calibri" w:hAnsi="Calibri"/>
                <w:b/>
                <w:color w:val="FFFFFF"/>
                <w:sz w:val="18"/>
              </w:rPr>
              <w:t>Class</w:t>
            </w:r>
          </w:p>
        </w:tc>
        <w:tc>
          <w:tcPr>
            <w:tcW w:type="dxa" w:w="4300"/>
            <w:tcMar>
              <w:top w:w="100" w:type="dxa"/>
              <w:start w:w="120" w:type="dxa"/>
              <w:bottom w:w="100" w:type="dxa"/>
              <w:end w:w="120" w:type="dxa"/>
            </w:tcMar>
            <w:vAlign w:val="center"/>
            <w:shd w:fill="123A5A"/>
          </w:tcPr>
          <w:p>
            <w:pPr>
              <w:jc w:val="left"/>
            </w:pPr>
            <w:r>
              <w:rPr>
                <w:rFonts w:ascii="Calibri" w:hAnsi="Calibri"/>
                <w:b/>
                <w:color w:val="FFFFFF"/>
                <w:sz w:val="18"/>
              </w:rPr>
              <w:t>Default Gate 7 due date</w:t>
            </w:r>
          </w:p>
        </w:tc>
        <w:tc>
          <w:tcPr>
            <w:tcW w:type="dxa" w:w="3860"/>
            <w:tcMar>
              <w:top w:w="100" w:type="dxa"/>
              <w:start w:w="120" w:type="dxa"/>
              <w:bottom w:w="100" w:type="dxa"/>
              <w:end w:w="120" w:type="dxa"/>
            </w:tcMar>
            <w:vAlign w:val="center"/>
            <w:shd w:fill="123A5A"/>
          </w:tcPr>
          <w:p>
            <w:pPr>
              <w:jc w:val="left"/>
            </w:pPr>
            <w:r>
              <w:rPr>
                <w:rFonts w:ascii="Calibri" w:hAnsi="Calibri"/>
                <w:b/>
                <w:color w:val="FFFFFF"/>
                <w:sz w:val="18"/>
              </w:rPr>
              <w:t>Minimum protected review effort</w:t>
            </w:r>
          </w:p>
        </w:tc>
      </w:tr>
      <w:tr>
        <w:trPr>
          <w:cantSplit/>
        </w:trPr>
        <w:tc>
          <w:tcPr>
            <w:tcW w:type="dxa" w:w="1200"/>
            <w:tcMar>
              <w:top w:w="100" w:type="dxa"/>
              <w:start w:w="120" w:type="dxa"/>
              <w:bottom w:w="100" w:type="dxa"/>
              <w:end w:w="120" w:type="dxa"/>
            </w:tcMar>
            <w:vAlign w:val="center"/>
          </w:tcPr>
          <w:p>
            <w:pPr>
              <w:spacing w:after="0" w:line="252" w:lineRule="auto"/>
            </w:pPr>
            <w:r>
              <w:rPr>
                <w:rFonts w:ascii="Calibri" w:hAnsi="Calibri"/>
                <w:color w:val="24313A"/>
                <w:sz w:val="17"/>
              </w:rPr>
              <w:t>Class A</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Interim review at 3 months and formal Gate 7 at 6 months after Gate 6; a 12-month review is added where the benefit horizon requires it.</w:t>
            </w:r>
          </w:p>
        </w:tc>
        <w:tc>
          <w:tcPr>
            <w:tcW w:type="dxa" w:w="3860"/>
            <w:tcMar>
              <w:top w:w="100" w:type="dxa"/>
              <w:start w:w="120" w:type="dxa"/>
              <w:bottom w:w="100" w:type="dxa"/>
              <w:end w:w="120" w:type="dxa"/>
            </w:tcMar>
            <w:vAlign w:val="center"/>
          </w:tcPr>
          <w:p>
            <w:pPr>
              <w:spacing w:after="0" w:line="252" w:lineRule="auto"/>
            </w:pPr>
            <w:r>
              <w:rPr>
                <w:rFonts w:ascii="Calibri" w:hAnsi="Calibri"/>
                <w:color w:val="24313A"/>
                <w:sz w:val="17"/>
              </w:rPr>
              <w:t>Two person-days plus necessary measurement cost, included in the Gate 3 budget and not released at Gate 6.</w:t>
            </w:r>
          </w:p>
        </w:tc>
      </w:tr>
      <w:tr>
        <w:trPr>
          <w:cantSplit/>
        </w:trPr>
        <w:tc>
          <w:tcPr>
            <w:tcW w:type="dxa" w:w="1200"/>
            <w:shd w:fill="F4F6F8"/>
            <w:tcMar>
              <w:top w:w="100" w:type="dxa"/>
              <w:start w:w="120" w:type="dxa"/>
              <w:bottom w:w="100" w:type="dxa"/>
              <w:end w:w="120" w:type="dxa"/>
            </w:tcMar>
            <w:vAlign w:val="center"/>
          </w:tcPr>
          <w:p>
            <w:pPr>
              <w:spacing w:after="0" w:line="252" w:lineRule="auto"/>
            </w:pPr>
            <w:r>
              <w:rPr>
                <w:rFonts w:ascii="Calibri" w:hAnsi="Calibri"/>
                <w:color w:val="24313A"/>
                <w:sz w:val="17"/>
              </w:rPr>
              <w:t>Class B</w:t>
            </w:r>
          </w:p>
        </w:tc>
        <w:tc>
          <w:tcPr>
            <w:tcW w:type="dxa" w:w="4300"/>
            <w:shd w:fill="F4F6F8"/>
            <w:tcMar>
              <w:top w:w="100" w:type="dxa"/>
              <w:start w:w="120" w:type="dxa"/>
              <w:bottom w:w="100" w:type="dxa"/>
              <w:end w:w="120" w:type="dxa"/>
            </w:tcMar>
            <w:vAlign w:val="center"/>
          </w:tcPr>
          <w:p>
            <w:pPr>
              <w:spacing w:after="0" w:line="252" w:lineRule="auto"/>
            </w:pPr>
            <w:r>
              <w:rPr>
                <w:rFonts w:ascii="Calibri" w:hAnsi="Calibri"/>
                <w:color w:val="24313A"/>
                <w:sz w:val="17"/>
              </w:rPr>
              <w:t>Formal Gate 7 at 6 months after Gate 6 unless the approved benefits plan sets an earlier date.</w:t>
            </w:r>
          </w:p>
        </w:tc>
        <w:tc>
          <w:tcPr>
            <w:tcW w:type="dxa" w:w="3860"/>
            <w:shd w:fill="F4F6F8"/>
            <w:tcMar>
              <w:top w:w="100" w:type="dxa"/>
              <w:start w:w="120" w:type="dxa"/>
              <w:bottom w:w="100" w:type="dxa"/>
              <w:end w:w="120" w:type="dxa"/>
            </w:tcMar>
            <w:vAlign w:val="center"/>
          </w:tcPr>
          <w:p>
            <w:pPr>
              <w:spacing w:after="0" w:line="252" w:lineRule="auto"/>
            </w:pPr>
            <w:r>
              <w:rPr>
                <w:rFonts w:ascii="Calibri" w:hAnsi="Calibri"/>
                <w:color w:val="24313A"/>
                <w:sz w:val="17"/>
              </w:rPr>
              <w:t>One person-day plus necessary measurement cost, included in the Gate 3 budget.</w:t>
            </w:r>
          </w:p>
        </w:tc>
      </w:tr>
      <w:tr>
        <w:trPr>
          <w:cantSplit/>
        </w:trPr>
        <w:tc>
          <w:tcPr>
            <w:tcW w:type="dxa" w:w="1200"/>
            <w:tcMar>
              <w:top w:w="100" w:type="dxa"/>
              <w:start w:w="120" w:type="dxa"/>
              <w:bottom w:w="100" w:type="dxa"/>
              <w:end w:w="120" w:type="dxa"/>
            </w:tcMar>
            <w:vAlign w:val="center"/>
          </w:tcPr>
          <w:p>
            <w:pPr>
              <w:spacing w:after="0" w:line="252" w:lineRule="auto"/>
            </w:pPr>
            <w:r>
              <w:rPr>
                <w:rFonts w:ascii="Calibri" w:hAnsi="Calibri"/>
                <w:color w:val="24313A"/>
                <w:sz w:val="17"/>
              </w:rPr>
              <w:t>Class C</w:t>
            </w:r>
          </w:p>
        </w:tc>
        <w:tc>
          <w:tcPr>
            <w:tcW w:type="dxa" w:w="4300"/>
            <w:tcMar>
              <w:top w:w="100" w:type="dxa"/>
              <w:start w:w="120" w:type="dxa"/>
              <w:bottom w:w="100" w:type="dxa"/>
              <w:end w:w="120" w:type="dxa"/>
            </w:tcMar>
            <w:vAlign w:val="center"/>
          </w:tcPr>
          <w:p>
            <w:pPr>
              <w:spacing w:after="0" w:line="252" w:lineRule="auto"/>
            </w:pPr>
            <w:r>
              <w:rPr>
                <w:rFonts w:ascii="Calibri" w:hAnsi="Calibri"/>
                <w:color w:val="24313A"/>
                <w:sz w:val="17"/>
              </w:rPr>
              <w:t>At 90 days after Gate 6, or at Gate 6 when all benefits are immediately measurable and the Sponsor records the evidence.</w:t>
            </w:r>
          </w:p>
        </w:tc>
        <w:tc>
          <w:tcPr>
            <w:tcW w:type="dxa" w:w="3860"/>
            <w:tcMar>
              <w:top w:w="100" w:type="dxa"/>
              <w:start w:w="120" w:type="dxa"/>
              <w:bottom w:w="100" w:type="dxa"/>
              <w:end w:w="120" w:type="dxa"/>
            </w:tcMar>
            <w:vAlign w:val="center"/>
          </w:tcPr>
          <w:p>
            <w:pPr>
              <w:spacing w:after="0" w:line="252" w:lineRule="auto"/>
            </w:pPr>
            <w:r>
              <w:rPr>
                <w:rFonts w:ascii="Calibri" w:hAnsi="Calibri"/>
                <w:color w:val="24313A"/>
                <w:sz w:val="17"/>
              </w:rPr>
              <w:t>At least one-half person-day or equivalent documented effort.</w:t>
            </w:r>
          </w:p>
        </w:tc>
      </w:tr>
    </w:tbl>
    <w:p>
      <w:pPr>
        <w:spacing w:after="40"/>
      </w:pPr>
    </w:p>
    <w:p>
      <w:pPr>
        <w:spacing w:after="120" w:line="300" w:lineRule="auto"/>
      </w:pPr>
      <w:r>
        <w:rPr>
          <w:i w:val="0"/>
        </w:rPr>
        <w:t>After Gate 6, the project register status becomes "Operational - Benefits Pending" rather than fully closed. The Service / Operations Owner becomes responsible for evidence and the Sponsor remains accountable for Gate 7. The record changes to "Closed - Benefits Reviewed" only when the Gate 7 decision is recorded. The Framework Owner reviews the register monthly and reports overdue Gate 7 reviews to the Project Authority each quarter. An overdue review is a governance non-conformance and requires a dated corrective action.</w:t>
      </w:r>
    </w:p>
    <w:p>
      <w:pPr>
        <w:pStyle w:val="Heading2"/>
        <w:keepNext w:val="0"/>
        <w:pageBreakBefore w:val="0"/>
      </w:pPr>
      <w:r>
        <w:t>10.4 Review Questions</w:t>
      </w:r>
    </w:p>
    <w:p>
      <w:pPr>
        <w:numPr>
          <w:ilvl w:val="0"/>
          <w:numId w:val="10"/>
        </w:numPr>
        <w:spacing w:after="80" w:line="300" w:lineRule="auto"/>
      </w:pPr>
      <w:r>
        <w:t>Is the delivered product or capability being used as intended?</w:t>
      </w:r>
    </w:p>
    <w:p>
      <w:pPr>
        <w:numPr>
          <w:ilvl w:val="0"/>
          <w:numId w:val="10"/>
        </w:numPr>
        <w:spacing w:after="80" w:line="300" w:lineRule="auto"/>
      </w:pPr>
      <w:r>
        <w:t>Did service, revenue, efficiency, learning, quality, safety or client outcomes improve?</w:t>
      </w:r>
    </w:p>
    <w:p>
      <w:pPr>
        <w:numPr>
          <w:ilvl w:val="0"/>
          <w:numId w:val="10"/>
        </w:numPr>
        <w:spacing w:after="80" w:line="300" w:lineRule="auto"/>
      </w:pPr>
      <w:r>
        <w:t>Were costs, delays, negative impacts or risks transferred elsewhere?</w:t>
      </w:r>
    </w:p>
    <w:p>
      <w:pPr>
        <w:numPr>
          <w:ilvl w:val="0"/>
          <w:numId w:val="10"/>
        </w:numPr>
        <w:spacing w:after="80" w:line="300" w:lineRule="auto"/>
      </w:pPr>
      <w:r>
        <w:t>Which assumptions were correct or incorrect?</w:t>
      </w:r>
    </w:p>
    <w:p>
      <w:pPr>
        <w:numPr>
          <w:ilvl w:val="0"/>
          <w:numId w:val="10"/>
        </w:numPr>
        <w:spacing w:after="80" w:line="300" w:lineRule="auto"/>
      </w:pPr>
      <w:r>
        <w:t>What corrective actions, follow-on investment or retirement decisions are needed?</w:t>
      </w:r>
    </w:p>
    <w:p>
      <w:pPr>
        <w:numPr>
          <w:ilvl w:val="0"/>
          <w:numId w:val="10"/>
        </w:numPr>
        <w:spacing w:after="80" w:line="300" w:lineRule="auto"/>
      </w:pPr>
      <w:r>
        <w:t>Which lessons should become institutional standards or training content?</w:t>
      </w:r>
    </w:p>
    <w:p>
      <w:pPr>
        <w:pStyle w:val="Heading2"/>
        <w:keepNext w:val="0"/>
        <w:pageBreakBefore w:val="0"/>
      </w:pPr>
      <w:r>
        <w:t>10.5 Gate 7 - Benefits Confirmation</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Exit criteria: </w:t>
      </w:r>
      <w:r>
        <w:rPr>
          <w:rFonts w:ascii="Calibri" w:hAnsi="Calibri"/>
          <w:color w:val="24313A"/>
        </w:rPr>
        <w:t>Benefits evidence is reviewed, remaining actions have owners, important lessons are incorporated into institutional practice and leadership decides whether to sustain, improve, expand, replace or retire the outcome.</w:t>
      </w:r>
    </w:p>
    <w:p>
      <w:pPr>
        <w:pStyle w:val="Heading1"/>
        <w:keepNext/>
        <w:pageBreakBefore w:val="0"/>
      </w:pPr>
      <w:r>
        <w:t>11. Core Project Management Disciplines</w:t>
      </w:r>
    </w:p>
    <w:p>
      <w:pPr>
        <w:pStyle w:val="Heading2"/>
        <w:keepNext w:val="0"/>
        <w:pageBreakBefore w:val="0"/>
      </w:pPr>
      <w:r>
        <w:t>11.1 Integration Management</w:t>
      </w:r>
    </w:p>
    <w:p>
      <w:pPr>
        <w:spacing w:after="120" w:line="300" w:lineRule="auto"/>
      </w:pPr>
      <w:r>
        <w:rPr>
          <w:i w:val="0"/>
        </w:rPr>
        <w:t>Maintain one coherent project view. Decisions in scope, schedule, cost, quality, resources, risk and change must be assessed together. The project manager owns the integrated plan and ensures that approved changes update every affected baseline and record.</w:t>
      </w:r>
    </w:p>
    <w:p>
      <w:pPr>
        <w:pStyle w:val="Heading2"/>
        <w:keepNext w:val="0"/>
        <w:pageBreakBefore w:val="0"/>
      </w:pPr>
      <w:r>
        <w:t>11.2 Scope and Requirements Management</w:t>
      </w:r>
    </w:p>
    <w:p>
      <w:pPr>
        <w:spacing w:after="120" w:line="300" w:lineRule="auto"/>
      </w:pPr>
      <w:r>
        <w:rPr>
          <w:i w:val="0"/>
        </w:rPr>
        <w:t>Define what is included, excluded and required. Requirements should be clear, testable, traceable, prioritised and approved. Deliverables must map to acceptance criteria, and unapproved additions must not quietly enter the work.</w:t>
      </w:r>
    </w:p>
    <w:p>
      <w:pPr>
        <w:pStyle w:val="Heading2"/>
        <w:keepNext w:val="0"/>
        <w:pageBreakBefore w:val="0"/>
      </w:pPr>
      <w:r>
        <w:t>11.3 Schedule Management</w:t>
      </w:r>
    </w:p>
    <w:p>
      <w:pPr>
        <w:spacing w:after="120" w:line="300" w:lineRule="auto"/>
      </w:pPr>
      <w:r>
        <w:rPr>
          <w:i w:val="0"/>
        </w:rPr>
        <w:t>Break work into estimable activities, identify dependencies, assign realistic durations and resources, establish milestones and protect contingency. Report forecasts, not only past completion. Critical delays require recovery decisions and updated impact analysis.</w:t>
      </w:r>
    </w:p>
    <w:p>
      <w:pPr>
        <w:pStyle w:val="Heading2"/>
        <w:keepNext w:val="0"/>
        <w:pageBreakBefore w:val="0"/>
      </w:pPr>
      <w:r>
        <w:t>11.4 Cost and Resource Management</w:t>
      </w:r>
    </w:p>
    <w:p>
      <w:pPr>
        <w:spacing w:after="120" w:line="300" w:lineRule="auto"/>
      </w:pPr>
      <w:r>
        <w:rPr>
          <w:i w:val="0"/>
        </w:rPr>
        <w:t>Estimate total ownership cost, not only purchase or development cost. Control labour, procurement, infrastructure, subscriptions, travel, support and reserves. Commitments and forecasts must be visible before funds are exhausted.</w:t>
      </w:r>
    </w:p>
    <w:p>
      <w:pPr>
        <w:pStyle w:val="Heading2"/>
        <w:keepNext w:val="0"/>
        <w:pageBreakBefore w:val="0"/>
      </w:pPr>
      <w:r>
        <w:t>11.5 Quality Management</w:t>
      </w:r>
    </w:p>
    <w:p>
      <w:pPr>
        <w:spacing w:after="120" w:line="300" w:lineRule="auto"/>
      </w:pPr>
      <w:r>
        <w:rPr>
          <w:i w:val="0"/>
        </w:rPr>
        <w:t>Define standards and acceptance evidence before execution. Apply prevention, peer review, testing, inspection, audit and user validation. A completed activity is not a quality result until evidence demonstrates conformity.</w:t>
      </w:r>
    </w:p>
    <w:p>
      <w:pPr>
        <w:pStyle w:val="Heading2"/>
        <w:keepNext/>
        <w:pageBreakBefore w:val="0"/>
      </w:pPr>
      <w:r>
        <w:t>11.6 Risk and Issue Management</w:t>
      </w:r>
    </w:p>
    <w:p>
      <w:pPr>
        <w:spacing w:after="120" w:line="300" w:lineRule="auto"/>
      </w:pPr>
      <w:r>
        <w:rPr>
          <w:i w:val="0"/>
        </w:rPr>
        <w:t>Risk concerns an uncertain future event; an issue has already occurred. Both require owners, consequences, actions and dates. Critical exposures are escalated promptly. Risk reserves and contingency actions must be realistic and authorised.</w:t>
      </w:r>
    </w:p>
    <w:p>
      <w:pPr>
        <w:pStyle w:val="Heading2"/>
        <w:keepNext/>
        <w:pageBreakBefore w:val="0"/>
      </w:pPr>
      <w:r>
        <w:t>11.7 Stakeholder and Communication Management</w:t>
      </w:r>
    </w:p>
    <w:p>
      <w:pPr>
        <w:spacing w:after="120" w:line="300" w:lineRule="auto"/>
      </w:pPr>
      <w:r>
        <w:rPr>
          <w:i w:val="0"/>
        </w:rPr>
        <w:t>Identify those who influence, use, fund, support or are affected by the project. Plan what each group needs to know, decide or contribute. Communication must be timely, truthful, accessible and appropriate to confidentiality.</w:t>
      </w:r>
    </w:p>
    <w:p>
      <w:pPr>
        <w:pStyle w:val="Heading2"/>
        <w:keepNext w:val="0"/>
        <w:pageBreakBefore w:val="0"/>
      </w:pPr>
      <w:r>
        <w:t>11.8 Procurement and Supplier Management</w:t>
      </w:r>
    </w:p>
    <w:p>
      <w:pPr>
        <w:spacing w:after="120" w:line="300" w:lineRule="auto"/>
      </w:pPr>
      <w:r>
        <w:rPr>
          <w:i w:val="0"/>
        </w:rPr>
        <w:t>Define requirements and evaluation criteria before selection. Conduct proportionate due diligence, clarify intellectual property, confidentiality, data handling, service levels, acceptance, payment, exit and continuity obligations.</w:t>
      </w:r>
    </w:p>
    <w:p>
      <w:pPr>
        <w:pStyle w:val="Heading2"/>
        <w:keepNext w:val="0"/>
        <w:pageBreakBefore w:val="0"/>
      </w:pPr>
      <w:r>
        <w:t>11.9 Security, Privacy and Responsible Technology</w:t>
      </w:r>
    </w:p>
    <w:p>
      <w:pPr>
        <w:spacing w:after="120" w:line="300" w:lineRule="auto"/>
      </w:pPr>
      <w:r>
        <w:rPr>
          <w:i w:val="0"/>
        </w:rPr>
        <w:t>Classify information, restrict access, protect credentials, assess threats, minimise data, maintain backups and verify secure release. High-risk automation or AI requires explicit human oversight, evaluation, monitoring and approved use boundaries.</w:t>
      </w:r>
    </w:p>
    <w:p>
      <w:pPr>
        <w:pStyle w:val="Heading2"/>
        <w:keepNext w:val="0"/>
        <w:pageBreakBefore w:val="0"/>
      </w:pPr>
      <w:r>
        <w:t>11.10 Configuration and Records Management</w:t>
      </w:r>
    </w:p>
    <w:p>
      <w:pPr>
        <w:spacing w:after="120" w:line="300" w:lineRule="auto"/>
      </w:pPr>
      <w:r>
        <w:rPr>
          <w:i w:val="0"/>
        </w:rPr>
        <w:t>Control document, code, design, data and release versions. Preserve decision and approval history, define naming and access rules, and ensure the team can identify the authoritative current version.</w:t>
      </w:r>
    </w:p>
    <w:p>
      <w:pPr>
        <w:pStyle w:val="Heading1"/>
        <w:keepNext/>
        <w:pageBreakBefore w:val="0"/>
      </w:pPr>
      <w:r>
        <w:t>12. Risk, Issue and Escalation Framework</w:t>
      </w:r>
    </w:p>
    <w:p>
      <w:pPr>
        <w:pStyle w:val="Heading2"/>
        <w:keepNext w:val="0"/>
        <w:pageBreakBefore w:val="0"/>
      </w:pPr>
      <w:r>
        <w:t>12.1 Risk Assessment</w:t>
      </w:r>
    </w:p>
    <w:p>
      <w:pPr>
        <w:spacing w:after="120" w:line="300" w:lineRule="auto"/>
      </w:pPr>
      <w:r>
        <w:rPr>
          <w:i w:val="0"/>
        </w:rPr>
        <w:t>Each material risk should state the cause, uncertain event and consequence. Assess likelihood and impact using an agreed scale, identify existing controls, estimate residual exposure and assign a response owner. Responses may avoid, reduce, transfer, share or accept the exposure.</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600"/>
        <w:gridCol w:w="3900"/>
        <w:gridCol w:w="3860"/>
      </w:tblGrid>
      <w:tr>
        <w:trPr>
          <w:tblHeader w:val="true"/>
          <w:cantSplit/>
        </w:trPr>
        <w:tc>
          <w:tcPr>
            <w:tcW w:type="dxa" w:w="1600"/>
            <w:tcMar>
              <w:top w:w="100" w:type="dxa"/>
              <w:start w:w="120" w:type="dxa"/>
              <w:bottom w:w="100" w:type="dxa"/>
              <w:end w:w="120" w:type="dxa"/>
            </w:tcMar>
            <w:vAlign w:val="center"/>
            <w:shd w:fill="123A5A"/>
          </w:tcPr>
          <w:p>
            <w:pPr>
              <w:jc w:val="left"/>
            </w:pPr>
            <w:r>
              <w:rPr>
                <w:rFonts w:ascii="Calibri" w:hAnsi="Calibri"/>
                <w:b/>
                <w:color w:val="FFFFFF"/>
                <w:sz w:val="18"/>
              </w:rPr>
              <w:t>Rating</w:t>
            </w:r>
          </w:p>
        </w:tc>
        <w:tc>
          <w:tcPr>
            <w:tcW w:type="dxa" w:w="3900"/>
            <w:tcMar>
              <w:top w:w="100" w:type="dxa"/>
              <w:start w:w="120" w:type="dxa"/>
              <w:bottom w:w="100" w:type="dxa"/>
              <w:end w:w="120" w:type="dxa"/>
            </w:tcMar>
            <w:vAlign w:val="center"/>
            <w:shd w:fill="123A5A"/>
          </w:tcPr>
          <w:p>
            <w:pPr>
              <w:jc w:val="left"/>
            </w:pPr>
            <w:r>
              <w:rPr>
                <w:rFonts w:ascii="Calibri" w:hAnsi="Calibri"/>
                <w:b/>
                <w:color w:val="FFFFFF"/>
                <w:sz w:val="18"/>
              </w:rPr>
              <w:t>Meaning</w:t>
            </w:r>
          </w:p>
        </w:tc>
        <w:tc>
          <w:tcPr>
            <w:tcW w:type="dxa" w:w="3860"/>
            <w:tcMar>
              <w:top w:w="100" w:type="dxa"/>
              <w:start w:w="120" w:type="dxa"/>
              <w:bottom w:w="100" w:type="dxa"/>
              <w:end w:w="120" w:type="dxa"/>
            </w:tcMar>
            <w:vAlign w:val="center"/>
            <w:shd w:fill="123A5A"/>
          </w:tcPr>
          <w:p>
            <w:pPr>
              <w:jc w:val="left"/>
            </w:pPr>
            <w:r>
              <w:rPr>
                <w:rFonts w:ascii="Calibri" w:hAnsi="Calibri"/>
                <w:b/>
                <w:color w:val="FFFFFF"/>
                <w:sz w:val="18"/>
              </w:rPr>
              <w:t>Required response</w:t>
            </w:r>
          </w:p>
        </w:tc>
      </w:tr>
      <w:tr>
        <w:trPr>
          <w:cantSplit/>
        </w:trPr>
        <w:tc>
          <w:tcPr>
            <w:tcW w:type="dxa" w:w="1600"/>
            <w:tcMar>
              <w:top w:w="100" w:type="dxa"/>
              <w:start w:w="120" w:type="dxa"/>
              <w:bottom w:w="100" w:type="dxa"/>
              <w:end w:w="120" w:type="dxa"/>
            </w:tcMar>
            <w:vAlign w:val="center"/>
          </w:tcPr>
          <w:p>
            <w:pPr>
              <w:spacing w:after="0" w:line="252" w:lineRule="auto"/>
            </w:pPr>
            <w:r>
              <w:rPr>
                <w:rFonts w:ascii="Calibri" w:hAnsi="Calibri"/>
                <w:color w:val="24313A"/>
                <w:sz w:val="17"/>
              </w:rPr>
              <w:t>Low</w:t>
            </w:r>
          </w:p>
        </w:tc>
        <w:tc>
          <w:tcPr>
            <w:tcW w:type="dxa" w:w="3900"/>
            <w:tcMar>
              <w:top w:w="100" w:type="dxa"/>
              <w:start w:w="120" w:type="dxa"/>
              <w:bottom w:w="100" w:type="dxa"/>
              <w:end w:w="120" w:type="dxa"/>
            </w:tcMar>
            <w:vAlign w:val="center"/>
          </w:tcPr>
          <w:p>
            <w:pPr>
              <w:spacing w:after="0" w:line="252" w:lineRule="auto"/>
            </w:pPr>
            <w:r>
              <w:rPr>
                <w:rFonts w:ascii="Calibri" w:hAnsi="Calibri"/>
                <w:color w:val="24313A"/>
                <w:sz w:val="17"/>
              </w:rPr>
              <w:t>Limited effect; manageable within routine work.</w:t>
            </w:r>
          </w:p>
        </w:tc>
        <w:tc>
          <w:tcPr>
            <w:tcW w:type="dxa" w:w="3860"/>
            <w:tcMar>
              <w:top w:w="100" w:type="dxa"/>
              <w:start w:w="120" w:type="dxa"/>
              <w:bottom w:w="100" w:type="dxa"/>
              <w:end w:w="120" w:type="dxa"/>
            </w:tcMar>
            <w:vAlign w:val="center"/>
          </w:tcPr>
          <w:p>
            <w:pPr>
              <w:spacing w:after="0" w:line="252" w:lineRule="auto"/>
            </w:pPr>
            <w:r>
              <w:rPr>
                <w:rFonts w:ascii="Calibri" w:hAnsi="Calibri"/>
                <w:color w:val="24313A"/>
                <w:sz w:val="17"/>
              </w:rPr>
              <w:t>Monitor and manage by the assigned owner.</w:t>
            </w:r>
          </w:p>
        </w:tc>
      </w:tr>
      <w:tr>
        <w:trPr>
          <w:cantSplit/>
        </w:trPr>
        <w:tc>
          <w:tcPr>
            <w:tcW w:type="dxa" w:w="1600"/>
            <w:shd w:fill="F4F6F8"/>
            <w:tcMar>
              <w:top w:w="100" w:type="dxa"/>
              <w:start w:w="120" w:type="dxa"/>
              <w:bottom w:w="100" w:type="dxa"/>
              <w:end w:w="120" w:type="dxa"/>
            </w:tcMar>
            <w:vAlign w:val="center"/>
          </w:tcPr>
          <w:p>
            <w:pPr>
              <w:spacing w:after="0" w:line="252" w:lineRule="auto"/>
            </w:pPr>
            <w:r>
              <w:rPr>
                <w:rFonts w:ascii="Calibri" w:hAnsi="Calibri"/>
                <w:color w:val="24313A"/>
                <w:sz w:val="17"/>
              </w:rPr>
              <w:t>Moderate</w:t>
            </w:r>
          </w:p>
        </w:tc>
        <w:tc>
          <w:tcPr>
            <w:tcW w:type="dxa" w:w="3900"/>
            <w:shd w:fill="F4F6F8"/>
            <w:tcMar>
              <w:top w:w="100" w:type="dxa"/>
              <w:start w:w="120" w:type="dxa"/>
              <w:bottom w:w="100" w:type="dxa"/>
              <w:end w:w="120" w:type="dxa"/>
            </w:tcMar>
            <w:vAlign w:val="center"/>
          </w:tcPr>
          <w:p>
            <w:pPr>
              <w:spacing w:after="0" w:line="252" w:lineRule="auto"/>
            </w:pPr>
            <w:r>
              <w:rPr>
                <w:rFonts w:ascii="Calibri" w:hAnsi="Calibri"/>
                <w:color w:val="24313A"/>
                <w:sz w:val="17"/>
              </w:rPr>
              <w:t>Noticeable effect on one or more objectives.</w:t>
            </w:r>
          </w:p>
        </w:tc>
        <w:tc>
          <w:tcPr>
            <w:tcW w:type="dxa" w:w="3860"/>
            <w:shd w:fill="F4F6F8"/>
            <w:tcMar>
              <w:top w:w="100" w:type="dxa"/>
              <w:start w:w="120" w:type="dxa"/>
              <w:bottom w:w="100" w:type="dxa"/>
              <w:end w:w="120" w:type="dxa"/>
            </w:tcMar>
            <w:vAlign w:val="center"/>
          </w:tcPr>
          <w:p>
            <w:pPr>
              <w:spacing w:after="0" w:line="252" w:lineRule="auto"/>
            </w:pPr>
            <w:r>
              <w:rPr>
                <w:rFonts w:ascii="Calibri" w:hAnsi="Calibri"/>
                <w:color w:val="24313A"/>
                <w:sz w:val="17"/>
              </w:rPr>
              <w:t>Plan response, review regularly and report trend.</w:t>
            </w:r>
          </w:p>
        </w:tc>
      </w:tr>
      <w:tr>
        <w:trPr>
          <w:cantSplit/>
        </w:trPr>
        <w:tc>
          <w:tcPr>
            <w:tcW w:type="dxa" w:w="1600"/>
            <w:tcMar>
              <w:top w:w="100" w:type="dxa"/>
              <w:start w:w="120" w:type="dxa"/>
              <w:bottom w:w="100" w:type="dxa"/>
              <w:end w:w="120" w:type="dxa"/>
            </w:tcMar>
            <w:vAlign w:val="center"/>
          </w:tcPr>
          <w:p>
            <w:pPr>
              <w:spacing w:after="0" w:line="252" w:lineRule="auto"/>
            </w:pPr>
            <w:r>
              <w:rPr>
                <w:rFonts w:ascii="Calibri" w:hAnsi="Calibri"/>
                <w:color w:val="24313A"/>
                <w:sz w:val="17"/>
              </w:rPr>
              <w:t>High</w:t>
            </w:r>
          </w:p>
        </w:tc>
        <w:tc>
          <w:tcPr>
            <w:tcW w:type="dxa" w:w="3900"/>
            <w:tcMar>
              <w:top w:w="100" w:type="dxa"/>
              <w:start w:w="120" w:type="dxa"/>
              <w:bottom w:w="100" w:type="dxa"/>
              <w:end w:w="120" w:type="dxa"/>
            </w:tcMar>
            <w:vAlign w:val="center"/>
          </w:tcPr>
          <w:p>
            <w:pPr>
              <w:spacing w:after="0" w:line="252" w:lineRule="auto"/>
            </w:pPr>
            <w:r>
              <w:rPr>
                <w:rFonts w:ascii="Calibri" w:hAnsi="Calibri"/>
                <w:color w:val="24313A"/>
                <w:sz w:val="17"/>
              </w:rPr>
              <w:t>Serious effect, tolerance breach likely or major dependency.</w:t>
            </w:r>
          </w:p>
        </w:tc>
        <w:tc>
          <w:tcPr>
            <w:tcW w:type="dxa" w:w="3860"/>
            <w:tcMar>
              <w:top w:w="100" w:type="dxa"/>
              <w:start w:w="120" w:type="dxa"/>
              <w:bottom w:w="100" w:type="dxa"/>
              <w:end w:w="120" w:type="dxa"/>
            </w:tcMar>
            <w:vAlign w:val="center"/>
          </w:tcPr>
          <w:p>
            <w:pPr>
              <w:spacing w:after="0" w:line="252" w:lineRule="auto"/>
            </w:pPr>
            <w:r>
              <w:rPr>
                <w:rFonts w:ascii="Calibri" w:hAnsi="Calibri"/>
                <w:color w:val="24313A"/>
                <w:sz w:val="17"/>
              </w:rPr>
              <w:t>Sponsor attention, funded response and close monitoring.</w:t>
            </w:r>
          </w:p>
        </w:tc>
      </w:tr>
      <w:tr>
        <w:trPr>
          <w:cantSplit/>
        </w:trPr>
        <w:tc>
          <w:tcPr>
            <w:tcW w:type="dxa" w:w="1600"/>
            <w:shd w:fill="F4F6F8"/>
            <w:tcMar>
              <w:top w:w="100" w:type="dxa"/>
              <w:start w:w="120" w:type="dxa"/>
              <w:bottom w:w="100" w:type="dxa"/>
              <w:end w:w="120" w:type="dxa"/>
            </w:tcMar>
            <w:vAlign w:val="center"/>
          </w:tcPr>
          <w:p>
            <w:pPr>
              <w:spacing w:after="0" w:line="252" w:lineRule="auto"/>
            </w:pPr>
            <w:r>
              <w:rPr>
                <w:rFonts w:ascii="Calibri" w:hAnsi="Calibri"/>
                <w:color w:val="24313A"/>
                <w:sz w:val="17"/>
              </w:rPr>
              <w:t>Critical</w:t>
            </w:r>
          </w:p>
        </w:tc>
        <w:tc>
          <w:tcPr>
            <w:tcW w:type="dxa" w:w="3900"/>
            <w:shd w:fill="F4F6F8"/>
            <w:tcMar>
              <w:top w:w="100" w:type="dxa"/>
              <w:start w:w="120" w:type="dxa"/>
              <w:bottom w:w="100" w:type="dxa"/>
              <w:end w:w="120" w:type="dxa"/>
            </w:tcMar>
            <w:vAlign w:val="center"/>
          </w:tcPr>
          <w:p>
            <w:pPr>
              <w:spacing w:after="0" w:line="252" w:lineRule="auto"/>
            </w:pPr>
            <w:r>
              <w:rPr>
                <w:rFonts w:ascii="Calibri" w:hAnsi="Calibri"/>
                <w:color w:val="24313A"/>
                <w:sz w:val="17"/>
              </w:rPr>
              <w:t>Threat to legality, safety, security, viability, reputation or essential service.</w:t>
            </w:r>
          </w:p>
        </w:tc>
        <w:tc>
          <w:tcPr>
            <w:tcW w:type="dxa" w:w="3860"/>
            <w:shd w:fill="F4F6F8"/>
            <w:tcMar>
              <w:top w:w="100" w:type="dxa"/>
              <w:start w:w="120" w:type="dxa"/>
              <w:bottom w:w="100" w:type="dxa"/>
              <w:end w:w="120" w:type="dxa"/>
            </w:tcMar>
            <w:vAlign w:val="center"/>
          </w:tcPr>
          <w:p>
            <w:pPr>
              <w:spacing w:after="0" w:line="252" w:lineRule="auto"/>
            </w:pPr>
            <w:r>
              <w:rPr>
                <w:rFonts w:ascii="Calibri" w:hAnsi="Calibri"/>
                <w:color w:val="24313A"/>
                <w:sz w:val="17"/>
              </w:rPr>
              <w:t>Immediate escalation; pause affected work unless authorised safe containment exists.</w:t>
            </w:r>
          </w:p>
        </w:tc>
      </w:tr>
    </w:tbl>
    <w:p>
      <w:pPr>
        <w:spacing w:after="40"/>
      </w:pPr>
    </w:p>
    <w:p>
      <w:pPr>
        <w:pStyle w:val="Heading2"/>
        <w:keepNext/>
        <w:pageBreakBefore w:val="0"/>
      </w:pPr>
      <w:r>
        <w:t>12.2 Immediate Escalation Triggers</w:t>
      </w:r>
    </w:p>
    <w:p>
      <w:pPr>
        <w:numPr>
          <w:ilvl w:val="0"/>
          <w:numId w:val="10"/>
        </w:numPr>
        <w:spacing w:after="80" w:line="300" w:lineRule="auto"/>
      </w:pPr>
      <w:r>
        <w:t>Actual or suspected security incident, privacy breach, fraud, unlawful activity or serious ethical concern.</w:t>
      </w:r>
    </w:p>
    <w:p>
      <w:pPr>
        <w:numPr>
          <w:ilvl w:val="0"/>
          <w:numId w:val="10"/>
        </w:numPr>
        <w:spacing w:after="80" w:line="300" w:lineRule="auto"/>
      </w:pPr>
      <w:r>
        <w:t>Forecast breach of approved cost, time, scope, quality or risk tolerance.</w:t>
      </w:r>
    </w:p>
    <w:p>
      <w:pPr>
        <w:numPr>
          <w:ilvl w:val="0"/>
          <w:numId w:val="10"/>
        </w:numPr>
        <w:spacing w:after="80" w:line="300" w:lineRule="auto"/>
      </w:pPr>
      <w:r>
        <w:t>Loss of critical sponsor, specialist, supplier, environment, licence or funding.</w:t>
      </w:r>
    </w:p>
    <w:p>
      <w:pPr>
        <w:numPr>
          <w:ilvl w:val="0"/>
          <w:numId w:val="10"/>
        </w:numPr>
        <w:spacing w:after="80" w:line="300" w:lineRule="auto"/>
      </w:pPr>
      <w:r>
        <w:t>Failure that could materially affect a client, public service, institutional reputation or contractual obligation.</w:t>
      </w:r>
    </w:p>
    <w:p>
      <w:pPr>
        <w:numPr>
          <w:ilvl w:val="0"/>
          <w:numId w:val="10"/>
        </w:numPr>
        <w:spacing w:after="80" w:line="300" w:lineRule="auto"/>
      </w:pPr>
      <w:r>
        <w:t>Evidence that acceptance criteria cannot be met under the approved plan.</w:t>
      </w:r>
    </w:p>
    <w:p>
      <w:pPr>
        <w:numPr>
          <w:ilvl w:val="0"/>
          <w:numId w:val="10"/>
        </w:numPr>
        <w:spacing w:after="80" w:line="300" w:lineRule="auto"/>
      </w:pPr>
      <w:r>
        <w:t>Material conflict of interest, falsified evidence or deliberate concealment of project status.</w:t>
      </w:r>
    </w:p>
    <w:p>
      <w:pPr>
        <w:pStyle w:val="Heading2"/>
        <w:keepNext w:val="0"/>
        <w:pageBreakBefore w:val="0"/>
      </w:pPr>
      <w:r>
        <w:t>12.3 Issue Resolution</w:t>
      </w:r>
    </w:p>
    <w:p>
      <w:pPr>
        <w:spacing w:after="120" w:line="300" w:lineRule="auto"/>
      </w:pPr>
      <w:r>
        <w:rPr>
          <w:i w:val="0"/>
        </w:rPr>
        <w:t>Issues are logged with impact, urgency, owner, target date, decisions and status. The owner analyses root cause and options; the project manager coordinates resolution; and unresolved issues cross the escalation threshold based on impact and time, not personal comfort.</w:t>
      </w:r>
    </w:p>
    <w:p>
      <w:pPr>
        <w:pStyle w:val="Heading1"/>
        <w:keepNext/>
        <w:pageBreakBefore w:val="0"/>
      </w:pPr>
      <w:r>
        <w:t>13. Change and Baseline Control</w:t>
      </w:r>
    </w:p>
    <w:p>
      <w:pPr>
        <w:pStyle w:val="Heading2"/>
        <w:keepNext w:val="0"/>
        <w:pageBreakBefore w:val="0"/>
      </w:pPr>
      <w:r>
        <w:t>13.1 Change Principle</w:t>
      </w:r>
    </w:p>
    <w:p>
      <w:pPr>
        <w:spacing w:after="120" w:line="300" w:lineRule="auto"/>
      </w:pPr>
      <w:r>
        <w:rPr>
          <w:i w:val="0"/>
        </w:rPr>
        <w:t>Change is normal, but uncontrolled change destroys accountability. A request becomes part of the project only after its need, impact, alternatives, risks, cost, schedule, quality and benefits are assessed and the correct authority approves it.</w:t>
      </w:r>
    </w:p>
    <w:p>
      <w:pPr>
        <w:pStyle w:val="Heading2"/>
        <w:keepNext w:val="0"/>
        <w:pageBreakBefore w:val="0"/>
      </w:pPr>
      <w:r>
        <w:t>13.2 Change Procedure</w:t>
      </w:r>
    </w:p>
    <w:p>
      <w:pPr>
        <w:numPr>
          <w:ilvl w:val="0"/>
          <w:numId w:val="12"/>
        </w:numPr>
        <w:spacing w:after="80" w:line="300" w:lineRule="auto"/>
      </w:pPr>
      <w:r>
        <w:t>Record the request, reason, requester and affected requirement or deliverable.</w:t>
      </w:r>
    </w:p>
    <w:p>
      <w:pPr>
        <w:numPr>
          <w:ilvl w:val="0"/>
          <w:numId w:val="12"/>
        </w:numPr>
        <w:spacing w:after="80" w:line="300" w:lineRule="auto"/>
      </w:pPr>
      <w:r>
        <w:t>Screen urgency and determine whether emergency containment is needed.</w:t>
      </w:r>
    </w:p>
    <w:p>
      <w:pPr>
        <w:numPr>
          <w:ilvl w:val="0"/>
          <w:numId w:val="12"/>
        </w:numPr>
        <w:spacing w:after="80" w:line="300" w:lineRule="auto"/>
      </w:pPr>
      <w:r>
        <w:t>Analyse effects across scope, schedule, cost, resources, quality, security, operations, contracts and benefits.</w:t>
      </w:r>
    </w:p>
    <w:p>
      <w:pPr>
        <w:numPr>
          <w:ilvl w:val="0"/>
          <w:numId w:val="12"/>
        </w:numPr>
        <w:spacing w:after="80" w:line="300" w:lineRule="auto"/>
      </w:pPr>
      <w:r>
        <w:t>Identify options, including reject, defer, substitute, reduce other scope or rebaseline.</w:t>
      </w:r>
    </w:p>
    <w:p>
      <w:pPr>
        <w:numPr>
          <w:ilvl w:val="0"/>
          <w:numId w:val="12"/>
        </w:numPr>
        <w:spacing w:after="80" w:line="300" w:lineRule="auto"/>
      </w:pPr>
      <w:r>
        <w:t>Obtain the decision from the authorised change authority.</w:t>
      </w:r>
    </w:p>
    <w:p>
      <w:pPr>
        <w:numPr>
          <w:ilvl w:val="0"/>
          <w:numId w:val="12"/>
        </w:numPr>
        <w:spacing w:after="80" w:line="300" w:lineRule="auto"/>
      </w:pPr>
      <w:r>
        <w:t>Update baselines, contracts, tasks, risks, acceptance criteria and communications.</w:t>
      </w:r>
    </w:p>
    <w:p>
      <w:pPr>
        <w:numPr>
          <w:ilvl w:val="0"/>
          <w:numId w:val="12"/>
        </w:numPr>
        <w:spacing w:after="80" w:line="300" w:lineRule="auto"/>
      </w:pPr>
      <w:r>
        <w:t>Verify implementation and close the change record with evidence.</w:t>
      </w:r>
    </w:p>
    <w:p>
      <w:pPr>
        <w:pStyle w:val="Heading2"/>
        <w:keepNext/>
        <w:pageBreakBefore w:val="0"/>
      </w:pPr>
      <w:r>
        <w:t>13.3 Emergency Change</w:t>
      </w:r>
    </w:p>
    <w:p>
      <w:pPr>
        <w:spacing w:after="120" w:line="300" w:lineRule="auto"/>
      </w:pPr>
      <w:r>
        <w:rPr>
          <w:i w:val="0"/>
        </w:rPr>
        <w:t>Emergency action may be taken to contain imminent harm, restore service or protect data, but it must remain within authorised emergency procedures. The decision, evidence, affected configuration, residual risk and retrospective approval must be recorded as soon as practicable. An emergency change that affects software, a production service or client data must follow the emergency-change procedure in the Software Development and Engineering Framework, including its named authority and deputy, its non-waivable minimum record, its deferrable-evidence list and its 72-hour retrospective review. For all other projects the Sponsor must record the same elements and convene a retrospective review within five business days of stabilisation. A repeated emergency change for the same condition requires a problem record and a permanently governed correction; emergency authority must not become a routine delivery path.</w:t>
      </w:r>
    </w:p>
    <w:p>
      <w:pPr>
        <w:pStyle w:val="Heading2"/>
        <w:keepNext w:val="0"/>
        <w:pageBreakBefore w:val="0"/>
      </w:pPr>
      <w:r>
        <w:t>13.4 Rebaselining</w:t>
      </w:r>
    </w:p>
    <w:p>
      <w:pPr>
        <w:spacing w:after="120" w:line="300" w:lineRule="auto"/>
      </w:pPr>
      <w:r>
        <w:rPr>
          <w:i w:val="0"/>
        </w:rPr>
        <w:t>A baseline is revised only when the authorised decision changes the agreed future. It must not be rewritten merely to hide past variance. Reports should retain the original commitment, approved changes and current forecast so leadership can understand performance honestly.</w:t>
      </w:r>
    </w:p>
    <w:p>
      <w:pPr>
        <w:pStyle w:val="Heading1"/>
        <w:keepNext/>
        <w:pageBreakBefore w:val="0"/>
      </w:pPr>
      <w:r>
        <w:t>14. Quality Assurance, Testing and Acceptance</w:t>
      </w:r>
    </w:p>
    <w:p>
      <w:pPr>
        <w:pStyle w:val="Heading2"/>
        <w:keepNext w:val="0"/>
        <w:pageBreakBefore w:val="0"/>
      </w:pPr>
      <w:r>
        <w:t>14.1 Quality Planning</w:t>
      </w:r>
    </w:p>
    <w:p>
      <w:pPr>
        <w:spacing w:after="120" w:line="300" w:lineRule="auto"/>
      </w:pPr>
      <w:r>
        <w:rPr>
          <w:i w:val="0"/>
        </w:rPr>
        <w:t>Quality requirements translate stakeholder expectations into measurable conditions. The quality plan identifies standards, reviewers, methods, environments, evidence, defect thresholds and acceptance authority. High-risk deliverables require reviewers independent enough to challenge the delivery team.</w:t>
      </w:r>
    </w:p>
    <w:p>
      <w:pPr>
        <w:pStyle w:val="Heading2"/>
        <w:keepNext w:val="0"/>
        <w:pageBreakBefore w:val="0"/>
      </w:pPr>
      <w:r>
        <w:t>14.2 Verification and Validation</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800"/>
        <w:gridCol w:w="3600"/>
        <w:gridCol w:w="3960"/>
      </w:tblGrid>
      <w:tr>
        <w:trPr>
          <w:tblHeader w:val="true"/>
          <w:cantSplit/>
        </w:trPr>
        <w:tc>
          <w:tcPr>
            <w:tcW w:type="dxa" w:w="1800"/>
            <w:tcMar>
              <w:top w:w="100" w:type="dxa"/>
              <w:start w:w="120" w:type="dxa"/>
              <w:bottom w:w="100" w:type="dxa"/>
              <w:end w:w="120" w:type="dxa"/>
            </w:tcMar>
            <w:vAlign w:val="center"/>
            <w:shd w:fill="123A5A"/>
          </w:tcPr>
          <w:p>
            <w:pPr>
              <w:jc w:val="left"/>
            </w:pPr>
            <w:r>
              <w:rPr>
                <w:rFonts w:ascii="Calibri" w:hAnsi="Calibri"/>
                <w:b/>
                <w:color w:val="FFFFFF"/>
                <w:sz w:val="18"/>
              </w:rPr>
              <w:t>Control</w:t>
            </w:r>
          </w:p>
        </w:tc>
        <w:tc>
          <w:tcPr>
            <w:tcW w:type="dxa" w:w="3600"/>
            <w:tcMar>
              <w:top w:w="100" w:type="dxa"/>
              <w:start w:w="120" w:type="dxa"/>
              <w:bottom w:w="100" w:type="dxa"/>
              <w:end w:w="120" w:type="dxa"/>
            </w:tcMar>
            <w:vAlign w:val="center"/>
            <w:shd w:fill="123A5A"/>
          </w:tcPr>
          <w:p>
            <w:pPr>
              <w:jc w:val="left"/>
            </w:pPr>
            <w:r>
              <w:rPr>
                <w:rFonts w:ascii="Calibri" w:hAnsi="Calibri"/>
                <w:b/>
                <w:color w:val="FFFFFF"/>
                <w:sz w:val="18"/>
              </w:rPr>
              <w:t>Purpose</w:t>
            </w:r>
          </w:p>
        </w:tc>
        <w:tc>
          <w:tcPr>
            <w:tcW w:type="dxa" w:w="3960"/>
            <w:tcMar>
              <w:top w:w="100" w:type="dxa"/>
              <w:start w:w="120" w:type="dxa"/>
              <w:bottom w:w="100" w:type="dxa"/>
              <w:end w:w="120" w:type="dxa"/>
            </w:tcMar>
            <w:vAlign w:val="center"/>
            <w:shd w:fill="123A5A"/>
          </w:tcPr>
          <w:p>
            <w:pPr>
              <w:jc w:val="left"/>
            </w:pPr>
            <w:r>
              <w:rPr>
                <w:rFonts w:ascii="Calibri" w:hAnsi="Calibri"/>
                <w:b/>
                <w:color w:val="FFFFFF"/>
                <w:sz w:val="18"/>
              </w:rPr>
              <w:t>Examples</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Verification</w:t>
            </w:r>
          </w:p>
        </w:tc>
        <w:tc>
          <w:tcPr>
            <w:tcW w:type="dxa" w:w="3600"/>
            <w:tcMar>
              <w:top w:w="100" w:type="dxa"/>
              <w:start w:w="120" w:type="dxa"/>
              <w:bottom w:w="100" w:type="dxa"/>
              <w:end w:w="120" w:type="dxa"/>
            </w:tcMar>
            <w:vAlign w:val="center"/>
          </w:tcPr>
          <w:p>
            <w:pPr>
              <w:spacing w:after="0" w:line="252" w:lineRule="auto"/>
            </w:pPr>
            <w:r>
              <w:rPr>
                <w:rFonts w:ascii="Calibri" w:hAnsi="Calibri"/>
                <w:color w:val="24313A"/>
                <w:sz w:val="17"/>
              </w:rPr>
              <w:t>Confirm the deliverable was built according to specification.</w:t>
            </w:r>
          </w:p>
        </w:tc>
        <w:tc>
          <w:tcPr>
            <w:tcW w:type="dxa" w:w="3960"/>
            <w:tcMar>
              <w:top w:w="100" w:type="dxa"/>
              <w:start w:w="120" w:type="dxa"/>
              <w:bottom w:w="100" w:type="dxa"/>
              <w:end w:w="120" w:type="dxa"/>
            </w:tcMar>
            <w:vAlign w:val="center"/>
          </w:tcPr>
          <w:p>
            <w:pPr>
              <w:spacing w:after="0" w:line="252" w:lineRule="auto"/>
            </w:pPr>
            <w:r>
              <w:rPr>
                <w:rFonts w:ascii="Calibri" w:hAnsi="Calibri"/>
                <w:color w:val="24313A"/>
                <w:sz w:val="17"/>
              </w:rPr>
              <w:t>Peer review, inspection, unit tests, integration tests, security tests, document review.</w:t>
            </w:r>
          </w:p>
        </w:tc>
      </w:tr>
      <w:tr>
        <w:trPr>
          <w:cantSplit/>
        </w:trPr>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Validation</w:t>
            </w:r>
          </w:p>
        </w:tc>
        <w:tc>
          <w:tcPr>
            <w:tcW w:type="dxa" w:w="3600"/>
            <w:shd w:fill="F4F6F8"/>
            <w:tcMar>
              <w:top w:w="100" w:type="dxa"/>
              <w:start w:w="120" w:type="dxa"/>
              <w:bottom w:w="100" w:type="dxa"/>
              <w:end w:w="120" w:type="dxa"/>
            </w:tcMar>
            <w:vAlign w:val="center"/>
          </w:tcPr>
          <w:p>
            <w:pPr>
              <w:spacing w:after="0" w:line="252" w:lineRule="auto"/>
            </w:pPr>
            <w:r>
              <w:rPr>
                <w:rFonts w:ascii="Calibri" w:hAnsi="Calibri"/>
                <w:color w:val="24313A"/>
                <w:sz w:val="17"/>
              </w:rPr>
              <w:t>Confirm the result is suitable for real user and business needs.</w:t>
            </w:r>
          </w:p>
        </w:tc>
        <w:tc>
          <w:tcPr>
            <w:tcW w:type="dxa" w:w="3960"/>
            <w:shd w:fill="F4F6F8"/>
            <w:tcMar>
              <w:top w:w="100" w:type="dxa"/>
              <w:start w:w="120" w:type="dxa"/>
              <w:bottom w:w="100" w:type="dxa"/>
              <w:end w:w="120" w:type="dxa"/>
            </w:tcMar>
            <w:vAlign w:val="center"/>
          </w:tcPr>
          <w:p>
            <w:pPr>
              <w:spacing w:after="0" w:line="252" w:lineRule="auto"/>
            </w:pPr>
            <w:r>
              <w:rPr>
                <w:rFonts w:ascii="Calibri" w:hAnsi="Calibri"/>
                <w:color w:val="24313A"/>
                <w:sz w:val="17"/>
              </w:rPr>
              <w:t>User acceptance, pilot, operational rehearsal, client demonstration, benefits test.</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Assurance</w:t>
            </w:r>
          </w:p>
        </w:tc>
        <w:tc>
          <w:tcPr>
            <w:tcW w:type="dxa" w:w="3600"/>
            <w:tcMar>
              <w:top w:w="100" w:type="dxa"/>
              <w:start w:w="120" w:type="dxa"/>
              <w:bottom w:w="100" w:type="dxa"/>
              <w:end w:w="120" w:type="dxa"/>
            </w:tcMar>
            <w:vAlign w:val="center"/>
          </w:tcPr>
          <w:p>
            <w:pPr>
              <w:spacing w:after="0" w:line="252" w:lineRule="auto"/>
            </w:pPr>
            <w:r>
              <w:rPr>
                <w:rFonts w:ascii="Calibri" w:hAnsi="Calibri"/>
                <w:color w:val="24313A"/>
                <w:sz w:val="17"/>
              </w:rPr>
              <w:t>Confirm the process, evidence and decisions are trustworthy.</w:t>
            </w:r>
          </w:p>
        </w:tc>
        <w:tc>
          <w:tcPr>
            <w:tcW w:type="dxa" w:w="3960"/>
            <w:tcMar>
              <w:top w:w="100" w:type="dxa"/>
              <w:start w:w="120" w:type="dxa"/>
              <w:bottom w:w="100" w:type="dxa"/>
              <w:end w:w="120" w:type="dxa"/>
            </w:tcMar>
            <w:vAlign w:val="center"/>
          </w:tcPr>
          <w:p>
            <w:pPr>
              <w:spacing w:after="0" w:line="252" w:lineRule="auto"/>
            </w:pPr>
            <w:r>
              <w:rPr>
                <w:rFonts w:ascii="Calibri" w:hAnsi="Calibri"/>
                <w:color w:val="24313A"/>
                <w:sz w:val="17"/>
              </w:rPr>
              <w:t>Gate review, independent audit, traceability check, readiness assessment.</w:t>
            </w:r>
          </w:p>
        </w:tc>
      </w:tr>
    </w:tbl>
    <w:p>
      <w:pPr>
        <w:spacing w:after="40"/>
      </w:pPr>
    </w:p>
    <w:p>
      <w:pPr>
        <w:pStyle w:val="Heading2"/>
        <w:keepNext w:val="0"/>
        <w:pageBreakBefore w:val="0"/>
      </w:pPr>
      <w:r>
        <w:t>14.3 Acceptance Rules</w:t>
      </w:r>
    </w:p>
    <w:p>
      <w:pPr>
        <w:numPr>
          <w:ilvl w:val="0"/>
          <w:numId w:val="10"/>
        </w:numPr>
        <w:spacing w:after="80" w:line="300" w:lineRule="auto"/>
      </w:pPr>
      <w:r>
        <w:t>Acceptance criteria are approved before final delivery.</w:t>
      </w:r>
    </w:p>
    <w:p>
      <w:pPr>
        <w:numPr>
          <w:ilvl w:val="0"/>
          <w:numId w:val="10"/>
        </w:numPr>
        <w:spacing w:after="80" w:line="300" w:lineRule="auto"/>
      </w:pPr>
      <w:r>
        <w:t>Evidence identifies the deliverable version and test environment.</w:t>
      </w:r>
    </w:p>
    <w:p>
      <w:pPr>
        <w:numPr>
          <w:ilvl w:val="0"/>
          <w:numId w:val="10"/>
        </w:numPr>
        <w:spacing w:after="80" w:line="300" w:lineRule="auto"/>
      </w:pPr>
      <w:r>
        <w:t>Failed criteria are corrected, retested or formally accepted as documented limitations by authorised persons.</w:t>
      </w:r>
    </w:p>
    <w:p>
      <w:pPr>
        <w:numPr>
          <w:ilvl w:val="0"/>
          <w:numId w:val="10"/>
        </w:numPr>
        <w:spacing w:after="80" w:line="300" w:lineRule="auto"/>
      </w:pPr>
      <w:r>
        <w:t>The person accepting the deliverable has the authority and enough evidence to do so.</w:t>
      </w:r>
    </w:p>
    <w:p>
      <w:pPr>
        <w:numPr>
          <w:ilvl w:val="0"/>
          <w:numId w:val="10"/>
        </w:numPr>
        <w:spacing w:after="80" w:line="300" w:lineRule="auto"/>
      </w:pPr>
      <w:r>
        <w:t>Conditional acceptance includes owners, deadlines and consequences for unresolved items.</w:t>
      </w:r>
    </w:p>
    <w:p>
      <w:pPr>
        <w:pStyle w:val="Heading1"/>
        <w:keepNext/>
        <w:pageBreakBefore w:val="0"/>
      </w:pPr>
      <w:r>
        <w:t>15. Financial, Procurement and Resource Controls</w:t>
      </w:r>
    </w:p>
    <w:p>
      <w:pPr>
        <w:pStyle w:val="Heading2"/>
        <w:keepNext w:val="0"/>
        <w:pageBreakBefore w:val="0"/>
      </w:pPr>
      <w:r>
        <w:t>15.1 Financial Control</w:t>
      </w:r>
    </w:p>
    <w:p>
      <w:pPr>
        <w:spacing w:after="120" w:line="300" w:lineRule="auto"/>
      </w:pPr>
      <w:r>
        <w:rPr>
          <w:i w:val="0"/>
        </w:rPr>
        <w:t>The project budget must separate approved baseline, contingency, management reserve and later changes. Status reporting must show actual expenditure, committed expenditure, forecast to complete and forecast total cost. Commitments and reallocations must follow Section 3.2; a project-specific plan may tighten but may not silently weaken those bands.</w:t>
      </w:r>
    </w:p>
    <w:p>
      <w:pPr>
        <w:pStyle w:val="Heading2"/>
        <w:keepNext w:val="0"/>
        <w:pageBreakBefore w:val="0"/>
      </w:pPr>
      <w:r>
        <w:t>15.2 Procurement Control</w:t>
      </w:r>
    </w:p>
    <w:p>
      <w:pPr>
        <w:numPr>
          <w:ilvl w:val="0"/>
          <w:numId w:val="10"/>
        </w:numPr>
        <w:spacing w:after="80" w:line="300" w:lineRule="auto"/>
      </w:pPr>
      <w:r>
        <w:t>Document the need, selection criteria, budget and approval before commitment.</w:t>
      </w:r>
    </w:p>
    <w:p>
      <w:pPr>
        <w:numPr>
          <w:ilvl w:val="0"/>
          <w:numId w:val="10"/>
        </w:numPr>
        <w:spacing w:after="80" w:line="300" w:lineRule="auto"/>
      </w:pPr>
      <w:r>
        <w:t>Compare suitable options and record the selection decision and conflicts of interest.</w:t>
      </w:r>
    </w:p>
    <w:p>
      <w:pPr>
        <w:numPr>
          <w:ilvl w:val="0"/>
          <w:numId w:val="10"/>
        </w:numPr>
        <w:spacing w:after="80" w:line="300" w:lineRule="auto"/>
      </w:pPr>
      <w:r>
        <w:t>Use written terms that define scope, deliverables, quality, security, confidentiality, data use, intellectual property, payment, changes, support and exit.</w:t>
      </w:r>
    </w:p>
    <w:p>
      <w:pPr>
        <w:numPr>
          <w:ilvl w:val="0"/>
          <w:numId w:val="10"/>
        </w:numPr>
        <w:spacing w:after="80" w:line="300" w:lineRule="auto"/>
      </w:pPr>
      <w:r>
        <w:t>Verify deliverables and approval evidence before payment.</w:t>
      </w:r>
    </w:p>
    <w:p>
      <w:pPr>
        <w:numPr>
          <w:ilvl w:val="0"/>
          <w:numId w:val="10"/>
        </w:numPr>
        <w:spacing w:after="80" w:line="300" w:lineRule="auto"/>
      </w:pPr>
      <w:r>
        <w:t>Track supplier performance, dependencies, risks, licences and renewal dates.</w:t>
      </w:r>
    </w:p>
    <w:p>
      <w:pPr>
        <w:shd w:fill="F4F6F8"/>
        <w:keepLines/>
        <w:pBdr>
          <w:top w:val="single" w:sz="8" w:space="6" w:color="123A5A"/>
          <w:left w:val="single" w:sz="8" w:space="6" w:color="123A5A"/>
          <w:bottom w:val="single" w:sz="8" w:space="6" w:color="123A5A"/>
          <w:right w:val="single" w:sz="8" w:space="6" w:color="123A5A"/>
        </w:pBdr>
        <w:spacing w:before="120" w:after="160" w:line="276" w:lineRule="auto"/>
        <w:ind w:left="160" w:right="160"/>
      </w:pPr>
      <w:r>
        <w:rPr>
          <w:rFonts w:ascii="Calibri" w:hAnsi="Calibri"/>
          <w:b/>
          <w:color w:val="123A5A"/>
        </w:rPr>
        <w:t xml:space="preserve">Publicly funded work: </w:t>
      </w:r>
      <w:r>
        <w:rPr>
          <w:rFonts w:ascii="Calibri" w:hAnsi="Calibri"/>
          <w:color w:val="24313A"/>
        </w:rPr>
        <w:t>Where KenAddme IT Links bids for or delivers publicly funded work, the Sponsor and Finance/Administration must identify applicable tender, approval, documentation and retention requirements under the Public Procurement Act, 2003 (Act 663), as amended by Act 914, and current Public Procurement Authority instruments. Client procurement rules do not remove KenAddme internal approvals.</w:t>
      </w:r>
    </w:p>
    <w:p>
      <w:pPr>
        <w:pStyle w:val="Heading2"/>
        <w:keepNext w:val="0"/>
        <w:pageBreakBefore w:val="0"/>
      </w:pPr>
      <w:r>
        <w:t>15.3 Resource Management</w:t>
      </w:r>
    </w:p>
    <w:p>
      <w:pPr>
        <w:spacing w:after="120" w:line="300" w:lineRule="auto"/>
      </w:pPr>
      <w:r>
        <w:rPr>
          <w:i w:val="0"/>
        </w:rPr>
        <w:t>Plans must reflect actual availability, skills, competing work, leave, learning needs and transition responsibilities. Over-allocation should be treated as a delivery risk. Critical knowledge should not depend on one person without documentation, pairing, backup or succession action.</w:t>
      </w:r>
    </w:p>
    <w:p>
      <w:pPr>
        <w:pStyle w:val="Heading1"/>
        <w:keepNext/>
        <w:pageBreakBefore w:val="0"/>
      </w:pPr>
      <w:r>
        <w:t>16. Communication, Documentation and Records</w:t>
      </w:r>
    </w:p>
    <w:p>
      <w:pPr>
        <w:pStyle w:val="Heading2"/>
        <w:keepNext w:val="0"/>
        <w:pageBreakBefore w:val="0"/>
      </w:pPr>
      <w:r>
        <w:t>16.1 Communication Principles</w:t>
      </w:r>
    </w:p>
    <w:p>
      <w:pPr>
        <w:spacing w:after="120" w:line="300" w:lineRule="auto"/>
      </w:pPr>
      <w:r>
        <w:rPr>
          <w:i w:val="0"/>
        </w:rPr>
        <w:t>Communication is planned according to stakeholder influence, interest, decision authority and information need. Reports should distinguish facts, forecasts, assumptions, decisions and requests. Sensitive project information must only reach authorised recipients through approved channels.</w:t>
      </w:r>
    </w:p>
    <w:p>
      <w:pPr>
        <w:pStyle w:val="Heading2"/>
        <w:keepNext w:val="0"/>
        <w:pageBreakBefore w:val="0"/>
      </w:pPr>
      <w:r>
        <w:t>16.2 Minimum Project Repository</w:t>
      </w:r>
    </w:p>
    <w:p>
      <w:pPr>
        <w:numPr>
          <w:ilvl w:val="0"/>
          <w:numId w:val="10"/>
        </w:numPr>
        <w:spacing w:after="80" w:line="300" w:lineRule="auto"/>
      </w:pPr>
      <w:r>
        <w:t>Approved charter, business case, classification and governance record.</w:t>
      </w:r>
    </w:p>
    <w:p>
      <w:pPr>
        <w:numPr>
          <w:ilvl w:val="0"/>
          <w:numId w:val="10"/>
        </w:numPr>
        <w:spacing w:after="80" w:line="300" w:lineRule="auto"/>
      </w:pPr>
      <w:r>
        <w:t>Requirements, scope, work breakdown, schedule, budget and resource plan.</w:t>
      </w:r>
    </w:p>
    <w:p>
      <w:pPr>
        <w:numPr>
          <w:ilvl w:val="0"/>
          <w:numId w:val="10"/>
        </w:numPr>
        <w:spacing w:after="80" w:line="300" w:lineRule="auto"/>
      </w:pPr>
      <w:r>
        <w:t>Risk, issue, decision, assumption, dependency and change registers.</w:t>
      </w:r>
    </w:p>
    <w:p>
      <w:pPr>
        <w:numPr>
          <w:ilvl w:val="0"/>
          <w:numId w:val="10"/>
        </w:numPr>
        <w:spacing w:after="80" w:line="300" w:lineRule="auto"/>
      </w:pPr>
      <w:r>
        <w:t>Meeting decisions, status reports, approvals and escalation evidence.</w:t>
      </w:r>
    </w:p>
    <w:p>
      <w:pPr>
        <w:numPr>
          <w:ilvl w:val="0"/>
          <w:numId w:val="10"/>
        </w:numPr>
        <w:spacing w:after="80" w:line="300" w:lineRule="auto"/>
      </w:pPr>
      <w:r>
        <w:t>Designs, deliverables, test evidence, acceptance and release records.</w:t>
      </w:r>
    </w:p>
    <w:p>
      <w:pPr>
        <w:numPr>
          <w:ilvl w:val="0"/>
          <w:numId w:val="10"/>
        </w:numPr>
        <w:spacing w:after="80" w:line="300" w:lineRule="auto"/>
      </w:pPr>
      <w:r>
        <w:t>Contracts, procurement records, licences and supplier performance evidence.</w:t>
      </w:r>
    </w:p>
    <w:p>
      <w:pPr>
        <w:numPr>
          <w:ilvl w:val="0"/>
          <w:numId w:val="10"/>
        </w:numPr>
        <w:spacing w:after="80" w:line="300" w:lineRule="auto"/>
      </w:pPr>
      <w:r>
        <w:t>Handover, training, support, closure, lessons and benefits records.</w:t>
      </w:r>
    </w:p>
    <w:p>
      <w:pPr>
        <w:pStyle w:val="Heading2"/>
        <w:keepNext w:val="0"/>
        <w:pageBreakBefore w:val="0"/>
      </w:pPr>
      <w:r>
        <w:t>16.3 Records Rules</w:t>
      </w:r>
    </w:p>
    <w:p>
      <w:pPr>
        <w:spacing w:after="120" w:line="300" w:lineRule="auto"/>
      </w:pPr>
      <w:r>
        <w:rPr>
          <w:i w:val="0"/>
        </w:rPr>
        <w:t>Every controlled record must have a meaningful name, owner, version or date, approval state and access classification. The project manager ensures the authoritative version is identifiable. Records must follow the minimum schedule in Appendix J, together with any longer contractual, legal, funder, dispute or client requirement.</w:t>
      </w:r>
    </w:p>
    <w:p>
      <w:pPr>
        <w:pStyle w:val="Heading2"/>
        <w:keepNext w:val="0"/>
        <w:pageBreakBefore w:val="0"/>
      </w:pPr>
      <w:r>
        <w:t>16.4 Retention, Legal Hold and Disposal</w:t>
      </w:r>
    </w:p>
    <w:p>
      <w:pPr>
        <w:spacing w:after="120" w:line="300" w:lineRule="auto"/>
      </w:pPr>
      <w:r>
        <w:rPr>
          <w:i w:val="0"/>
        </w:rPr>
        <w:t>The Service / Operations Owner and records custodian must review project records at Gate 6 and annually while any retention period remains. Personal data must be minimised, access-restricted and retained only for a documented lawful purpose. When a record reaches its disposal date, the custodian must obtain owner approval, securely destroy the authoritative and working copies, and record what was destroyed, when, by whom and by what method.</w:t>
      </w:r>
    </w:p>
    <w:p>
      <w:pPr>
        <w:shd w:fill="F4F6F8"/>
        <w:keepLines/>
        <w:pBdr>
          <w:top w:val="single" w:sz="8" w:space="6" w:color="123A5A"/>
          <w:left w:val="single" w:sz="8" w:space="6" w:color="123A5A"/>
          <w:bottom w:val="single" w:sz="8" w:space="6" w:color="123A5A"/>
          <w:right w:val="single" w:sz="8" w:space="6" w:color="123A5A"/>
        </w:pBdr>
        <w:spacing w:before="120" w:after="160" w:line="276" w:lineRule="auto"/>
        <w:ind w:left="160" w:right="160"/>
      </w:pPr>
      <w:r>
        <w:rPr>
          <w:rFonts w:ascii="Calibri" w:hAnsi="Calibri"/>
          <w:b/>
          <w:color w:val="123A5A"/>
        </w:rPr>
        <w:t xml:space="preserve">Legal hold: </w:t>
      </w:r>
      <w:r>
        <w:rPr>
          <w:rFonts w:ascii="Calibri" w:hAnsi="Calibri"/>
          <w:color w:val="24313A"/>
        </w:rPr>
        <w:t>A dispute, investigation, audit, incident, regulator request, litigation hold or unresolved contractual claim suspends normal disposal. The hold owner must record its scope and release date. A legal hold does not permit unnecessary access or reuse of personal data.</w:t>
      </w:r>
    </w:p>
    <w:p>
      <w:pPr>
        <w:pStyle w:val="Heading1"/>
        <w:keepNext/>
        <w:pageBreakBefore w:val="0"/>
      </w:pPr>
      <w:r>
        <w:t>17. Delivery Methods and Lifecycle Tailoring</w:t>
      </w:r>
    </w:p>
    <w:p>
      <w:pPr>
        <w:spacing w:after="120" w:line="300" w:lineRule="auto"/>
      </w:pPr>
      <w:r>
        <w:rPr>
          <w:i w:val="0"/>
        </w:rPr>
        <w:t>KenAddme IT Links may use predictive, agile, iterative or hybrid delivery. The method changes how work is organised, but it does not remove governance, accountability, security, quality, financial or acceptance duties.</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800"/>
        <w:gridCol w:w="3900"/>
        <w:gridCol w:w="3660"/>
      </w:tblGrid>
      <w:tr>
        <w:trPr>
          <w:tblHeader w:val="true"/>
          <w:cantSplit/>
        </w:trPr>
        <w:tc>
          <w:tcPr>
            <w:tcW w:type="dxa" w:w="1800"/>
            <w:tcMar>
              <w:top w:w="100" w:type="dxa"/>
              <w:start w:w="120" w:type="dxa"/>
              <w:bottom w:w="100" w:type="dxa"/>
              <w:end w:w="120" w:type="dxa"/>
            </w:tcMar>
            <w:vAlign w:val="center"/>
            <w:shd w:fill="123A5A"/>
          </w:tcPr>
          <w:p>
            <w:pPr>
              <w:jc w:val="left"/>
            </w:pPr>
            <w:r>
              <w:rPr>
                <w:rFonts w:ascii="Calibri" w:hAnsi="Calibri"/>
                <w:b/>
                <w:color w:val="FFFFFF"/>
                <w:sz w:val="18"/>
              </w:rPr>
              <w:t>Approach</w:t>
            </w:r>
          </w:p>
        </w:tc>
        <w:tc>
          <w:tcPr>
            <w:tcW w:type="dxa" w:w="3900"/>
            <w:tcMar>
              <w:top w:w="100" w:type="dxa"/>
              <w:start w:w="120" w:type="dxa"/>
              <w:bottom w:w="100" w:type="dxa"/>
              <w:end w:w="120" w:type="dxa"/>
            </w:tcMar>
            <w:vAlign w:val="center"/>
            <w:shd w:fill="123A5A"/>
          </w:tcPr>
          <w:p>
            <w:pPr>
              <w:jc w:val="left"/>
            </w:pPr>
            <w:r>
              <w:rPr>
                <w:rFonts w:ascii="Calibri" w:hAnsi="Calibri"/>
                <w:b/>
                <w:color w:val="FFFFFF"/>
                <w:sz w:val="18"/>
              </w:rPr>
              <w:t>Best suited to</w:t>
            </w:r>
          </w:p>
        </w:tc>
        <w:tc>
          <w:tcPr>
            <w:tcW w:type="dxa" w:w="3660"/>
            <w:tcMar>
              <w:top w:w="100" w:type="dxa"/>
              <w:start w:w="120" w:type="dxa"/>
              <w:bottom w:w="100" w:type="dxa"/>
              <w:end w:w="120" w:type="dxa"/>
            </w:tcMar>
            <w:vAlign w:val="center"/>
            <w:shd w:fill="123A5A"/>
          </w:tcPr>
          <w:p>
            <w:pPr>
              <w:jc w:val="left"/>
            </w:pPr>
            <w:r>
              <w:rPr>
                <w:rFonts w:ascii="Calibri" w:hAnsi="Calibri"/>
                <w:b/>
                <w:color w:val="FFFFFF"/>
                <w:sz w:val="18"/>
              </w:rPr>
              <w:t>Control emphasis</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Predictive</w:t>
            </w:r>
          </w:p>
        </w:tc>
        <w:tc>
          <w:tcPr>
            <w:tcW w:type="dxa" w:w="3900"/>
            <w:tcMar>
              <w:top w:w="100" w:type="dxa"/>
              <w:start w:w="120" w:type="dxa"/>
              <w:bottom w:w="100" w:type="dxa"/>
              <w:end w:w="120" w:type="dxa"/>
            </w:tcMar>
            <w:vAlign w:val="center"/>
          </w:tcPr>
          <w:p>
            <w:pPr>
              <w:spacing w:after="0" w:line="252" w:lineRule="auto"/>
            </w:pPr>
            <w:r>
              <w:rPr>
                <w:rFonts w:ascii="Calibri" w:hAnsi="Calibri"/>
                <w:color w:val="24313A"/>
                <w:sz w:val="17"/>
              </w:rPr>
              <w:t>Stable requirements, physical or infrastructure work, contractual milestones, regulated outputs.</w:t>
            </w:r>
          </w:p>
        </w:tc>
        <w:tc>
          <w:tcPr>
            <w:tcW w:type="dxa" w:w="3660"/>
            <w:tcMar>
              <w:top w:w="100" w:type="dxa"/>
              <w:start w:w="120" w:type="dxa"/>
              <w:bottom w:w="100" w:type="dxa"/>
              <w:end w:w="120" w:type="dxa"/>
            </w:tcMar>
            <w:vAlign w:val="center"/>
          </w:tcPr>
          <w:p>
            <w:pPr>
              <w:spacing w:after="0" w:line="252" w:lineRule="auto"/>
            </w:pPr>
            <w:r>
              <w:rPr>
                <w:rFonts w:ascii="Calibri" w:hAnsi="Calibri"/>
                <w:color w:val="24313A"/>
                <w:sz w:val="17"/>
              </w:rPr>
              <w:t>Detailed upfront baseline, formal changes, milestone acceptance.</w:t>
            </w:r>
          </w:p>
        </w:tc>
      </w:tr>
      <w:tr>
        <w:trPr>
          <w:cantSplit/>
        </w:trPr>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Agile / Iterative</w:t>
            </w:r>
          </w:p>
        </w:tc>
        <w:tc>
          <w:tcPr>
            <w:tcW w:type="dxa" w:w="3900"/>
            <w:shd w:fill="F4F6F8"/>
            <w:tcMar>
              <w:top w:w="100" w:type="dxa"/>
              <w:start w:w="120" w:type="dxa"/>
              <w:bottom w:w="100" w:type="dxa"/>
              <w:end w:w="120" w:type="dxa"/>
            </w:tcMar>
            <w:vAlign w:val="center"/>
          </w:tcPr>
          <w:p>
            <w:pPr>
              <w:spacing w:after="0" w:line="252" w:lineRule="auto"/>
            </w:pPr>
            <w:r>
              <w:rPr>
                <w:rFonts w:ascii="Calibri" w:hAnsi="Calibri"/>
                <w:color w:val="24313A"/>
                <w:sz w:val="17"/>
              </w:rPr>
              <w:t>Evolving user needs, digital products, experimentation and frequent feedback.</w:t>
            </w:r>
          </w:p>
        </w:tc>
        <w:tc>
          <w:tcPr>
            <w:tcW w:type="dxa" w:w="3660"/>
            <w:shd w:fill="F4F6F8"/>
            <w:tcMar>
              <w:top w:w="100" w:type="dxa"/>
              <w:start w:w="120" w:type="dxa"/>
              <w:bottom w:w="100" w:type="dxa"/>
              <w:end w:w="120" w:type="dxa"/>
            </w:tcMar>
            <w:vAlign w:val="center"/>
          </w:tcPr>
          <w:p>
            <w:pPr>
              <w:spacing w:after="0" w:line="252" w:lineRule="auto"/>
            </w:pPr>
            <w:r>
              <w:rPr>
                <w:rFonts w:ascii="Calibri" w:hAnsi="Calibri"/>
                <w:color w:val="24313A"/>
                <w:sz w:val="17"/>
              </w:rPr>
              <w:t>Prioritised backlog, short cycles, frequent demonstrations, quality built into each increment.</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Hybrid</w:t>
            </w:r>
          </w:p>
        </w:tc>
        <w:tc>
          <w:tcPr>
            <w:tcW w:type="dxa" w:w="3900"/>
            <w:tcMar>
              <w:top w:w="100" w:type="dxa"/>
              <w:start w:w="120" w:type="dxa"/>
              <w:bottom w:w="100" w:type="dxa"/>
              <w:end w:w="120" w:type="dxa"/>
            </w:tcMar>
            <w:vAlign w:val="center"/>
          </w:tcPr>
          <w:p>
            <w:pPr>
              <w:spacing w:after="0" w:line="252" w:lineRule="auto"/>
            </w:pPr>
            <w:r>
              <w:rPr>
                <w:rFonts w:ascii="Calibri" w:hAnsi="Calibri"/>
                <w:color w:val="24313A"/>
                <w:sz w:val="17"/>
              </w:rPr>
              <w:t>Stable governance outcomes with uncertain solution details or mixed workstreams.</w:t>
            </w:r>
          </w:p>
        </w:tc>
        <w:tc>
          <w:tcPr>
            <w:tcW w:type="dxa" w:w="3660"/>
            <w:tcMar>
              <w:top w:w="100" w:type="dxa"/>
              <w:start w:w="120" w:type="dxa"/>
              <w:bottom w:w="100" w:type="dxa"/>
              <w:end w:w="120" w:type="dxa"/>
            </w:tcMar>
            <w:vAlign w:val="center"/>
          </w:tcPr>
          <w:p>
            <w:pPr>
              <w:spacing w:after="0" w:line="252" w:lineRule="auto"/>
            </w:pPr>
            <w:r>
              <w:rPr>
                <w:rFonts w:ascii="Calibri" w:hAnsi="Calibri"/>
                <w:color w:val="24313A"/>
                <w:sz w:val="17"/>
              </w:rPr>
              <w:t>Stage gates and funding controls combined with iterative delivery and feedback.</w:t>
            </w:r>
          </w:p>
        </w:tc>
      </w:tr>
    </w:tbl>
    <w:p>
      <w:pPr>
        <w:spacing w:after="40"/>
      </w:pPr>
    </w:p>
    <w:p>
      <w:pPr>
        <w:pStyle w:val="Heading2"/>
        <w:keepNext w:val="0"/>
        <w:pageBreakBefore w:val="0"/>
      </w:pPr>
      <w:r>
        <w:t>17.1 Agile Governance</w:t>
      </w:r>
    </w:p>
    <w:p>
      <w:pPr>
        <w:spacing w:after="120" w:line="300" w:lineRule="auto"/>
      </w:pPr>
      <w:r>
        <w:rPr>
          <w:i w:val="0"/>
        </w:rPr>
        <w:t>In agile delivery, the product backlog does not replace the project charter, budget, risk register, security plan or release approval. Each increment should meet a clear definition of done, include required tests and documentation, and remain traceable to authorised objectives. Scope may be reprioritised within approved boundaries; material changes still require authorised decisions.</w:t>
      </w:r>
    </w:p>
    <w:p>
      <w:pPr>
        <w:pStyle w:val="Heading2"/>
        <w:keepNext w:val="0"/>
        <w:pageBreakBefore w:val="0"/>
      </w:pPr>
      <w:r>
        <w:t>17.2 Research and Experimental Projects</w:t>
      </w:r>
    </w:p>
    <w:p>
      <w:pPr>
        <w:spacing w:after="120" w:line="300" w:lineRule="auto"/>
      </w:pPr>
      <w:r>
        <w:rPr>
          <w:i w:val="0"/>
        </w:rPr>
        <w:t>Research projects should define hypotheses, ethical and data boundaries, reproducibility, success and stop criteria, and the difference between laboratory evidence and production readiness. Experimental results must not be presented as validated operational performance until independent evaluation and release gates are satisfied.</w:t>
      </w:r>
    </w:p>
    <w:p>
      <w:pPr>
        <w:pStyle w:val="Heading1"/>
        <w:keepNext/>
        <w:pageBreakBefore w:val="0"/>
      </w:pPr>
      <w:r>
        <w:t>18. Performance Measurement and Institutional Reporting</w:t>
      </w:r>
    </w:p>
    <w:p>
      <w:pPr>
        <w:pStyle w:val="Heading2"/>
        <w:keepNext w:val="0"/>
        <w:pageBreakBefore w:val="0"/>
      </w:pPr>
      <w:r>
        <w:t>18.1 Year-One Mandatory Measurement Set</w:t>
      </w:r>
    </w:p>
    <w:p>
      <w:pPr>
        <w:spacing w:after="120" w:line="300" w:lineRule="auto"/>
      </w:pPr>
      <w:r>
        <w:rPr>
          <w:i w:val="0"/>
        </w:rPr>
        <w:t>The following five measures are mandatory from the effective date. The Framework Owner consolidates them across the portfolio and presents the results to the Project Authority each quarter. Project managers and named control owners must maintain the source records at the stated frequency.</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3400"/>
        <w:gridCol w:w="2800"/>
        <w:gridCol w:w="1500"/>
        <w:gridCol w:w="1660"/>
      </w:tblGrid>
      <w:tr>
        <w:trPr>
          <w:tblHeader w:val="true"/>
          <w:cantSplit/>
        </w:trPr>
        <w:tc>
          <w:tcPr>
            <w:tcW w:type="dxa" w:w="3400"/>
            <w:tcMar>
              <w:top w:w="100" w:type="dxa"/>
              <w:start w:w="120" w:type="dxa"/>
              <w:bottom w:w="100" w:type="dxa"/>
              <w:end w:w="120" w:type="dxa"/>
            </w:tcMar>
            <w:vAlign w:val="center"/>
            <w:shd w:fill="123A5A"/>
          </w:tcPr>
          <w:p>
            <w:pPr>
              <w:jc w:val="left"/>
            </w:pPr>
            <w:r>
              <w:rPr>
                <w:rFonts w:ascii="Calibri" w:hAnsi="Calibri"/>
                <w:b/>
                <w:color w:val="FFFFFF"/>
                <w:sz w:val="18"/>
              </w:rPr>
              <w:t>Measure and calculation</w:t>
            </w:r>
          </w:p>
        </w:tc>
        <w:tc>
          <w:tcPr>
            <w:tcW w:type="dxa" w:w="2800"/>
            <w:tcMar>
              <w:top w:w="100" w:type="dxa"/>
              <w:start w:w="120" w:type="dxa"/>
              <w:bottom w:w="100" w:type="dxa"/>
              <w:end w:w="120" w:type="dxa"/>
            </w:tcMar>
            <w:vAlign w:val="center"/>
            <w:shd w:fill="123A5A"/>
          </w:tcPr>
          <w:p>
            <w:pPr>
              <w:jc w:val="left"/>
            </w:pPr>
            <w:r>
              <w:rPr>
                <w:rFonts w:ascii="Calibri" w:hAnsi="Calibri"/>
                <w:b/>
                <w:color w:val="FFFFFF"/>
                <w:sz w:val="18"/>
              </w:rPr>
              <w:t>Source / owner</w:t>
            </w:r>
          </w:p>
        </w:tc>
        <w:tc>
          <w:tcPr>
            <w:tcW w:type="dxa" w:w="1500"/>
            <w:tcMar>
              <w:top w:w="100" w:type="dxa"/>
              <w:start w:w="120" w:type="dxa"/>
              <w:bottom w:w="100" w:type="dxa"/>
              <w:end w:w="120" w:type="dxa"/>
            </w:tcMar>
            <w:vAlign w:val="center"/>
            <w:shd w:fill="123A5A"/>
          </w:tcPr>
          <w:p>
            <w:pPr>
              <w:jc w:val="left"/>
            </w:pPr>
            <w:r>
              <w:rPr>
                <w:rFonts w:ascii="Calibri" w:hAnsi="Calibri"/>
                <w:b/>
                <w:color w:val="FFFFFF"/>
                <w:sz w:val="18"/>
              </w:rPr>
              <w:t>Frequency</w:t>
            </w:r>
          </w:p>
        </w:tc>
        <w:tc>
          <w:tcPr>
            <w:tcW w:type="dxa" w:w="1660"/>
            <w:tcMar>
              <w:top w:w="100" w:type="dxa"/>
              <w:start w:w="120" w:type="dxa"/>
              <w:bottom w:w="100" w:type="dxa"/>
              <w:end w:w="120" w:type="dxa"/>
            </w:tcMar>
            <w:vAlign w:val="center"/>
            <w:shd w:fill="123A5A"/>
          </w:tcPr>
          <w:p>
            <w:pPr>
              <w:jc w:val="left"/>
            </w:pPr>
            <w:r>
              <w:rPr>
                <w:rFonts w:ascii="Calibri" w:hAnsi="Calibri"/>
                <w:b/>
                <w:color w:val="FFFFFF"/>
                <w:sz w:val="18"/>
              </w:rPr>
              <w:t>Year-One target</w:t>
            </w:r>
          </w:p>
        </w:tc>
      </w:tr>
      <w:tr>
        <w:trPr>
          <w:cantSplit/>
        </w:trPr>
        <w:tc>
          <w:tcPr>
            <w:tcW w:type="dxa" w:w="3400"/>
            <w:tcMar>
              <w:top w:w="100" w:type="dxa"/>
              <w:start w:w="120" w:type="dxa"/>
              <w:bottom w:w="100" w:type="dxa"/>
              <w:end w:w="120" w:type="dxa"/>
            </w:tcMar>
            <w:vAlign w:val="center"/>
          </w:tcPr>
          <w:p>
            <w:pPr>
              <w:spacing w:after="0" w:line="252" w:lineRule="auto"/>
            </w:pPr>
            <w:r>
              <w:rPr>
                <w:rFonts w:ascii="Calibri" w:hAnsi="Calibri"/>
                <w:color w:val="24313A"/>
                <w:sz w:val="17"/>
              </w:rPr>
              <w:t>Milestone reliability = milestones achieved on or before the approved date divided by milestones due.</w:t>
            </w:r>
          </w:p>
        </w:tc>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7"/>
              </w:rPr>
              <w:t>Approved schedule and status reports / Project Manager; consolidated by Framework Owner.</w:t>
            </w:r>
          </w:p>
        </w:tc>
        <w:tc>
          <w:tcPr>
            <w:tcW w:type="dxa" w:w="1500"/>
            <w:tcMar>
              <w:top w:w="100" w:type="dxa"/>
              <w:start w:w="120" w:type="dxa"/>
              <w:bottom w:w="100" w:type="dxa"/>
              <w:end w:w="120" w:type="dxa"/>
            </w:tcMar>
            <w:vAlign w:val="center"/>
          </w:tcPr>
          <w:p>
            <w:pPr>
              <w:spacing w:after="0" w:line="252" w:lineRule="auto"/>
            </w:pPr>
            <w:r>
              <w:rPr>
                <w:rFonts w:ascii="Calibri" w:hAnsi="Calibri"/>
                <w:color w:val="24313A"/>
                <w:sz w:val="17"/>
              </w:rPr>
              <w:t>Monthly</w:t>
            </w:r>
          </w:p>
        </w:tc>
        <w:tc>
          <w:tcPr>
            <w:tcW w:type="dxa" w:w="1660"/>
            <w:tcMar>
              <w:top w:w="100" w:type="dxa"/>
              <w:start w:w="120" w:type="dxa"/>
              <w:bottom w:w="100" w:type="dxa"/>
              <w:end w:w="120" w:type="dxa"/>
            </w:tcMar>
            <w:vAlign w:val="center"/>
          </w:tcPr>
          <w:p>
            <w:pPr>
              <w:spacing w:after="0" w:line="252" w:lineRule="auto"/>
            </w:pPr>
            <w:r>
              <w:rPr>
                <w:rFonts w:ascii="Calibri" w:hAnsi="Calibri"/>
                <w:color w:val="24313A"/>
                <w:sz w:val="17"/>
              </w:rPr>
              <w:t>At least 85% portfolio-wide.</w:t>
            </w:r>
          </w:p>
        </w:tc>
      </w:tr>
      <w:tr>
        <w:trPr>
          <w:cantSplit/>
        </w:trPr>
        <w:tc>
          <w:tcPr>
            <w:tcW w:type="dxa" w:w="3400"/>
            <w:shd w:fill="F4F6F8"/>
            <w:tcMar>
              <w:top w:w="100" w:type="dxa"/>
              <w:start w:w="120" w:type="dxa"/>
              <w:bottom w:w="100" w:type="dxa"/>
              <w:end w:w="120" w:type="dxa"/>
            </w:tcMar>
            <w:vAlign w:val="center"/>
          </w:tcPr>
          <w:p>
            <w:pPr>
              <w:spacing w:after="0" w:line="252" w:lineRule="auto"/>
            </w:pPr>
            <w:r>
              <w:rPr>
                <w:rFonts w:ascii="Calibri" w:hAnsi="Calibri"/>
                <w:color w:val="24313A"/>
                <w:sz w:val="17"/>
              </w:rPr>
              <w:t>Absolute cost forecast variance = absolute difference between forecast total cost and approved budget, divided by approved budget.</w:t>
            </w:r>
          </w:p>
        </w:tc>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7"/>
              </w:rPr>
              <w:t>Budget, commitments and forecast / Project Manager and Finance.</w:t>
            </w:r>
          </w:p>
        </w:tc>
        <w:tc>
          <w:tcPr>
            <w:tcW w:type="dxa" w:w="1500"/>
            <w:shd w:fill="F4F6F8"/>
            <w:tcMar>
              <w:top w:w="100" w:type="dxa"/>
              <w:start w:w="120" w:type="dxa"/>
              <w:bottom w:w="100" w:type="dxa"/>
              <w:end w:w="120" w:type="dxa"/>
            </w:tcMar>
            <w:vAlign w:val="center"/>
          </w:tcPr>
          <w:p>
            <w:pPr>
              <w:spacing w:after="0" w:line="252" w:lineRule="auto"/>
            </w:pPr>
            <w:r>
              <w:rPr>
                <w:rFonts w:ascii="Calibri" w:hAnsi="Calibri"/>
                <w:color w:val="24313A"/>
                <w:sz w:val="17"/>
              </w:rPr>
              <w:t>Monthly</w:t>
            </w:r>
          </w:p>
        </w:tc>
        <w:tc>
          <w:tcPr>
            <w:tcW w:type="dxa" w:w="1660"/>
            <w:shd w:fill="F4F6F8"/>
            <w:tcMar>
              <w:top w:w="100" w:type="dxa"/>
              <w:start w:w="120" w:type="dxa"/>
              <w:bottom w:w="100" w:type="dxa"/>
              <w:end w:w="120" w:type="dxa"/>
            </w:tcMar>
            <w:vAlign w:val="center"/>
          </w:tcPr>
          <w:p>
            <w:pPr>
              <w:spacing w:after="0" w:line="252" w:lineRule="auto"/>
            </w:pPr>
            <w:r>
              <w:rPr>
                <w:rFonts w:ascii="Calibri" w:hAnsi="Calibri"/>
                <w:color w:val="24313A"/>
                <w:sz w:val="17"/>
              </w:rPr>
              <w:t>Within class tolerance: A 5%, B 10%, C 15%.</w:t>
            </w:r>
          </w:p>
        </w:tc>
      </w:tr>
      <w:tr>
        <w:trPr>
          <w:cantSplit/>
        </w:trPr>
        <w:tc>
          <w:tcPr>
            <w:tcW w:type="dxa" w:w="3400"/>
            <w:tcMar>
              <w:top w:w="100" w:type="dxa"/>
              <w:start w:w="120" w:type="dxa"/>
              <w:bottom w:w="100" w:type="dxa"/>
              <w:end w:w="120" w:type="dxa"/>
            </w:tcMar>
            <w:vAlign w:val="center"/>
          </w:tcPr>
          <w:p>
            <w:pPr>
              <w:spacing w:after="0" w:line="252" w:lineRule="auto"/>
            </w:pPr>
            <w:r>
              <w:rPr>
                <w:rFonts w:ascii="Calibri" w:hAnsi="Calibri"/>
                <w:color w:val="24313A"/>
                <w:sz w:val="17"/>
              </w:rPr>
              <w:t>First-pass acceptance rate = deliverables accepted without material rework divided by deliverables presented for acceptance.</w:t>
            </w:r>
          </w:p>
        </w:tc>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7"/>
              </w:rPr>
              <w:t>Acceptance and defect records / Quality Reviewer or acceptance authority.</w:t>
            </w:r>
          </w:p>
        </w:tc>
        <w:tc>
          <w:tcPr>
            <w:tcW w:type="dxa" w:w="1500"/>
            <w:tcMar>
              <w:top w:w="100" w:type="dxa"/>
              <w:start w:w="120" w:type="dxa"/>
              <w:bottom w:w="100" w:type="dxa"/>
              <w:end w:w="120" w:type="dxa"/>
            </w:tcMar>
            <w:vAlign w:val="center"/>
          </w:tcPr>
          <w:p>
            <w:pPr>
              <w:spacing w:after="0" w:line="252" w:lineRule="auto"/>
            </w:pPr>
            <w:r>
              <w:rPr>
                <w:rFonts w:ascii="Calibri" w:hAnsi="Calibri"/>
                <w:color w:val="24313A"/>
                <w:sz w:val="17"/>
              </w:rPr>
              <w:t>At each acceptance event; quarterly portfolio total</w:t>
            </w:r>
          </w:p>
        </w:tc>
        <w:tc>
          <w:tcPr>
            <w:tcW w:type="dxa" w:w="1660"/>
            <w:tcMar>
              <w:top w:w="100" w:type="dxa"/>
              <w:start w:w="120" w:type="dxa"/>
              <w:bottom w:w="100" w:type="dxa"/>
              <w:end w:w="120" w:type="dxa"/>
            </w:tcMar>
            <w:vAlign w:val="center"/>
          </w:tcPr>
          <w:p>
            <w:pPr>
              <w:spacing w:after="0" w:line="252" w:lineRule="auto"/>
            </w:pPr>
            <w:r>
              <w:rPr>
                <w:rFonts w:ascii="Calibri" w:hAnsi="Calibri"/>
                <w:color w:val="24313A"/>
                <w:sz w:val="17"/>
              </w:rPr>
              <w:t>At least 90%.</w:t>
            </w:r>
          </w:p>
        </w:tc>
      </w:tr>
      <w:tr>
        <w:trPr>
          <w:cantSplit/>
        </w:trPr>
        <w:tc>
          <w:tcPr>
            <w:tcW w:type="dxa" w:w="3400"/>
            <w:shd w:fill="F4F6F8"/>
            <w:tcMar>
              <w:top w:w="100" w:type="dxa"/>
              <w:start w:w="120" w:type="dxa"/>
              <w:bottom w:w="100" w:type="dxa"/>
              <w:end w:w="120" w:type="dxa"/>
            </w:tcMar>
            <w:vAlign w:val="center"/>
          </w:tcPr>
          <w:p>
            <w:pPr>
              <w:spacing w:after="0" w:line="252" w:lineRule="auto"/>
            </w:pPr>
            <w:r>
              <w:rPr>
                <w:rFonts w:ascii="Calibri" w:hAnsi="Calibri"/>
                <w:color w:val="24313A"/>
                <w:sz w:val="17"/>
              </w:rPr>
              <w:t>Overdue critical risk actions = count of critical-risk actions past their approved due date.</w:t>
            </w:r>
          </w:p>
        </w:tc>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7"/>
              </w:rPr>
              <w:t>Risk register / Project Manager; challenged by Assurance.</w:t>
            </w:r>
          </w:p>
        </w:tc>
        <w:tc>
          <w:tcPr>
            <w:tcW w:type="dxa" w:w="1500"/>
            <w:shd w:fill="F4F6F8"/>
            <w:tcMar>
              <w:top w:w="100" w:type="dxa"/>
              <w:start w:w="120" w:type="dxa"/>
              <w:bottom w:w="100" w:type="dxa"/>
              <w:end w:w="120" w:type="dxa"/>
            </w:tcMar>
            <w:vAlign w:val="center"/>
          </w:tcPr>
          <w:p>
            <w:pPr>
              <w:spacing w:after="0" w:line="252" w:lineRule="auto"/>
            </w:pPr>
            <w:r>
              <w:rPr>
                <w:rFonts w:ascii="Calibri" w:hAnsi="Calibri"/>
                <w:color w:val="24313A"/>
                <w:sz w:val="17"/>
              </w:rPr>
              <w:t>Weekly on project; monthly portfolio total</w:t>
            </w:r>
          </w:p>
        </w:tc>
        <w:tc>
          <w:tcPr>
            <w:tcW w:type="dxa" w:w="1660"/>
            <w:shd w:fill="F4F6F8"/>
            <w:tcMar>
              <w:top w:w="100" w:type="dxa"/>
              <w:start w:w="120" w:type="dxa"/>
              <w:bottom w:w="100" w:type="dxa"/>
              <w:end w:w="120" w:type="dxa"/>
            </w:tcMar>
            <w:vAlign w:val="center"/>
          </w:tcPr>
          <w:p>
            <w:pPr>
              <w:spacing w:after="0" w:line="252" w:lineRule="auto"/>
            </w:pPr>
            <w:r>
              <w:rPr>
                <w:rFonts w:ascii="Calibri" w:hAnsi="Calibri"/>
                <w:color w:val="24313A"/>
                <w:sz w:val="17"/>
              </w:rPr>
              <w:t>Zero overdue critical actions.</w:t>
            </w:r>
          </w:p>
        </w:tc>
      </w:tr>
      <w:tr>
        <w:trPr>
          <w:cantSplit/>
        </w:trPr>
        <w:tc>
          <w:tcPr>
            <w:tcW w:type="dxa" w:w="3400"/>
            <w:tcMar>
              <w:top w:w="100" w:type="dxa"/>
              <w:start w:w="120" w:type="dxa"/>
              <w:bottom w:w="100" w:type="dxa"/>
              <w:end w:w="120" w:type="dxa"/>
            </w:tcMar>
            <w:vAlign w:val="center"/>
          </w:tcPr>
          <w:p>
            <w:pPr>
              <w:spacing w:after="0" w:line="252" w:lineRule="auto"/>
            </w:pPr>
            <w:r>
              <w:rPr>
                <w:rFonts w:ascii="Calibri" w:hAnsi="Calibri"/>
                <w:color w:val="24313A"/>
                <w:sz w:val="17"/>
              </w:rPr>
              <w:t>On-time Gate 7 completion = Gate 7 decisions completed by the approved due date divided by Gate 7 reviews due.</w:t>
            </w:r>
          </w:p>
        </w:tc>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7"/>
              </w:rPr>
              <w:t>Project register and benefits records / Framework Owner and Sponsor.</w:t>
            </w:r>
          </w:p>
        </w:tc>
        <w:tc>
          <w:tcPr>
            <w:tcW w:type="dxa" w:w="1500"/>
            <w:tcMar>
              <w:top w:w="100" w:type="dxa"/>
              <w:start w:w="120" w:type="dxa"/>
              <w:bottom w:w="100" w:type="dxa"/>
              <w:end w:w="120" w:type="dxa"/>
            </w:tcMar>
            <w:vAlign w:val="center"/>
          </w:tcPr>
          <w:p>
            <w:pPr>
              <w:spacing w:after="0" w:line="252" w:lineRule="auto"/>
            </w:pPr>
            <w:r>
              <w:rPr>
                <w:rFonts w:ascii="Calibri" w:hAnsi="Calibri"/>
                <w:color w:val="24313A"/>
                <w:sz w:val="17"/>
              </w:rPr>
              <w:t>Monthly tracking; quarterly report</w:t>
            </w:r>
          </w:p>
        </w:tc>
        <w:tc>
          <w:tcPr>
            <w:tcW w:type="dxa" w:w="1660"/>
            <w:tcMar>
              <w:top w:w="100" w:type="dxa"/>
              <w:start w:w="120" w:type="dxa"/>
              <w:bottom w:w="100" w:type="dxa"/>
              <w:end w:w="120" w:type="dxa"/>
            </w:tcMar>
            <w:vAlign w:val="center"/>
          </w:tcPr>
          <w:p>
            <w:pPr>
              <w:spacing w:after="0" w:line="252" w:lineRule="auto"/>
            </w:pPr>
            <w:r>
              <w:rPr>
                <w:rFonts w:ascii="Calibri" w:hAnsi="Calibri"/>
                <w:color w:val="24313A"/>
                <w:sz w:val="17"/>
              </w:rPr>
              <w:t>100% completed on time.</w:t>
            </w:r>
          </w:p>
        </w:tc>
      </w:tr>
    </w:tbl>
    <w:p>
      <w:pPr>
        <w:spacing w:after="40"/>
      </w:pPr>
    </w:p>
    <w:p>
      <w:pPr>
        <w:pStyle w:val="Heading2"/>
        <w:keepNext w:val="0"/>
        <w:pageBreakBefore w:val="0"/>
      </w:pPr>
      <w:r>
        <w:t>18.2 Extended Measurement Catalogue</w:t>
      </w:r>
    </w:p>
    <w:p>
      <w:pPr>
        <w:spacing w:after="120" w:line="300" w:lineRule="auto"/>
      </w:pPr>
      <w:r>
        <w:rPr>
          <w:i w:val="0"/>
        </w:rPr>
        <w:t>The measures below are optional extensions selected when they materially improve a project or portfolio decision. Their use must identify a definition, data source, owner, frequency and target in the approved plan.</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800"/>
        <w:gridCol w:w="7560"/>
      </w:tblGrid>
      <w:tr>
        <w:trPr>
          <w:tblHeader w:val="true"/>
          <w:cantSplit/>
        </w:trPr>
        <w:tc>
          <w:tcPr>
            <w:tcW w:type="dxa" w:w="1800"/>
            <w:tcMar>
              <w:top w:w="100" w:type="dxa"/>
              <w:start w:w="120" w:type="dxa"/>
              <w:bottom w:w="100" w:type="dxa"/>
              <w:end w:w="120" w:type="dxa"/>
            </w:tcMar>
            <w:vAlign w:val="center"/>
            <w:shd w:fill="123A5A"/>
          </w:tcPr>
          <w:p>
            <w:pPr>
              <w:jc w:val="left"/>
            </w:pPr>
            <w:r>
              <w:rPr>
                <w:rFonts w:ascii="Calibri" w:hAnsi="Calibri"/>
                <w:b/>
                <w:color w:val="FFFFFF"/>
                <w:sz w:val="18"/>
              </w:rPr>
              <w:t>Dimension</w:t>
            </w:r>
          </w:p>
        </w:tc>
        <w:tc>
          <w:tcPr>
            <w:tcW w:type="dxa" w:w="7560"/>
            <w:tcMar>
              <w:top w:w="100" w:type="dxa"/>
              <w:start w:w="120" w:type="dxa"/>
              <w:bottom w:w="100" w:type="dxa"/>
              <w:end w:w="120" w:type="dxa"/>
            </w:tcMar>
            <w:vAlign w:val="center"/>
            <w:shd w:fill="123A5A"/>
          </w:tcPr>
          <w:p>
            <w:pPr>
              <w:jc w:val="left"/>
            </w:pPr>
            <w:r>
              <w:rPr>
                <w:rFonts w:ascii="Calibri" w:hAnsi="Calibri"/>
                <w:b/>
                <w:color w:val="FFFFFF"/>
                <w:sz w:val="18"/>
              </w:rPr>
              <w:t>Optional indicators</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Value</w:t>
            </w:r>
          </w:p>
        </w:tc>
        <w:tc>
          <w:tcPr>
            <w:tcW w:type="dxa" w:w="7560"/>
            <w:tcMar>
              <w:top w:w="100" w:type="dxa"/>
              <w:start w:w="120" w:type="dxa"/>
              <w:bottom w:w="100" w:type="dxa"/>
              <w:end w:w="120" w:type="dxa"/>
            </w:tcMar>
            <w:vAlign w:val="center"/>
          </w:tcPr>
          <w:p>
            <w:pPr>
              <w:spacing w:after="0" w:line="252" w:lineRule="auto"/>
            </w:pPr>
            <w:r>
              <w:rPr>
                <w:rFonts w:ascii="Calibri" w:hAnsi="Calibri"/>
                <w:color w:val="24313A"/>
                <w:sz w:val="17"/>
              </w:rPr>
              <w:t>Benefit achieved, client outcome, user adoption, service improvement, strategic contribution.</w:t>
            </w:r>
          </w:p>
        </w:tc>
      </w:tr>
      <w:tr>
        <w:trPr>
          <w:cantSplit/>
        </w:trPr>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Delivery</w:t>
            </w:r>
          </w:p>
        </w:tc>
        <w:tc>
          <w:tcPr>
            <w:tcW w:type="dxa" w:w="7560"/>
            <w:shd w:fill="F4F6F8"/>
            <w:tcMar>
              <w:top w:w="100" w:type="dxa"/>
              <w:start w:w="120" w:type="dxa"/>
              <w:bottom w:w="100" w:type="dxa"/>
              <w:end w:w="120" w:type="dxa"/>
            </w:tcMar>
            <w:vAlign w:val="center"/>
          </w:tcPr>
          <w:p>
            <w:pPr>
              <w:spacing w:after="0" w:line="252" w:lineRule="auto"/>
            </w:pPr>
            <w:r>
              <w:rPr>
                <w:rFonts w:ascii="Calibri" w:hAnsi="Calibri"/>
                <w:color w:val="24313A"/>
                <w:sz w:val="17"/>
              </w:rPr>
              <w:t>Milestone reliability, schedule variance, cost forecast, throughput, dependency performance.</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Quality</w:t>
            </w:r>
          </w:p>
        </w:tc>
        <w:tc>
          <w:tcPr>
            <w:tcW w:type="dxa" w:w="7560"/>
            <w:tcMar>
              <w:top w:w="100" w:type="dxa"/>
              <w:start w:w="120" w:type="dxa"/>
              <w:bottom w:w="100" w:type="dxa"/>
              <w:end w:w="120" w:type="dxa"/>
            </w:tcMar>
            <w:vAlign w:val="center"/>
          </w:tcPr>
          <w:p>
            <w:pPr>
              <w:spacing w:after="0" w:line="252" w:lineRule="auto"/>
            </w:pPr>
            <w:r>
              <w:rPr>
                <w:rFonts w:ascii="Calibri" w:hAnsi="Calibri"/>
                <w:color w:val="24313A"/>
                <w:sz w:val="17"/>
              </w:rPr>
              <w:t>Acceptance pass rate, escaped defects, rework, test coverage, service incidents.</w:t>
            </w:r>
          </w:p>
        </w:tc>
      </w:tr>
      <w:tr>
        <w:trPr>
          <w:cantSplit/>
        </w:trPr>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Risk</w:t>
            </w:r>
          </w:p>
        </w:tc>
        <w:tc>
          <w:tcPr>
            <w:tcW w:type="dxa" w:w="7560"/>
            <w:shd w:fill="F4F6F8"/>
            <w:tcMar>
              <w:top w:w="100" w:type="dxa"/>
              <w:start w:w="120" w:type="dxa"/>
              <w:bottom w:w="100" w:type="dxa"/>
              <w:end w:w="120" w:type="dxa"/>
            </w:tcMar>
            <w:vAlign w:val="center"/>
          </w:tcPr>
          <w:p>
            <w:pPr>
              <w:spacing w:after="0" w:line="252" w:lineRule="auto"/>
            </w:pPr>
            <w:r>
              <w:rPr>
                <w:rFonts w:ascii="Calibri" w:hAnsi="Calibri"/>
                <w:color w:val="24313A"/>
                <w:sz w:val="17"/>
              </w:rPr>
              <w:t>Critical exposure, overdue actions, risk trend, audit findings, security/privacy conditions.</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Stakeholders</w:t>
            </w:r>
          </w:p>
        </w:tc>
        <w:tc>
          <w:tcPr>
            <w:tcW w:type="dxa" w:w="7560"/>
            <w:tcMar>
              <w:top w:w="100" w:type="dxa"/>
              <w:start w:w="120" w:type="dxa"/>
              <w:bottom w:w="100" w:type="dxa"/>
              <w:end w:w="120" w:type="dxa"/>
            </w:tcMar>
            <w:vAlign w:val="center"/>
          </w:tcPr>
          <w:p>
            <w:pPr>
              <w:spacing w:after="0" w:line="252" w:lineRule="auto"/>
            </w:pPr>
            <w:r>
              <w:rPr>
                <w:rFonts w:ascii="Calibri" w:hAnsi="Calibri"/>
                <w:color w:val="24313A"/>
                <w:sz w:val="17"/>
              </w:rPr>
              <w:t>Sponsor confidence, user satisfaction, decision turnaround, communication effectiveness.</w:t>
            </w:r>
          </w:p>
        </w:tc>
      </w:tr>
      <w:tr>
        <w:trPr>
          <w:cantSplit/>
        </w:trPr>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Capability</w:t>
            </w:r>
          </w:p>
        </w:tc>
        <w:tc>
          <w:tcPr>
            <w:tcW w:type="dxa" w:w="7560"/>
            <w:shd w:fill="F4F6F8"/>
            <w:tcMar>
              <w:top w:w="100" w:type="dxa"/>
              <w:start w:w="120" w:type="dxa"/>
              <w:bottom w:w="100" w:type="dxa"/>
              <w:end w:w="120" w:type="dxa"/>
            </w:tcMar>
            <w:vAlign w:val="center"/>
          </w:tcPr>
          <w:p>
            <w:pPr>
              <w:spacing w:after="0" w:line="252" w:lineRule="auto"/>
            </w:pPr>
            <w:r>
              <w:rPr>
                <w:rFonts w:ascii="Calibri" w:hAnsi="Calibri"/>
                <w:color w:val="24313A"/>
                <w:sz w:val="17"/>
              </w:rPr>
              <w:t>Knowledge transfer, documentation completeness, staff growth, supplier performance.</w:t>
            </w:r>
          </w:p>
        </w:tc>
      </w:tr>
    </w:tbl>
    <w:p>
      <w:pPr>
        <w:spacing w:after="40"/>
      </w:pPr>
    </w:p>
    <w:p>
      <w:pPr>
        <w:pStyle w:val="Heading2"/>
        <w:keepNext w:val="0"/>
        <w:pageBreakBefore w:val="0"/>
      </w:pPr>
      <w:r>
        <w:t>18.3 Status Definitions</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600"/>
        <w:gridCol w:w="7760"/>
      </w:tblGrid>
      <w:tr>
        <w:trPr>
          <w:tblHeader w:val="true"/>
          <w:cantSplit/>
        </w:trPr>
        <w:tc>
          <w:tcPr>
            <w:tcW w:type="dxa" w:w="1600"/>
            <w:tcMar>
              <w:top w:w="100" w:type="dxa"/>
              <w:start w:w="120" w:type="dxa"/>
              <w:bottom w:w="100" w:type="dxa"/>
              <w:end w:w="120" w:type="dxa"/>
            </w:tcMar>
            <w:vAlign w:val="center"/>
            <w:shd w:fill="123A5A"/>
          </w:tcPr>
          <w:p>
            <w:pPr>
              <w:jc w:val="left"/>
            </w:pPr>
            <w:r>
              <w:rPr>
                <w:rFonts w:ascii="Calibri" w:hAnsi="Calibri"/>
                <w:b/>
                <w:color w:val="FFFFFF"/>
                <w:sz w:val="19"/>
              </w:rPr>
              <w:t>Status</w:t>
            </w:r>
          </w:p>
        </w:tc>
        <w:tc>
          <w:tcPr>
            <w:tcW w:type="dxa" w:w="7760"/>
            <w:tcMar>
              <w:top w:w="100" w:type="dxa"/>
              <w:start w:w="120" w:type="dxa"/>
              <w:bottom w:w="100" w:type="dxa"/>
              <w:end w:w="120" w:type="dxa"/>
            </w:tcMar>
            <w:vAlign w:val="center"/>
            <w:shd w:fill="123A5A"/>
          </w:tcPr>
          <w:p>
            <w:pPr>
              <w:jc w:val="left"/>
            </w:pPr>
            <w:r>
              <w:rPr>
                <w:rFonts w:ascii="Calibri" w:hAnsi="Calibri"/>
                <w:b/>
                <w:color w:val="FFFFFF"/>
                <w:sz w:val="19"/>
              </w:rPr>
              <w:t>Definition</w:t>
            </w:r>
          </w:p>
        </w:tc>
      </w:tr>
      <w:tr>
        <w:trPr>
          <w:cantSplit/>
        </w:trPr>
        <w:tc>
          <w:tcPr>
            <w:tcW w:type="dxa" w:w="1600"/>
            <w:tcMar>
              <w:top w:w="100" w:type="dxa"/>
              <w:start w:w="120" w:type="dxa"/>
              <w:bottom w:w="100" w:type="dxa"/>
              <w:end w:w="120" w:type="dxa"/>
            </w:tcMar>
            <w:vAlign w:val="center"/>
          </w:tcPr>
          <w:p>
            <w:pPr>
              <w:spacing w:after="0" w:line="252" w:lineRule="auto"/>
            </w:pPr>
            <w:r>
              <w:rPr>
                <w:rFonts w:ascii="Calibri" w:hAnsi="Calibri"/>
                <w:color w:val="24313A"/>
                <w:sz w:val="18"/>
              </w:rPr>
              <w:t>Green</w:t>
            </w:r>
          </w:p>
        </w:tc>
        <w:tc>
          <w:tcPr>
            <w:tcW w:type="dxa" w:w="7760"/>
            <w:tcMar>
              <w:top w:w="100" w:type="dxa"/>
              <w:start w:w="120" w:type="dxa"/>
              <w:bottom w:w="100" w:type="dxa"/>
              <w:end w:w="120" w:type="dxa"/>
            </w:tcMar>
            <w:vAlign w:val="center"/>
          </w:tcPr>
          <w:p>
            <w:pPr>
              <w:spacing w:after="0" w:line="252" w:lineRule="auto"/>
            </w:pPr>
            <w:r>
              <w:rPr>
                <w:rFonts w:ascii="Calibri" w:hAnsi="Calibri"/>
                <w:color w:val="24313A"/>
                <w:sz w:val="18"/>
              </w:rPr>
              <w:t>Objectives are forecast within approved tolerances; no unresolved condition threatens the stage outcome.</w:t>
            </w:r>
          </w:p>
        </w:tc>
      </w:tr>
      <w:tr>
        <w:trPr>
          <w:cantSplit/>
        </w:trPr>
        <w:tc>
          <w:tcPr>
            <w:tcW w:type="dxa" w:w="1600"/>
            <w:shd w:fill="F4F6F8"/>
            <w:tcMar>
              <w:top w:w="100" w:type="dxa"/>
              <w:start w:w="120" w:type="dxa"/>
              <w:bottom w:w="100" w:type="dxa"/>
              <w:end w:w="120" w:type="dxa"/>
            </w:tcMar>
            <w:vAlign w:val="center"/>
          </w:tcPr>
          <w:p>
            <w:pPr>
              <w:spacing w:after="0" w:line="252" w:lineRule="auto"/>
            </w:pPr>
            <w:r>
              <w:rPr>
                <w:rFonts w:ascii="Calibri" w:hAnsi="Calibri"/>
                <w:color w:val="24313A"/>
                <w:sz w:val="18"/>
              </w:rPr>
              <w:t>Amber</w:t>
            </w:r>
          </w:p>
        </w:tc>
        <w:tc>
          <w:tcPr>
            <w:tcW w:type="dxa" w:w="7760"/>
            <w:shd w:fill="F4F6F8"/>
            <w:tcMar>
              <w:top w:w="100" w:type="dxa"/>
              <w:start w:w="120" w:type="dxa"/>
              <w:bottom w:w="100" w:type="dxa"/>
              <w:end w:w="120" w:type="dxa"/>
            </w:tcMar>
            <w:vAlign w:val="center"/>
          </w:tcPr>
          <w:p>
            <w:pPr>
              <w:spacing w:after="0" w:line="252" w:lineRule="auto"/>
            </w:pPr>
            <w:r>
              <w:rPr>
                <w:rFonts w:ascii="Calibri" w:hAnsi="Calibri"/>
                <w:color w:val="24313A"/>
                <w:sz w:val="18"/>
              </w:rPr>
              <w:t>A material concern exists, but a credible and owned recovery action is available within authority or pending timely decision.</w:t>
            </w:r>
          </w:p>
        </w:tc>
      </w:tr>
      <w:tr>
        <w:trPr>
          <w:cantSplit/>
        </w:trPr>
        <w:tc>
          <w:tcPr>
            <w:tcW w:type="dxa" w:w="1600"/>
            <w:tcMar>
              <w:top w:w="100" w:type="dxa"/>
              <w:start w:w="120" w:type="dxa"/>
              <w:bottom w:w="100" w:type="dxa"/>
              <w:end w:w="120" w:type="dxa"/>
            </w:tcMar>
            <w:vAlign w:val="center"/>
          </w:tcPr>
          <w:p>
            <w:pPr>
              <w:spacing w:after="0" w:line="252" w:lineRule="auto"/>
            </w:pPr>
            <w:r>
              <w:rPr>
                <w:rFonts w:ascii="Calibri" w:hAnsi="Calibri"/>
                <w:color w:val="24313A"/>
                <w:sz w:val="18"/>
              </w:rPr>
              <w:t>Red</w:t>
            </w:r>
          </w:p>
        </w:tc>
        <w:tc>
          <w:tcPr>
            <w:tcW w:type="dxa" w:w="7760"/>
            <w:tcMar>
              <w:top w:w="100" w:type="dxa"/>
              <w:start w:w="120" w:type="dxa"/>
              <w:bottom w:w="100" w:type="dxa"/>
              <w:end w:w="120" w:type="dxa"/>
            </w:tcMar>
            <w:vAlign w:val="center"/>
          </w:tcPr>
          <w:p>
            <w:pPr>
              <w:spacing w:after="0" w:line="252" w:lineRule="auto"/>
            </w:pPr>
            <w:r>
              <w:rPr>
                <w:rFonts w:ascii="Calibri" w:hAnsi="Calibri"/>
                <w:color w:val="24313A"/>
                <w:sz w:val="18"/>
              </w:rPr>
              <w:t>A tolerance is breached or likely to be breached; value, safety, security, legality, acceptance or viability is materially threatened.</w:t>
            </w:r>
          </w:p>
        </w:tc>
      </w:tr>
    </w:tbl>
    <w:p>
      <w:pPr>
        <w:spacing w:after="40"/>
      </w:pPr>
    </w:p>
    <w:p>
      <w:pPr>
        <w:spacing w:after="120" w:line="300" w:lineRule="auto"/>
      </w:pPr>
      <w:r>
        <w:rPr>
          <w:i w:val="0"/>
        </w:rPr>
        <w:t>Status colours must be supported by evidence. A project is not green merely because the team is busy or because a deadline has not yet arrived. Forecasts, dependencies, quality and risks determine status.</w:t>
      </w:r>
    </w:p>
    <w:p>
      <w:pPr>
        <w:pStyle w:val="Heading1"/>
        <w:keepNext/>
        <w:pageBreakBefore w:val="0"/>
      </w:pPr>
      <w:r>
        <w:t>19. Assurance, Audit and Compliance</w:t>
      </w:r>
    </w:p>
    <w:p>
      <w:pPr>
        <w:pStyle w:val="Heading2"/>
        <w:keepNext w:val="0"/>
        <w:pageBreakBefore w:val="0"/>
      </w:pPr>
      <w:r>
        <w:t>19.1 Assurance Purpose</w:t>
      </w:r>
    </w:p>
    <w:p>
      <w:pPr>
        <w:spacing w:after="120" w:line="300" w:lineRule="auto"/>
      </w:pPr>
      <w:r>
        <w:rPr>
          <w:i w:val="0"/>
        </w:rPr>
        <w:t>Project assurance provides confidence that decisions, plans, evidence and controls are reliable. It should be proportionate to risk and sufficiently independent for the reviewer to challenge assumptions and report concerns without pressure.</w:t>
      </w:r>
    </w:p>
    <w:p>
      <w:pPr>
        <w:pStyle w:val="Heading2"/>
        <w:keepNext/>
        <w:pageBreakBefore w:val="0"/>
      </w:pPr>
      <w:r>
        <w:t>19.2 Assurance Activities</w:t>
      </w:r>
    </w:p>
    <w:p>
      <w:pPr>
        <w:numPr>
          <w:ilvl w:val="0"/>
          <w:numId w:val="10"/>
        </w:numPr>
        <w:spacing w:after="80" w:line="300" w:lineRule="auto"/>
      </w:pPr>
      <w:r>
        <w:t>Gate readiness review and confirmation of required evidence.</w:t>
      </w:r>
    </w:p>
    <w:p>
      <w:pPr>
        <w:numPr>
          <w:ilvl w:val="0"/>
          <w:numId w:val="10"/>
        </w:numPr>
        <w:spacing w:after="80" w:line="300" w:lineRule="auto"/>
      </w:pPr>
      <w:r>
        <w:t>Traceability from business need to requirements, deliverables, tests and acceptance.</w:t>
      </w:r>
    </w:p>
    <w:p>
      <w:pPr>
        <w:numPr>
          <w:ilvl w:val="0"/>
          <w:numId w:val="10"/>
        </w:numPr>
        <w:spacing w:after="80" w:line="300" w:lineRule="auto"/>
      </w:pPr>
      <w:r>
        <w:t>Review of estimates, resources, dependencies, contracts and risk responses.</w:t>
      </w:r>
    </w:p>
    <w:p>
      <w:pPr>
        <w:numPr>
          <w:ilvl w:val="0"/>
          <w:numId w:val="10"/>
        </w:numPr>
        <w:spacing w:after="80" w:line="300" w:lineRule="auto"/>
      </w:pPr>
      <w:r>
        <w:t>Security, privacy, data, quality and operational-readiness assessment.</w:t>
      </w:r>
    </w:p>
    <w:p>
      <w:pPr>
        <w:numPr>
          <w:ilvl w:val="0"/>
          <w:numId w:val="10"/>
        </w:numPr>
        <w:spacing w:after="80" w:line="300" w:lineRule="auto"/>
      </w:pPr>
      <w:r>
        <w:t>Verification that approved changes are reflected in current baselines.</w:t>
      </w:r>
    </w:p>
    <w:p>
      <w:pPr>
        <w:numPr>
          <w:ilvl w:val="0"/>
          <w:numId w:val="10"/>
        </w:numPr>
        <w:spacing w:after="80" w:line="300" w:lineRule="auto"/>
      </w:pPr>
      <w:r>
        <w:t>Post-release monitoring and benefits-evidence review.</w:t>
      </w:r>
    </w:p>
    <w:p>
      <w:pPr>
        <w:pStyle w:val="Heading2"/>
        <w:keepNext w:val="0"/>
        <w:pageBreakBefore w:val="0"/>
      </w:pPr>
      <w:r>
        <w:t>19.3 Non-Conformance</w:t>
      </w:r>
    </w:p>
    <w:p>
      <w:pPr>
        <w:spacing w:after="120" w:line="300" w:lineRule="auto"/>
      </w:pPr>
      <w:r>
        <w:rPr>
          <w:i w:val="0"/>
        </w:rPr>
        <w:t>A non-conformance is recorded when required process or evidence is absent, inaccurate or bypassed. It should state the requirement, evidence, impact, owner, corrective action and due date. Critical non-conformance blocks the relevant gate unless authorised leadership documents a lawful, safe and time-bound exception.</w:t>
      </w:r>
    </w:p>
    <w:p>
      <w:pPr>
        <w:pStyle w:val="Heading1"/>
        <w:keepNext/>
        <w:pageBreakBefore w:val="0"/>
      </w:pPr>
      <w:r>
        <w:t>20. Implementation Roadmap for KenAddme IT Links</w:t>
      </w:r>
    </w:p>
    <w:p>
      <w:pPr>
        <w:spacing w:after="120" w:line="300" w:lineRule="auto"/>
      </w:pPr>
      <w:r>
        <w:rPr>
          <w:i w:val="0"/>
        </w:rPr>
        <w:t>Adoption is phased so the framework becomes normal practice rather than a document that teams rarely use. The framework is approved on 2 September 2026 and becomes mandatory on the common project/software commencement date of 31 October 2026.</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Transition rule: </w:t>
      </w:r>
      <w:r>
        <w:rPr>
          <w:rFonts w:ascii="Calibri" w:hAnsi="Calibri"/>
          <w:color w:val="24313A"/>
        </w:rPr>
        <w:t>During transition, new projects must be classified and planned under this framework. Existing Class A and B projects adopt it at the next gate or by 31 October 2026, whichever occurs first. Critical security, privacy, financial, incident and escalation controls apply from approval and are not deferred.</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500"/>
        <w:gridCol w:w="6860"/>
      </w:tblGrid>
      <w:tr>
        <w:trPr>
          <w:tblHeader w:val="true"/>
          <w:cantSplit/>
        </w:trPr>
        <w:tc>
          <w:tcPr>
            <w:tcW w:type="dxa" w:w="2500"/>
            <w:tcMar>
              <w:top w:w="100" w:type="dxa"/>
              <w:start w:w="120" w:type="dxa"/>
              <w:bottom w:w="100" w:type="dxa"/>
              <w:end w:w="120" w:type="dxa"/>
            </w:tcMar>
            <w:vAlign w:val="center"/>
            <w:shd w:fill="123A5A"/>
          </w:tcPr>
          <w:p>
            <w:pPr>
              <w:jc w:val="left"/>
            </w:pPr>
            <w:r>
              <w:rPr>
                <w:rFonts w:ascii="Calibri" w:hAnsi="Calibri"/>
                <w:b/>
                <w:color w:val="FFFFFF"/>
                <w:sz w:val="19"/>
              </w:rPr>
              <w:t>Adoption phase</w:t>
            </w:r>
          </w:p>
        </w:tc>
        <w:tc>
          <w:tcPr>
            <w:tcW w:type="dxa" w:w="6860"/>
            <w:tcMar>
              <w:top w:w="100" w:type="dxa"/>
              <w:start w:w="120" w:type="dxa"/>
              <w:bottom w:w="100" w:type="dxa"/>
              <w:end w:w="120" w:type="dxa"/>
            </w:tcMar>
            <w:vAlign w:val="center"/>
            <w:shd w:fill="123A5A"/>
          </w:tcPr>
          <w:p>
            <w:pPr>
              <w:jc w:val="left"/>
            </w:pPr>
            <w:r>
              <w:rPr>
                <w:rFonts w:ascii="Calibri" w:hAnsi="Calibri"/>
                <w:b/>
                <w:color w:val="FFFFFF"/>
                <w:sz w:val="19"/>
              </w:rPr>
              <w:t>Institutional action</w:t>
            </w:r>
          </w:p>
        </w:tc>
      </w:tr>
      <w:tr>
        <w:trPr>
          <w:cantSplit/>
        </w:trPr>
        <w:tc>
          <w:tcPr>
            <w:tcW w:type="dxa" w:w="2500"/>
            <w:tcMar>
              <w:top w:w="100" w:type="dxa"/>
              <w:start w:w="120" w:type="dxa"/>
              <w:bottom w:w="100" w:type="dxa"/>
              <w:end w:w="120" w:type="dxa"/>
            </w:tcMar>
            <w:vAlign w:val="center"/>
          </w:tcPr>
          <w:p>
            <w:pPr>
              <w:spacing w:after="0" w:line="252" w:lineRule="auto"/>
            </w:pPr>
            <w:r>
              <w:rPr>
                <w:rFonts w:ascii="Calibri" w:hAnsi="Calibri"/>
                <w:color w:val="24313A"/>
                <w:sz w:val="18"/>
              </w:rPr>
              <w:t>Phase 1 - Approve and Assign</w:t>
            </w:r>
          </w:p>
        </w:tc>
        <w:tc>
          <w:tcPr>
            <w:tcW w:type="dxa" w:w="6860"/>
            <w:tcMar>
              <w:top w:w="100" w:type="dxa"/>
              <w:start w:w="120" w:type="dxa"/>
              <w:bottom w:w="100" w:type="dxa"/>
              <w:end w:w="120" w:type="dxa"/>
            </w:tcMar>
            <w:vAlign w:val="center"/>
          </w:tcPr>
          <w:p>
            <w:pPr>
              <w:spacing w:after="0" w:line="252" w:lineRule="auto"/>
            </w:pPr>
            <w:r>
              <w:rPr>
                <w:rFonts w:ascii="Calibri" w:hAnsi="Calibri"/>
                <w:color w:val="24313A"/>
                <w:sz w:val="18"/>
              </w:rPr>
              <w:t>Completed: approve the framework; appoint Freston Kenny Adedeme as owner and custodian; constitute the Project Authority; adopt interim authority limits.</w:t>
            </w:r>
          </w:p>
        </w:tc>
      </w:tr>
      <w:tr>
        <w:trPr>
          <w:cantSplit/>
        </w:trPr>
        <w:tc>
          <w:tcPr>
            <w:tcW w:type="dxa" w:w="2500"/>
            <w:shd w:fill="F4F6F8"/>
            <w:tcMar>
              <w:top w:w="100" w:type="dxa"/>
              <w:start w:w="120" w:type="dxa"/>
              <w:bottom w:w="100" w:type="dxa"/>
              <w:end w:w="120" w:type="dxa"/>
            </w:tcMar>
            <w:vAlign w:val="center"/>
          </w:tcPr>
          <w:p>
            <w:pPr>
              <w:spacing w:after="0" w:line="252" w:lineRule="auto"/>
            </w:pPr>
            <w:r>
              <w:rPr>
                <w:rFonts w:ascii="Calibri" w:hAnsi="Calibri"/>
                <w:color w:val="24313A"/>
                <w:sz w:val="18"/>
              </w:rPr>
              <w:t>Phase 2 - Configure Templates</w:t>
            </w:r>
          </w:p>
        </w:tc>
        <w:tc>
          <w:tcPr>
            <w:tcW w:type="dxa" w:w="6860"/>
            <w:shd w:fill="F4F6F8"/>
            <w:tcMar>
              <w:top w:w="100" w:type="dxa"/>
              <w:start w:w="120" w:type="dxa"/>
              <w:bottom w:w="100" w:type="dxa"/>
              <w:end w:w="120" w:type="dxa"/>
            </w:tcMar>
            <w:vAlign w:val="center"/>
          </w:tcPr>
          <w:p>
            <w:pPr>
              <w:spacing w:after="0" w:line="252" w:lineRule="auto"/>
            </w:pPr>
            <w:r>
              <w:rPr>
                <w:rFonts w:ascii="Calibri" w:hAnsi="Calibri"/>
                <w:color w:val="24313A"/>
                <w:sz w:val="18"/>
              </w:rPr>
              <w:t>Brand the forms, establish the project register and repository, configure status definitions, risk scale, gates and naming conventions.</w:t>
            </w:r>
          </w:p>
        </w:tc>
      </w:tr>
      <w:tr>
        <w:trPr>
          <w:cantSplit/>
        </w:trPr>
        <w:tc>
          <w:tcPr>
            <w:tcW w:type="dxa" w:w="2500"/>
            <w:tcMar>
              <w:top w:w="100" w:type="dxa"/>
              <w:start w:w="120" w:type="dxa"/>
              <w:bottom w:w="100" w:type="dxa"/>
              <w:end w:w="120" w:type="dxa"/>
            </w:tcMar>
            <w:vAlign w:val="center"/>
          </w:tcPr>
          <w:p>
            <w:pPr>
              <w:spacing w:after="0" w:line="252" w:lineRule="auto"/>
            </w:pPr>
            <w:r>
              <w:rPr>
                <w:rFonts w:ascii="Calibri" w:hAnsi="Calibri"/>
                <w:color w:val="24313A"/>
                <w:sz w:val="18"/>
              </w:rPr>
              <w:t>Phase 3 - Pilot</w:t>
            </w:r>
          </w:p>
        </w:tc>
        <w:tc>
          <w:tcPr>
            <w:tcW w:type="dxa" w:w="6860"/>
            <w:tcMar>
              <w:top w:w="100" w:type="dxa"/>
              <w:start w:w="120" w:type="dxa"/>
              <w:bottom w:w="100" w:type="dxa"/>
              <w:end w:w="120" w:type="dxa"/>
            </w:tcMar>
            <w:vAlign w:val="center"/>
          </w:tcPr>
          <w:p>
            <w:pPr>
              <w:spacing w:after="0" w:line="252" w:lineRule="auto"/>
            </w:pPr>
            <w:r>
              <w:rPr>
                <w:rFonts w:ascii="Calibri" w:hAnsi="Calibri"/>
                <w:color w:val="24313A"/>
                <w:sz w:val="18"/>
              </w:rPr>
              <w:t>Apply the framework to one small, one standard and, if available, one high-risk project. Record friction, missing controls and training needs.</w:t>
            </w:r>
          </w:p>
        </w:tc>
      </w:tr>
      <w:tr>
        <w:trPr>
          <w:cantSplit/>
        </w:trPr>
        <w:tc>
          <w:tcPr>
            <w:tcW w:type="dxa" w:w="2500"/>
            <w:shd w:fill="F4F6F8"/>
            <w:tcMar>
              <w:top w:w="100" w:type="dxa"/>
              <w:start w:w="120" w:type="dxa"/>
              <w:bottom w:w="100" w:type="dxa"/>
              <w:end w:w="120" w:type="dxa"/>
            </w:tcMar>
            <w:vAlign w:val="center"/>
          </w:tcPr>
          <w:p>
            <w:pPr>
              <w:spacing w:after="0" w:line="252" w:lineRule="auto"/>
            </w:pPr>
            <w:r>
              <w:rPr>
                <w:rFonts w:ascii="Calibri" w:hAnsi="Calibri"/>
                <w:color w:val="24313A"/>
                <w:sz w:val="18"/>
              </w:rPr>
              <w:t>Phase 4 - Train and Roll Out</w:t>
            </w:r>
          </w:p>
        </w:tc>
        <w:tc>
          <w:tcPr>
            <w:tcW w:type="dxa" w:w="6860"/>
            <w:shd w:fill="F4F6F8"/>
            <w:tcMar>
              <w:top w:w="100" w:type="dxa"/>
              <w:start w:w="120" w:type="dxa"/>
              <w:bottom w:w="100" w:type="dxa"/>
              <w:end w:w="120" w:type="dxa"/>
            </w:tcMar>
            <w:vAlign w:val="center"/>
          </w:tcPr>
          <w:p>
            <w:pPr>
              <w:spacing w:after="0" w:line="252" w:lineRule="auto"/>
            </w:pPr>
            <w:r>
              <w:rPr>
                <w:rFonts w:ascii="Calibri" w:hAnsi="Calibri"/>
                <w:color w:val="24313A"/>
                <w:sz w:val="18"/>
              </w:rPr>
              <w:t>Train sponsors, project managers, technical leads, finance, assurance and team members using practical project scenarios.</w:t>
            </w:r>
          </w:p>
        </w:tc>
      </w:tr>
      <w:tr>
        <w:trPr>
          <w:cantSplit/>
        </w:trPr>
        <w:tc>
          <w:tcPr>
            <w:tcW w:type="dxa" w:w="2500"/>
            <w:tcMar>
              <w:top w:w="100" w:type="dxa"/>
              <w:start w:w="120" w:type="dxa"/>
              <w:bottom w:w="100" w:type="dxa"/>
              <w:end w:w="120" w:type="dxa"/>
            </w:tcMar>
            <w:vAlign w:val="center"/>
          </w:tcPr>
          <w:p>
            <w:pPr>
              <w:spacing w:after="0" w:line="252" w:lineRule="auto"/>
            </w:pPr>
            <w:r>
              <w:rPr>
                <w:rFonts w:ascii="Calibri" w:hAnsi="Calibri"/>
                <w:color w:val="24313A"/>
                <w:sz w:val="18"/>
              </w:rPr>
              <w:t>Phase 5 - Measure and Improve</w:t>
            </w:r>
          </w:p>
        </w:tc>
        <w:tc>
          <w:tcPr>
            <w:tcW w:type="dxa" w:w="6860"/>
            <w:tcMar>
              <w:top w:w="100" w:type="dxa"/>
              <w:start w:w="120" w:type="dxa"/>
              <w:bottom w:w="100" w:type="dxa"/>
              <w:end w:w="120" w:type="dxa"/>
            </w:tcMar>
            <w:vAlign w:val="center"/>
          </w:tcPr>
          <w:p>
            <w:pPr>
              <w:spacing w:after="0" w:line="252" w:lineRule="auto"/>
            </w:pPr>
            <w:r>
              <w:rPr>
                <w:rFonts w:ascii="Calibri" w:hAnsi="Calibri"/>
                <w:color w:val="24313A"/>
                <w:sz w:val="18"/>
              </w:rPr>
              <w:t>Review gate quality, reporting accuracy, project outcomes, lessons and compliance. Update the framework through controlled revisions.</w:t>
            </w:r>
          </w:p>
        </w:tc>
      </w:tr>
    </w:tbl>
    <w:p>
      <w:pPr>
        <w:spacing w:after="40"/>
      </w:pPr>
    </w:p>
    <w:p>
      <w:pPr>
        <w:pStyle w:val="Heading2"/>
        <w:keepNext w:val="0"/>
        <w:pageBreakBefore w:val="0"/>
      </w:pPr>
      <w:r>
        <w:t>20.1 Transition Requirements</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600"/>
        <w:gridCol w:w="6760"/>
      </w:tblGrid>
      <w:tr>
        <w:trPr>
          <w:tblHeader w:val="true"/>
          <w:cantSplit/>
        </w:trPr>
        <w:tc>
          <w:tcPr>
            <w:tcW w:type="dxa" w:w="2600"/>
            <w:tcMar>
              <w:top w:w="100" w:type="dxa"/>
              <w:start w:w="120" w:type="dxa"/>
              <w:bottom w:w="100" w:type="dxa"/>
              <w:end w:w="120" w:type="dxa"/>
            </w:tcMar>
            <w:vAlign w:val="center"/>
            <w:shd w:fill="123A5A"/>
          </w:tcPr>
          <w:p>
            <w:pPr>
              <w:jc w:val="left"/>
            </w:pPr>
            <w:r>
              <w:rPr>
                <w:rFonts w:ascii="Calibri" w:hAnsi="Calibri"/>
                <w:b/>
                <w:color w:val="FFFFFF"/>
                <w:sz w:val="18"/>
              </w:rPr>
              <w:t>Work in progress</w:t>
            </w:r>
          </w:p>
        </w:tc>
        <w:tc>
          <w:tcPr>
            <w:tcW w:type="dxa" w:w="6760"/>
            <w:tcMar>
              <w:top w:w="100" w:type="dxa"/>
              <w:start w:w="120" w:type="dxa"/>
              <w:bottom w:w="100" w:type="dxa"/>
              <w:end w:w="120" w:type="dxa"/>
            </w:tcMar>
            <w:vAlign w:val="center"/>
            <w:shd w:fill="123A5A"/>
          </w:tcPr>
          <w:p>
            <w:pPr>
              <w:jc w:val="left"/>
            </w:pPr>
            <w:r>
              <w:rPr>
                <w:rFonts w:ascii="Calibri" w:hAnsi="Calibri"/>
                <w:b/>
                <w:color w:val="FFFFFF"/>
                <w:sz w:val="18"/>
              </w:rPr>
              <w:t>Required treatment</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7"/>
              </w:rPr>
              <w:t>New projects during transition</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7"/>
              </w:rPr>
              <w:t>Classify at intake, use the approved templates and plan for full compliance no later than 31 October 2026.</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7"/>
              </w:rPr>
              <w:t>Active Class A projects</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7"/>
              </w:rPr>
              <w:t>Apply critical controls from approval and adopt the complete framework at the next gate or by the effective date, whichever occurs first.</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7"/>
              </w:rPr>
              <w:t>Active Class B projects</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7"/>
              </w:rPr>
              <w:t>Adopt at the next gate or by the effective date. Record any missing baseline, acceptance, role-separation or authority control as a corrective action.</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7"/>
              </w:rPr>
              <w:t>Active Class C projects</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7"/>
              </w:rPr>
              <w:t>At minimum, confirm sponsor, scope, plan, risk, acceptance and closure records before the effective date or project closure, whichever occurs first.</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7"/>
              </w:rPr>
              <w:t>Software projects</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7"/>
              </w:rPr>
              <w:t>Use Appendix I and the approved Software Development and Engineering Framework; one aligned evidence pack may satisfy both frameworks.</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7"/>
              </w:rPr>
              <w:t>Unmet transition requirement</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7"/>
              </w:rPr>
              <w:t>Record a time-bound exception with owner, compensating control, approval and expiry. Transition is not a general waiver.</w:t>
            </w:r>
          </w:p>
        </w:tc>
      </w:tr>
    </w:tbl>
    <w:p>
      <w:pPr>
        <w:spacing w:after="40"/>
      </w:pPr>
    </w:p>
    <w:p>
      <w:pPr>
        <w:pStyle w:val="Heading2"/>
        <w:keepNext w:val="0"/>
        <w:pageBreakBefore w:val="0"/>
      </w:pPr>
      <w:r>
        <w:t>20.2 First 90-Day Priorities</w:t>
      </w:r>
    </w:p>
    <w:p>
      <w:pPr>
        <w:numPr>
          <w:ilvl w:val="0"/>
          <w:numId w:val="10"/>
        </w:numPr>
        <w:spacing w:after="80" w:line="300" w:lineRule="auto"/>
      </w:pPr>
      <w:r>
        <w:t>Confirm named deputies and operational representatives for the Project Authority.</w:t>
      </w:r>
    </w:p>
    <w:p>
      <w:pPr>
        <w:numPr>
          <w:ilvl w:val="0"/>
          <w:numId w:val="10"/>
        </w:numPr>
        <w:spacing w:after="80" w:line="300" w:lineRule="auto"/>
      </w:pPr>
      <w:r>
        <w:t>Create one central project register and controlled document repository.</w:t>
      </w:r>
    </w:p>
    <w:p>
      <w:pPr>
        <w:numPr>
          <w:ilvl w:val="0"/>
          <w:numId w:val="10"/>
        </w:numPr>
        <w:spacing w:after="80" w:line="300" w:lineRule="auto"/>
      </w:pPr>
      <w:r>
        <w:t>Adopt the charter, status report, risk register, change request and closure templates in this framework.</w:t>
      </w:r>
    </w:p>
    <w:p>
      <w:pPr>
        <w:numPr>
          <w:ilvl w:val="0"/>
          <w:numId w:val="10"/>
        </w:numPr>
        <w:spacing w:after="80" w:line="300" w:lineRule="auto"/>
      </w:pPr>
      <w:r>
        <w:t>Classify all active projects and identify missing sponsors, baselines, acceptance criteria and critical risks.</w:t>
      </w:r>
    </w:p>
    <w:p>
      <w:pPr>
        <w:numPr>
          <w:ilvl w:val="0"/>
          <w:numId w:val="10"/>
        </w:numPr>
        <w:spacing w:after="80" w:line="300" w:lineRule="auto"/>
      </w:pPr>
      <w:r>
        <w:t>Run gate-readiness reviews for active Class A and Class B projects.</w:t>
      </w:r>
    </w:p>
    <w:p>
      <w:pPr>
        <w:numPr>
          <w:ilvl w:val="0"/>
          <w:numId w:val="10"/>
        </w:numPr>
        <w:spacing w:after="80" w:line="300" w:lineRule="auto"/>
      </w:pPr>
      <w:r>
        <w:t>Train leaders to distinguish honest amber/red reporting from failure; early escalation should be rewarded, not hidden.</w:t>
      </w:r>
    </w:p>
    <w:p>
      <w:pPr>
        <w:pStyle w:val="Heading1"/>
        <w:keepNext/>
        <w:pageBreakBefore/>
      </w:pPr>
      <w:r>
        <w:t>Appendix A - Stage-Gate Checklist</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700"/>
        <w:gridCol w:w="5860"/>
        <w:gridCol w:w="1800"/>
      </w:tblGrid>
      <w:tr>
        <w:trPr>
          <w:tblHeader w:val="true"/>
          <w:cantSplit/>
        </w:trPr>
        <w:tc>
          <w:tcPr>
            <w:tcW w:type="dxa" w:w="1700"/>
            <w:tcMar>
              <w:top w:w="100" w:type="dxa"/>
              <w:start w:w="120" w:type="dxa"/>
              <w:bottom w:w="100" w:type="dxa"/>
              <w:end w:w="120" w:type="dxa"/>
            </w:tcMar>
            <w:vAlign w:val="center"/>
            <w:shd w:fill="123A5A"/>
          </w:tcPr>
          <w:p>
            <w:pPr>
              <w:jc w:val="left"/>
            </w:pPr>
            <w:r>
              <w:rPr>
                <w:rFonts w:ascii="Calibri" w:hAnsi="Calibri"/>
                <w:b/>
                <w:color w:val="FFFFFF"/>
                <w:sz w:val="18"/>
              </w:rPr>
              <w:t>Gate</w:t>
            </w:r>
          </w:p>
        </w:tc>
        <w:tc>
          <w:tcPr>
            <w:tcW w:type="dxa" w:w="5860"/>
            <w:tcMar>
              <w:top w:w="100" w:type="dxa"/>
              <w:start w:w="120" w:type="dxa"/>
              <w:bottom w:w="100" w:type="dxa"/>
              <w:end w:w="120" w:type="dxa"/>
            </w:tcMar>
            <w:vAlign w:val="center"/>
            <w:shd w:fill="123A5A"/>
          </w:tcPr>
          <w:p>
            <w:pPr>
              <w:jc w:val="left"/>
            </w:pPr>
            <w:r>
              <w:rPr>
                <w:rFonts w:ascii="Calibri" w:hAnsi="Calibri"/>
                <w:b/>
                <w:color w:val="FFFFFF"/>
                <w:sz w:val="18"/>
              </w:rPr>
              <w:t>Required evidence</w:t>
            </w:r>
          </w:p>
        </w:tc>
        <w:tc>
          <w:tcPr>
            <w:tcW w:type="dxa" w:w="1800"/>
            <w:tcMar>
              <w:top w:w="100" w:type="dxa"/>
              <w:start w:w="120" w:type="dxa"/>
              <w:bottom w:w="100" w:type="dxa"/>
              <w:end w:w="120" w:type="dxa"/>
            </w:tcMar>
            <w:vAlign w:val="center"/>
            <w:shd w:fill="123A5A"/>
          </w:tcPr>
          <w:p>
            <w:pPr>
              <w:jc w:val="left"/>
            </w:pPr>
            <w:r>
              <w:rPr>
                <w:rFonts w:ascii="Calibri" w:hAnsi="Calibri"/>
                <w:b/>
                <w:color w:val="FFFFFF"/>
                <w:sz w:val="18"/>
              </w:rPr>
              <w:t>Decision owner</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color w:val="24313A"/>
                <w:sz w:val="17"/>
              </w:rPr>
              <w:t>Gate 1 - Intake</w:t>
            </w:r>
          </w:p>
        </w:tc>
        <w:tc>
          <w:tcPr>
            <w:tcW w:type="dxa" w:w="5860"/>
            <w:tcMar>
              <w:top w:w="100" w:type="dxa"/>
              <w:start w:w="120" w:type="dxa"/>
              <w:bottom w:w="100" w:type="dxa"/>
              <w:end w:w="120" w:type="dxa"/>
            </w:tcMar>
            <w:vAlign w:val="center"/>
          </w:tcPr>
          <w:p>
            <w:pPr>
              <w:spacing w:after="0" w:line="252" w:lineRule="auto"/>
            </w:pPr>
            <w:r>
              <w:rPr>
                <w:rFonts w:ascii="Calibri" w:hAnsi="Calibri"/>
                <w:color w:val="24313A"/>
                <w:sz w:val="17"/>
              </w:rPr>
              <w:t>Need/opportunity, owner, beneficiaries, initial screening, classification recommendation.</w:t>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 xml:space="preserve">Sponsor for Class C, ratified in batch at the monthly Project Authority review; Project Authority for Class A and Class B</w:t>
            </w:r>
          </w:p>
        </w:tc>
      </w:tr>
      <w:tr>
        <w:trPr>
          <w:cantSplit/>
        </w:trPr>
        <w:tc>
          <w:tcPr>
            <w:tcW w:type="dxa" w:w="1700"/>
            <w:shd w:fill="F4F6F8"/>
            <w:tcMar>
              <w:top w:w="100" w:type="dxa"/>
              <w:start w:w="120" w:type="dxa"/>
              <w:bottom w:w="100" w:type="dxa"/>
              <w:end w:w="120" w:type="dxa"/>
            </w:tcMar>
            <w:vAlign w:val="center"/>
          </w:tcPr>
          <w:p>
            <w:pPr>
              <w:spacing w:after="0" w:line="252" w:lineRule="auto"/>
            </w:pPr>
            <w:r>
              <w:rPr>
                <w:rFonts w:ascii="Calibri" w:hAnsi="Calibri"/>
                <w:color w:val="24313A"/>
                <w:sz w:val="17"/>
              </w:rPr>
              <w:t>Gate 2 - Authorisation</w:t>
            </w:r>
          </w:p>
        </w:tc>
        <w:tc>
          <w:tcPr>
            <w:tcW w:type="dxa" w:w="5860"/>
            <w:shd w:fill="F4F6F8"/>
            <w:tcMar>
              <w:top w:w="100" w:type="dxa"/>
              <w:start w:w="120" w:type="dxa"/>
              <w:bottom w:w="100" w:type="dxa"/>
              <w:end w:w="120" w:type="dxa"/>
            </w:tcMar>
            <w:vAlign w:val="center"/>
          </w:tcPr>
          <w:p>
            <w:pPr>
              <w:spacing w:after="0" w:line="252" w:lineRule="auto"/>
            </w:pPr>
            <w:r>
              <w:rPr>
                <w:rFonts w:ascii="Calibri" w:hAnsi="Calibri"/>
                <w:color w:val="24313A"/>
                <w:sz w:val="17"/>
              </w:rPr>
              <w:t>Charter, business case, feasibility, high-level scope, sponsor, principal risks.</w:t>
            </w:r>
          </w:p>
        </w:tc>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Sponsor for Class B/C; Project Authority for Class A</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color w:val="24313A"/>
                <w:sz w:val="17"/>
              </w:rPr>
              <w:t>Gate 3 - Delivery Readiness</w:t>
            </w:r>
          </w:p>
        </w:tc>
        <w:tc>
          <w:tcPr>
            <w:tcW w:type="dxa" w:w="5860"/>
            <w:tcMar>
              <w:top w:w="100" w:type="dxa"/>
              <w:start w:w="120" w:type="dxa"/>
              <w:bottom w:w="100" w:type="dxa"/>
              <w:end w:w="120" w:type="dxa"/>
            </w:tcMar>
            <w:vAlign w:val="center"/>
          </w:tcPr>
          <w:p>
            <w:pPr>
              <w:spacing w:after="0" w:line="252" w:lineRule="auto"/>
            </w:pPr>
            <w:r>
              <w:rPr>
                <w:rFonts w:ascii="Calibri" w:hAnsi="Calibri"/>
                <w:color w:val="24313A"/>
                <w:sz w:val="17"/>
              </w:rPr>
              <w:t>Integrated plan, baselines, resources, quality, risk, security/privacy, benefits funding and transition plans.</w:t>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Sponsor for Class B/C; Project Authority for Class A</w:t>
            </w:r>
          </w:p>
        </w:tc>
      </w:tr>
      <w:tr>
        <w:trPr>
          <w:cantSplit/>
        </w:trPr>
        <w:tc>
          <w:tcPr>
            <w:tcW w:type="dxa" w:w="1700"/>
            <w:shd w:fill="F4F6F8"/>
            <w:tcMar>
              <w:top w:w="100" w:type="dxa"/>
              <w:start w:w="120" w:type="dxa"/>
              <w:bottom w:w="100" w:type="dxa"/>
              <w:end w:w="120" w:type="dxa"/>
            </w:tcMar>
            <w:vAlign w:val="center"/>
          </w:tcPr>
          <w:p>
            <w:pPr>
              <w:spacing w:after="0" w:line="252" w:lineRule="auto"/>
            </w:pPr>
            <w:r>
              <w:rPr>
                <w:rFonts w:ascii="Calibri" w:hAnsi="Calibri"/>
                <w:color w:val="24313A"/>
                <w:sz w:val="17"/>
              </w:rPr>
              <w:t>Gate 4 - Release Readiness</w:t>
            </w:r>
          </w:p>
        </w:tc>
        <w:tc>
          <w:tcPr>
            <w:tcW w:type="dxa" w:w="5860"/>
            <w:shd w:fill="F4F6F8"/>
            <w:tcMar>
              <w:top w:w="100" w:type="dxa"/>
              <w:start w:w="120" w:type="dxa"/>
              <w:bottom w:w="100" w:type="dxa"/>
              <w:end w:w="120" w:type="dxa"/>
            </w:tcMar>
            <w:vAlign w:val="center"/>
          </w:tcPr>
          <w:p>
            <w:pPr>
              <w:spacing w:after="0" w:line="252" w:lineRule="auto"/>
            </w:pPr>
            <w:r>
              <w:rPr>
                <w:rFonts w:ascii="Calibri" w:hAnsi="Calibri"/>
                <w:color w:val="24313A"/>
                <w:sz w:val="17"/>
              </w:rPr>
              <w:t>Accepted deliverables, test evidence, defect/risk position, operational and user readiness.</w:t>
            </w:r>
          </w:p>
        </w:tc>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Named acceptance authority; Project Authority concurrence for Class A</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color w:val="24313A"/>
                <w:sz w:val="17"/>
              </w:rPr>
              <w:t>Gate 5 - Continuation / Exception</w:t>
            </w:r>
          </w:p>
        </w:tc>
        <w:tc>
          <w:tcPr>
            <w:tcW w:type="dxa" w:w="5860"/>
            <w:tcMar>
              <w:top w:w="100" w:type="dxa"/>
              <w:start w:w="120" w:type="dxa"/>
              <w:bottom w:w="100" w:type="dxa"/>
              <w:end w:w="120" w:type="dxa"/>
            </w:tcMar>
            <w:vAlign w:val="center"/>
          </w:tcPr>
          <w:p>
            <w:pPr>
              <w:spacing w:after="0" w:line="252" w:lineRule="auto"/>
            </w:pPr>
            <w:r>
              <w:rPr>
                <w:rFonts w:ascii="Calibri" w:hAnsi="Calibri"/>
                <w:color w:val="24313A"/>
                <w:sz w:val="17"/>
              </w:rPr>
              <w:t>Current forecast, variance analysis, trigger, corrective plan, change or exception request.</w:t>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Sponsor within tolerance; Project Authority beyond tolerance or for Class A</w:t>
            </w:r>
          </w:p>
        </w:tc>
      </w:tr>
      <w:tr>
        <w:trPr>
          <w:cantSplit/>
        </w:trPr>
        <w:tc>
          <w:tcPr>
            <w:tcW w:type="dxa" w:w="1700"/>
            <w:shd w:fill="F4F6F8"/>
            <w:tcMar>
              <w:top w:w="100" w:type="dxa"/>
              <w:start w:w="120" w:type="dxa"/>
              <w:bottom w:w="100" w:type="dxa"/>
              <w:end w:w="120" w:type="dxa"/>
            </w:tcMar>
            <w:vAlign w:val="center"/>
          </w:tcPr>
          <w:p>
            <w:pPr>
              <w:spacing w:after="0" w:line="252" w:lineRule="auto"/>
            </w:pPr>
            <w:r>
              <w:rPr>
                <w:rFonts w:ascii="Calibri" w:hAnsi="Calibri"/>
                <w:color w:val="24313A"/>
                <w:sz w:val="17"/>
              </w:rPr>
              <w:t>Gate 6 - Closure</w:t>
            </w:r>
          </w:p>
        </w:tc>
        <w:tc>
          <w:tcPr>
            <w:tcW w:type="dxa" w:w="5860"/>
            <w:shd w:fill="F4F6F8"/>
            <w:tcMar>
              <w:top w:w="100" w:type="dxa"/>
              <w:start w:w="120" w:type="dxa"/>
              <w:bottom w:w="100" w:type="dxa"/>
              <w:end w:w="120" w:type="dxa"/>
            </w:tcMar>
            <w:vAlign w:val="center"/>
          </w:tcPr>
          <w:p>
            <w:pPr>
              <w:spacing w:after="0" w:line="252" w:lineRule="auto"/>
            </w:pPr>
            <w:r>
              <w:rPr>
                <w:rFonts w:ascii="Calibri" w:hAnsi="Calibri"/>
                <w:color w:val="24313A"/>
                <w:sz w:val="17"/>
              </w:rPr>
              <w:t>Acceptance, handover, financial/contract closure, archived records, lessons, benefits ownership.</w:t>
            </w:r>
          </w:p>
        </w:tc>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Sponsor</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color w:val="24313A"/>
                <w:sz w:val="17"/>
              </w:rPr>
              <w:t>Gate 7 - Benefits</w:t>
            </w:r>
          </w:p>
        </w:tc>
        <w:tc>
          <w:tcPr>
            <w:tcW w:type="dxa" w:w="5860"/>
            <w:tcMar>
              <w:top w:w="100" w:type="dxa"/>
              <w:start w:w="120" w:type="dxa"/>
              <w:bottom w:w="100" w:type="dxa"/>
              <w:end w:w="120" w:type="dxa"/>
            </w:tcMar>
            <w:vAlign w:val="center"/>
          </w:tcPr>
          <w:p>
            <w:pPr>
              <w:spacing w:after="0" w:line="252" w:lineRule="auto"/>
            </w:pPr>
            <w:r>
              <w:rPr>
                <w:rFonts w:ascii="Calibri" w:hAnsi="Calibri"/>
                <w:color w:val="24313A"/>
                <w:sz w:val="17"/>
              </w:rPr>
              <w:t>Benefits measures, usage evidence, outcomes, unintended effects, follow-on actions and register update.</w:t>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Sponsor, supported by Service / Operations Owner</w:t>
            </w:r>
          </w:p>
        </w:tc>
      </w:tr>
    </w:tbl>
    <w:p>
      <w:pPr>
        <w:spacing w:after="40"/>
      </w:pPr>
    </w:p>
    <w:p>
      <w:pPr>
        <w:pStyle w:val="Heading2"/>
        <w:keepNext w:val="0"/>
        <w:pageBreakBefore w:val="0"/>
      </w:pPr>
      <w:r>
        <w:t>Standard Gate Questions</w:t>
      </w:r>
    </w:p>
    <w:p>
      <w:pPr>
        <w:numPr>
          <w:ilvl w:val="0"/>
          <w:numId w:val="10"/>
        </w:numPr>
        <w:spacing w:after="80" w:line="300" w:lineRule="auto"/>
      </w:pPr>
      <w:r>
        <w:t>What decision is being requested and who has authority to make it?</w:t>
      </w:r>
    </w:p>
    <w:p>
      <w:pPr>
        <w:numPr>
          <w:ilvl w:val="0"/>
          <w:numId w:val="10"/>
        </w:numPr>
        <w:spacing w:after="80" w:line="300" w:lineRule="auto"/>
      </w:pPr>
      <w:r>
        <w:t>What evidence supports the recommendation?</w:t>
      </w:r>
    </w:p>
    <w:p>
      <w:pPr>
        <w:numPr>
          <w:ilvl w:val="0"/>
          <w:numId w:val="10"/>
        </w:numPr>
        <w:spacing w:after="80" w:line="300" w:lineRule="auto"/>
      </w:pPr>
      <w:r>
        <w:t>Are objectives, scope, assumptions and success criteria still valid?</w:t>
      </w:r>
    </w:p>
    <w:p>
      <w:pPr>
        <w:numPr>
          <w:ilvl w:val="0"/>
          <w:numId w:val="10"/>
        </w:numPr>
        <w:spacing w:after="80" w:line="300" w:lineRule="auto"/>
      </w:pPr>
      <w:r>
        <w:t>Are resources, funding, dependencies and operational ownership adequate?</w:t>
      </w:r>
    </w:p>
    <w:p>
      <w:pPr>
        <w:numPr>
          <w:ilvl w:val="0"/>
          <w:numId w:val="10"/>
        </w:numPr>
        <w:spacing w:after="80" w:line="300" w:lineRule="auto"/>
      </w:pPr>
      <w:r>
        <w:t>Are critical risks, issues, security, privacy, legal and quality conditions acceptable?</w:t>
      </w:r>
    </w:p>
    <w:p>
      <w:pPr>
        <w:numPr>
          <w:ilvl w:val="0"/>
          <w:numId w:val="10"/>
        </w:numPr>
        <w:spacing w:after="80" w:line="300" w:lineRule="auto"/>
      </w:pPr>
      <w:r>
        <w:t>What conditions, actions or limits attach to approval?</w:t>
      </w:r>
    </w:p>
    <w:p>
      <w:pPr>
        <w:numPr>
          <w:ilvl w:val="0"/>
          <w:numId w:val="10"/>
        </w:numPr>
        <w:spacing w:after="80" w:line="300" w:lineRule="auto"/>
      </w:pPr>
      <w:r>
        <w:t>What will cause the project to return, pause, escalate or stop?</w:t>
      </w:r>
    </w:p>
    <w:p>
      <w:pPr>
        <w:pStyle w:val="Heading1"/>
        <w:keepNext/>
        <w:pageBreakBefore/>
      </w:pPr>
      <w:r>
        <w:t>Appendix B - Project Charter Template</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800"/>
        <w:gridCol w:w="6560"/>
      </w:tblGrid>
      <w:tr>
        <w:trPr>
          <w:tblHeader w:val="true"/>
          <w:cantSplit/>
        </w:trPr>
        <w:tc>
          <w:tcPr>
            <w:tcW w:type="dxa" w:w="2800"/>
            <w:tcMar>
              <w:top w:w="100" w:type="dxa"/>
              <w:start w:w="120" w:type="dxa"/>
              <w:bottom w:w="100" w:type="dxa"/>
              <w:end w:w="120" w:type="dxa"/>
            </w:tcMar>
            <w:vAlign w:val="center"/>
            <w:shd w:fill="123A5A"/>
          </w:tcPr>
          <w:p>
            <w:pPr>
              <w:jc w:val="left"/>
            </w:pPr>
            <w:r>
              <w:rPr>
                <w:rFonts w:ascii="Calibri" w:hAnsi="Calibri"/>
                <w:b/>
                <w:color w:val="FFFFFF"/>
                <w:sz w:val="19"/>
              </w:rPr>
              <w:t>Charter field</w:t>
            </w:r>
          </w:p>
        </w:tc>
        <w:tc>
          <w:tcPr>
            <w:tcW w:type="dxa" w:w="6560"/>
            <w:tcMar>
              <w:top w:w="100" w:type="dxa"/>
              <w:start w:w="120" w:type="dxa"/>
              <w:bottom w:w="100" w:type="dxa"/>
              <w:end w:w="120" w:type="dxa"/>
            </w:tcMar>
            <w:vAlign w:val="center"/>
            <w:shd w:fill="123A5A"/>
          </w:tcPr>
          <w:p>
            <w:pPr>
              <w:jc w:val="left"/>
            </w:pPr>
            <w:r>
              <w:rPr>
                <w:rFonts w:ascii="Calibri" w:hAnsi="Calibri"/>
                <w:b/>
                <w:color w:val="FFFFFF"/>
                <w:sz w:val="19"/>
              </w:rPr>
              <w:t>Required content</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8"/>
              </w:rPr>
              <w:t>Project title and ID</w:t>
            </w:r>
          </w:p>
        </w:tc>
        <w:tc>
          <w:tcPr>
            <w:tcW w:type="dxa" w:w="6560"/>
            <w:tcMar>
              <w:top w:w="100" w:type="dxa"/>
              <w:start w:w="120" w:type="dxa"/>
              <w:bottom w:w="100" w:type="dxa"/>
              <w:end w:w="120" w:type="dxa"/>
            </w:tcMar>
            <w:vAlign w:val="center"/>
          </w:tcPr>
          <w:p>
            <w:pPr>
              <w:spacing w:after="0" w:line="252" w:lineRule="auto"/>
            </w:pPr>
            <w:r>
              <w:rPr>
                <w:rFonts w:ascii="Calibri" w:hAnsi="Calibri"/>
                <w:color w:val="24313A"/>
                <w:sz w:val="18"/>
              </w:rPr>
              <w:t>Unique name and project-register reference.</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8"/>
              </w:rPr>
              <w:t>Sponsor and project manager</w:t>
            </w:r>
          </w:p>
        </w:tc>
        <w:tc>
          <w:tcPr>
            <w:tcW w:type="dxa" w:w="6560"/>
            <w:shd w:fill="F4F6F8"/>
            <w:tcMar>
              <w:top w:w="100" w:type="dxa"/>
              <w:start w:w="120" w:type="dxa"/>
              <w:bottom w:w="100" w:type="dxa"/>
              <w:end w:w="120" w:type="dxa"/>
            </w:tcMar>
            <w:vAlign w:val="center"/>
          </w:tcPr>
          <w:p>
            <w:pPr>
              <w:spacing w:after="0" w:line="252" w:lineRule="auto"/>
            </w:pPr>
            <w:r>
              <w:rPr>
                <w:rFonts w:ascii="Calibri" w:hAnsi="Calibri"/>
                <w:color w:val="24313A"/>
                <w:sz w:val="18"/>
              </w:rPr>
              <w:t>Named accountable sponsor and delivery lead.</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8"/>
              </w:rPr>
              <w:t>Problem / opportunity</w:t>
            </w:r>
          </w:p>
        </w:tc>
        <w:tc>
          <w:tcPr>
            <w:tcW w:type="dxa" w:w="6560"/>
            <w:tcMar>
              <w:top w:w="100" w:type="dxa"/>
              <w:start w:w="120" w:type="dxa"/>
              <w:bottom w:w="100" w:type="dxa"/>
              <w:end w:w="120" w:type="dxa"/>
            </w:tcMar>
            <w:vAlign w:val="center"/>
          </w:tcPr>
          <w:p>
            <w:pPr>
              <w:spacing w:after="0" w:line="252" w:lineRule="auto"/>
            </w:pPr>
            <w:r>
              <w:rPr>
                <w:rFonts w:ascii="Calibri" w:hAnsi="Calibri"/>
                <w:color w:val="24313A"/>
                <w:sz w:val="18"/>
              </w:rPr>
              <w:t>Evidence-based description of the current situation.</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8"/>
              </w:rPr>
              <w:t>Purpose and objectives</w:t>
            </w:r>
          </w:p>
        </w:tc>
        <w:tc>
          <w:tcPr>
            <w:tcW w:type="dxa" w:w="6560"/>
            <w:shd w:fill="F4F6F8"/>
            <w:tcMar>
              <w:top w:w="100" w:type="dxa"/>
              <w:start w:w="120" w:type="dxa"/>
              <w:bottom w:w="100" w:type="dxa"/>
              <w:end w:w="120" w:type="dxa"/>
            </w:tcMar>
            <w:vAlign w:val="center"/>
          </w:tcPr>
          <w:p>
            <w:pPr>
              <w:spacing w:after="0" w:line="252" w:lineRule="auto"/>
            </w:pPr>
            <w:r>
              <w:rPr>
                <w:rFonts w:ascii="Calibri" w:hAnsi="Calibri"/>
                <w:color w:val="24313A"/>
                <w:sz w:val="18"/>
              </w:rPr>
              <w:t>Specific outcomes the project intends to achieve.</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8"/>
              </w:rPr>
              <w:t>Scope and exclusions</w:t>
            </w:r>
          </w:p>
        </w:tc>
        <w:tc>
          <w:tcPr>
            <w:tcW w:type="dxa" w:w="6560"/>
            <w:tcMar>
              <w:top w:w="100" w:type="dxa"/>
              <w:start w:w="120" w:type="dxa"/>
              <w:bottom w:w="100" w:type="dxa"/>
              <w:end w:w="120" w:type="dxa"/>
            </w:tcMar>
            <w:vAlign w:val="center"/>
          </w:tcPr>
          <w:p>
            <w:pPr>
              <w:spacing w:after="0" w:line="252" w:lineRule="auto"/>
            </w:pPr>
            <w:r>
              <w:rPr>
                <w:rFonts w:ascii="Calibri" w:hAnsi="Calibri"/>
                <w:color w:val="24313A"/>
                <w:sz w:val="18"/>
              </w:rPr>
              <w:t>What is included and explicitly not included.</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8"/>
              </w:rPr>
              <w:t>Key deliverables</w:t>
            </w:r>
          </w:p>
        </w:tc>
        <w:tc>
          <w:tcPr>
            <w:tcW w:type="dxa" w:w="6560"/>
            <w:shd w:fill="F4F6F8"/>
            <w:tcMar>
              <w:top w:w="100" w:type="dxa"/>
              <w:start w:w="120" w:type="dxa"/>
              <w:bottom w:w="100" w:type="dxa"/>
              <w:end w:w="120" w:type="dxa"/>
            </w:tcMar>
            <w:vAlign w:val="center"/>
          </w:tcPr>
          <w:p>
            <w:pPr>
              <w:spacing w:after="0" w:line="252" w:lineRule="auto"/>
            </w:pPr>
            <w:r>
              <w:rPr>
                <w:rFonts w:ascii="Calibri" w:hAnsi="Calibri"/>
                <w:color w:val="24313A"/>
                <w:sz w:val="18"/>
              </w:rPr>
              <w:t>Products, services, capabilities or results to be accepted.</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8"/>
              </w:rPr>
              <w:t>Success and acceptance criteria</w:t>
            </w:r>
          </w:p>
        </w:tc>
        <w:tc>
          <w:tcPr>
            <w:tcW w:type="dxa" w:w="6560"/>
            <w:tcMar>
              <w:top w:w="100" w:type="dxa"/>
              <w:start w:w="120" w:type="dxa"/>
              <w:bottom w:w="100" w:type="dxa"/>
              <w:end w:w="120" w:type="dxa"/>
            </w:tcMar>
            <w:vAlign w:val="center"/>
          </w:tcPr>
          <w:p>
            <w:pPr>
              <w:spacing w:after="0" w:line="252" w:lineRule="auto"/>
            </w:pPr>
            <w:r>
              <w:rPr>
                <w:rFonts w:ascii="Calibri" w:hAnsi="Calibri"/>
                <w:color w:val="24313A"/>
                <w:sz w:val="18"/>
              </w:rPr>
              <w:t>Measurable conditions for completion and value.</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8"/>
              </w:rPr>
              <w:t>Stakeholders and users</w:t>
            </w:r>
          </w:p>
        </w:tc>
        <w:tc>
          <w:tcPr>
            <w:tcW w:type="dxa" w:w="6560"/>
            <w:shd w:fill="F4F6F8"/>
            <w:tcMar>
              <w:top w:w="100" w:type="dxa"/>
              <w:start w:w="120" w:type="dxa"/>
              <w:bottom w:w="100" w:type="dxa"/>
              <w:end w:w="120" w:type="dxa"/>
            </w:tcMar>
            <w:vAlign w:val="center"/>
          </w:tcPr>
          <w:p>
            <w:pPr>
              <w:spacing w:after="0" w:line="252" w:lineRule="auto"/>
            </w:pPr>
            <w:r>
              <w:rPr>
                <w:rFonts w:ascii="Calibri" w:hAnsi="Calibri"/>
                <w:color w:val="24313A"/>
                <w:sz w:val="18"/>
              </w:rPr>
              <w:t>Main affected or decision-making groups.</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8"/>
              </w:rPr>
              <w:t>High-level schedule and budget</w:t>
            </w:r>
          </w:p>
        </w:tc>
        <w:tc>
          <w:tcPr>
            <w:tcW w:type="dxa" w:w="6560"/>
            <w:tcMar>
              <w:top w:w="100" w:type="dxa"/>
              <w:start w:w="120" w:type="dxa"/>
              <w:bottom w:w="100" w:type="dxa"/>
              <w:end w:w="120" w:type="dxa"/>
            </w:tcMar>
            <w:vAlign w:val="center"/>
          </w:tcPr>
          <w:p>
            <w:pPr>
              <w:spacing w:after="0" w:line="252" w:lineRule="auto"/>
            </w:pPr>
            <w:r>
              <w:rPr>
                <w:rFonts w:ascii="Calibri" w:hAnsi="Calibri"/>
                <w:color w:val="24313A"/>
                <w:sz w:val="18"/>
              </w:rPr>
              <w:t>Major milestones, expected duration and funding range.</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8"/>
              </w:rPr>
              <w:t>Software framework alignment</w:t>
            </w:r>
          </w:p>
        </w:tc>
        <w:tc>
          <w:tcPr>
            <w:tcW w:type="dxa" w:w="6560"/>
            <w:shd w:fill="F4F6F8"/>
            <w:tcMar>
              <w:top w:w="100" w:type="dxa"/>
              <w:start w:w="120" w:type="dxa"/>
              <w:bottom w:w="100" w:type="dxa"/>
              <w:end w:w="120" w:type="dxa"/>
            </w:tcMar>
            <w:vAlign w:val="center"/>
          </w:tcPr>
          <w:p>
            <w:pPr>
              <w:spacing w:after="0" w:line="252" w:lineRule="auto"/>
            </w:pPr>
            <w:r>
              <w:rPr>
                <w:rFonts w:ascii="Calibri" w:hAnsi="Calibri"/>
                <w:color w:val="24313A"/>
                <w:sz w:val="18"/>
              </w:rPr>
              <w:t>Software Class 1-4, aligned G0-G6 checkpoints and Appendix I mapping where applicable.</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8"/>
              </w:rPr>
              <w:t>Risks, assumptions, constraints</w:t>
            </w:r>
          </w:p>
        </w:tc>
        <w:tc>
          <w:tcPr>
            <w:tcW w:type="dxa" w:w="6560"/>
            <w:tcMar>
              <w:top w:w="100" w:type="dxa"/>
              <w:start w:w="120" w:type="dxa"/>
              <w:bottom w:w="100" w:type="dxa"/>
              <w:end w:w="120" w:type="dxa"/>
            </w:tcMar>
            <w:vAlign w:val="center"/>
          </w:tcPr>
          <w:p>
            <w:pPr>
              <w:spacing w:after="0" w:line="252" w:lineRule="auto"/>
            </w:pPr>
            <w:r>
              <w:rPr>
                <w:rFonts w:ascii="Calibri" w:hAnsi="Calibri"/>
                <w:color w:val="24313A"/>
                <w:sz w:val="18"/>
              </w:rPr>
              <w:t>Principal uncertainties and limits.</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8"/>
              </w:rPr>
              <w:t>Governance and tolerances</w:t>
            </w:r>
          </w:p>
        </w:tc>
        <w:tc>
          <w:tcPr>
            <w:tcW w:type="dxa" w:w="6560"/>
            <w:shd w:fill="F4F6F8"/>
            <w:tcMar>
              <w:top w:w="100" w:type="dxa"/>
              <w:start w:w="120" w:type="dxa"/>
              <w:bottom w:w="100" w:type="dxa"/>
              <w:end w:w="120" w:type="dxa"/>
            </w:tcMar>
            <w:vAlign w:val="center"/>
          </w:tcPr>
          <w:p>
            <w:pPr>
              <w:spacing w:after="0" w:line="252" w:lineRule="auto"/>
            </w:pPr>
            <w:r>
              <w:rPr>
                <w:rFonts w:ascii="Calibri" w:hAnsi="Calibri"/>
                <w:color w:val="24313A"/>
                <w:sz w:val="18"/>
              </w:rPr>
              <w:t>Decision rights, reporting, escalation, role separation, financial band and change authority.</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8"/>
              </w:rPr>
              <w:t>Benefits ownership and funding</w:t>
            </w:r>
          </w:p>
        </w:tc>
        <w:tc>
          <w:tcPr>
            <w:tcW w:type="dxa" w:w="6560"/>
            <w:tcMar>
              <w:top w:w="100" w:type="dxa"/>
              <w:start w:w="120" w:type="dxa"/>
              <w:bottom w:w="100" w:type="dxa"/>
              <w:end w:w="120" w:type="dxa"/>
            </w:tcMar>
            <w:vAlign w:val="center"/>
          </w:tcPr>
          <w:p>
            <w:pPr>
              <w:spacing w:after="0" w:line="252" w:lineRule="auto"/>
            </w:pPr>
            <w:r>
              <w:rPr>
                <w:rFonts w:ascii="Calibri" w:hAnsi="Calibri"/>
                <w:color w:val="24313A"/>
                <w:sz w:val="18"/>
              </w:rPr>
              <w:t>Operational owner, measures, default Gate 7 date and protected review effort.</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8"/>
              </w:rPr>
              <w:t>Approval</w:t>
            </w:r>
          </w:p>
        </w:tc>
        <w:tc>
          <w:tcPr>
            <w:tcW w:type="dxa" w:w="6560"/>
            <w:shd w:fill="F4F6F8"/>
            <w:tcMar>
              <w:top w:w="100" w:type="dxa"/>
              <w:start w:w="120" w:type="dxa"/>
              <w:bottom w:w="100" w:type="dxa"/>
              <w:end w:w="120" w:type="dxa"/>
            </w:tcMar>
            <w:vAlign w:val="center"/>
          </w:tcPr>
          <w:p>
            <w:pPr>
              <w:spacing w:after="0" w:line="252" w:lineRule="auto"/>
            </w:pPr>
            <w:r>
              <w:rPr>
                <w:rFonts w:ascii="Calibri" w:hAnsi="Calibri"/>
                <w:color w:val="24313A"/>
                <w:sz w:val="18"/>
              </w:rPr>
              <w:t>Names, decisions, dates and conditions.</w:t>
            </w:r>
          </w:p>
        </w:tc>
      </w:tr>
    </w:tbl>
    <w:p>
      <w:pPr>
        <w:spacing w:after="40"/>
      </w:pPr>
    </w:p>
    <w:p>
      <w:pPr>
        <w:pStyle w:val="Heading2"/>
        <w:keepNext w:val="0"/>
        <w:pageBreakBefore w:val="0"/>
      </w:pPr>
      <w:r>
        <w:t>Charter Approval Statement</w:t>
      </w:r>
    </w:p>
    <w:p>
      <w:pPr>
        <w:spacing w:after="120" w:line="300" w:lineRule="auto"/>
      </w:pPr>
      <w:r>
        <w:rPr>
          <w:i w:val="0"/>
        </w:rPr>
        <w:t>By approving this charter, the sponsor authorises detailed planning within the stated boundaries. Approval does not authorise uncontrolled changes, commitments beyond delegated limits, release without required evidence, or bypass of security, privacy, quality, financial and contractual controls.</w:t>
      </w:r>
    </w:p>
    <w:p>
      <w:pPr>
        <w:pStyle w:val="Heading1"/>
        <w:keepNext/>
        <w:pageBreakBefore/>
      </w:pPr>
      <w:r>
        <w:t>Appendix C - Project Plan Readiness Checklist</w:t>
      </w:r>
    </w:p>
    <w:p>
      <w:pPr>
        <w:numPr>
          <w:ilvl w:val="0"/>
          <w:numId w:val="10"/>
        </w:numPr>
        <w:spacing w:after="80" w:line="300" w:lineRule="auto"/>
      </w:pPr>
      <w:r>
        <w:t>☐ Objectives are measurable and linked to the approved business need.</w:t>
      </w:r>
    </w:p>
    <w:p>
      <w:pPr>
        <w:numPr>
          <w:ilvl w:val="0"/>
          <w:numId w:val="10"/>
        </w:numPr>
        <w:spacing w:after="80" w:line="300" w:lineRule="auto"/>
      </w:pPr>
      <w:r>
        <w:t>☐ Scope, exclusions, deliverables and acceptance criteria are complete and agreed.</w:t>
      </w:r>
    </w:p>
    <w:p>
      <w:pPr>
        <w:numPr>
          <w:ilvl w:val="0"/>
          <w:numId w:val="10"/>
        </w:numPr>
        <w:spacing w:after="80" w:line="300" w:lineRule="auto"/>
      </w:pPr>
      <w:r>
        <w:t>☐ Requirements are prioritised, testable, traceable and owned.</w:t>
      </w:r>
    </w:p>
    <w:p>
      <w:pPr>
        <w:numPr>
          <w:ilvl w:val="0"/>
          <w:numId w:val="10"/>
        </w:numPr>
        <w:spacing w:after="80" w:line="300" w:lineRule="auto"/>
      </w:pPr>
      <w:r>
        <w:t>☐ Work packages, estimates, dependencies and milestones are realistic.</w:t>
      </w:r>
    </w:p>
    <w:p>
      <w:pPr>
        <w:numPr>
          <w:ilvl w:val="0"/>
          <w:numId w:val="10"/>
        </w:numPr>
        <w:spacing w:after="80" w:line="300" w:lineRule="auto"/>
      </w:pPr>
      <w:r>
        <w:t>☐ People, skills, tools, environments, procurement and funding are committed.</w:t>
      </w:r>
    </w:p>
    <w:p>
      <w:pPr>
        <w:numPr>
          <w:ilvl w:val="0"/>
          <w:numId w:val="10"/>
        </w:numPr>
        <w:spacing w:after="80" w:line="300" w:lineRule="auto"/>
      </w:pPr>
      <w:r>
        <w:t>☐ Role separation meets Section 3.3 or approved compensating assurance is recorded.</w:t>
      </w:r>
    </w:p>
    <w:p>
      <w:pPr>
        <w:numPr>
          <w:ilvl w:val="0"/>
          <w:numId w:val="10"/>
        </w:numPr>
        <w:spacing w:after="80" w:line="300" w:lineRule="auto"/>
      </w:pPr>
      <w:r>
        <w:t>☐ Quality, testing, assurance and evidence requirements are defined.</w:t>
      </w:r>
    </w:p>
    <w:p>
      <w:pPr>
        <w:numPr>
          <w:ilvl w:val="0"/>
          <w:numId w:val="10"/>
        </w:numPr>
        <w:spacing w:after="80" w:line="300" w:lineRule="auto"/>
      </w:pPr>
      <w:r>
        <w:t>☐ Risk responses, issue management and escalation thresholds are active.</w:t>
      </w:r>
    </w:p>
    <w:p>
      <w:pPr>
        <w:numPr>
          <w:ilvl w:val="0"/>
          <w:numId w:val="10"/>
        </w:numPr>
        <w:spacing w:after="80" w:line="300" w:lineRule="auto"/>
      </w:pPr>
      <w:r>
        <w:t>☐ Security, privacy, data, access, backup and continuity controls are defined where relevant.</w:t>
      </w:r>
    </w:p>
    <w:p>
      <w:pPr>
        <w:numPr>
          <w:ilvl w:val="0"/>
          <w:numId w:val="10"/>
        </w:numPr>
        <w:spacing w:after="80" w:line="300" w:lineRule="auto"/>
      </w:pPr>
      <w:r>
        <w:t>☐ Stakeholder, communication, training and change-adoption plans are ready.</w:t>
      </w:r>
    </w:p>
    <w:p>
      <w:pPr>
        <w:numPr>
          <w:ilvl w:val="0"/>
          <w:numId w:val="10"/>
        </w:numPr>
        <w:spacing w:after="80" w:line="300" w:lineRule="auto"/>
      </w:pPr>
      <w:r>
        <w:t>☐ Change, configuration, document and decision control methods are operating.</w:t>
      </w:r>
    </w:p>
    <w:p>
      <w:pPr>
        <w:numPr>
          <w:ilvl w:val="0"/>
          <w:numId w:val="10"/>
        </w:numPr>
        <w:spacing w:after="80" w:line="300" w:lineRule="auto"/>
      </w:pPr>
      <w:r>
        <w:t>☐ Release, migration, support, rollback, handover and closure are planned.</w:t>
      </w:r>
    </w:p>
    <w:p>
      <w:pPr>
        <w:numPr>
          <w:ilvl w:val="0"/>
          <w:numId w:val="10"/>
        </w:numPr>
        <w:spacing w:after="80" w:line="300" w:lineRule="auto"/>
      </w:pPr>
      <w:r>
        <w:t>☐ Benefits owner, review date, data source and protected review effort are approved.</w:t>
      </w:r>
    </w:p>
    <w:p>
      <w:pPr>
        <w:numPr>
          <w:ilvl w:val="0"/>
          <w:numId w:val="10"/>
        </w:numPr>
        <w:spacing w:after="80" w:line="300" w:lineRule="auto"/>
      </w:pPr>
      <w:r>
        <w:t>☐ Sponsor and required reviewers have approved the baseline and any conditions.</w:t>
      </w:r>
    </w:p>
    <w:p>
      <w:pPr>
        <w:pStyle w:val="Heading2"/>
        <w:keepNext w:val="0"/>
        <w:pageBreakBefore w:val="0"/>
      </w:pPr>
      <w:r>
        <w:t>Planning Approval</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400"/>
        <w:gridCol w:w="1900"/>
        <w:gridCol w:w="3260"/>
        <w:gridCol w:w="1800"/>
      </w:tblGrid>
      <w:tr>
        <w:trPr>
          <w:tblHeader w:val="true"/>
          <w:cantSplit/>
        </w:trPr>
        <w:tc>
          <w:tcPr>
            <w:tcW w:type="dxa" w:w="2400"/>
            <w:tcMar>
              <w:top w:w="100" w:type="dxa"/>
              <w:start w:w="120" w:type="dxa"/>
              <w:bottom w:w="100" w:type="dxa"/>
              <w:end w:w="120" w:type="dxa"/>
            </w:tcMar>
            <w:vAlign w:val="center"/>
            <w:shd w:fill="123A5A"/>
          </w:tcPr>
          <w:p>
            <w:pPr>
              <w:jc w:val="left"/>
            </w:pPr>
            <w:r>
              <w:rPr>
                <w:rFonts w:ascii="Calibri" w:hAnsi="Calibri"/>
                <w:b/>
                <w:color w:val="FFFFFF"/>
                <w:sz w:val="18"/>
              </w:rPr>
              <w:t>Role</w:t>
            </w:r>
          </w:p>
        </w:tc>
        <w:tc>
          <w:tcPr>
            <w:tcW w:type="dxa" w:w="1900"/>
            <w:tcMar>
              <w:top w:w="100" w:type="dxa"/>
              <w:start w:w="120" w:type="dxa"/>
              <w:bottom w:w="100" w:type="dxa"/>
              <w:end w:w="120" w:type="dxa"/>
            </w:tcMar>
            <w:vAlign w:val="center"/>
            <w:shd w:fill="123A5A"/>
          </w:tcPr>
          <w:p>
            <w:pPr>
              <w:jc w:val="left"/>
            </w:pPr>
            <w:r>
              <w:rPr>
                <w:rFonts w:ascii="Calibri" w:hAnsi="Calibri"/>
                <w:b/>
                <w:color w:val="FFFFFF"/>
                <w:sz w:val="18"/>
              </w:rPr>
              <w:t>Name</w:t>
            </w:r>
          </w:p>
        </w:tc>
        <w:tc>
          <w:tcPr>
            <w:tcW w:type="dxa" w:w="3260"/>
            <w:tcMar>
              <w:top w:w="100" w:type="dxa"/>
              <w:start w:w="120" w:type="dxa"/>
              <w:bottom w:w="100" w:type="dxa"/>
              <w:end w:w="120" w:type="dxa"/>
            </w:tcMar>
            <w:vAlign w:val="center"/>
            <w:shd w:fill="123A5A"/>
          </w:tcPr>
          <w:p>
            <w:pPr>
              <w:jc w:val="left"/>
            </w:pPr>
            <w:r>
              <w:rPr>
                <w:rFonts w:ascii="Calibri" w:hAnsi="Calibri"/>
                <w:b/>
                <w:color w:val="FFFFFF"/>
                <w:sz w:val="18"/>
              </w:rPr>
              <w:t>Decision / Conditions</w:t>
            </w:r>
          </w:p>
        </w:tc>
        <w:tc>
          <w:tcPr>
            <w:tcW w:type="dxa" w:w="1800"/>
            <w:tcMar>
              <w:top w:w="100" w:type="dxa"/>
              <w:start w:w="120" w:type="dxa"/>
              <w:bottom w:w="100" w:type="dxa"/>
              <w:end w:w="120" w:type="dxa"/>
            </w:tcMar>
            <w:vAlign w:val="center"/>
            <w:shd w:fill="123A5A"/>
          </w:tcPr>
          <w:p>
            <w:pPr>
              <w:jc w:val="left"/>
            </w:pPr>
            <w:r>
              <w:rPr>
                <w:rFonts w:ascii="Calibri" w:hAnsi="Calibri"/>
                <w:b/>
                <w:color w:val="FFFFFF"/>
                <w:sz w:val="18"/>
              </w:rPr>
              <w:t>Date</w:t>
            </w:r>
          </w:p>
        </w:tc>
      </w:tr>
      <w:tr>
        <w:trPr>
          <w:cantSplit/>
        </w:trPr>
        <w:tc>
          <w:tcPr>
            <w:tcW w:type="dxa" w:w="2400"/>
            <w:tcMar>
              <w:top w:w="100" w:type="dxa"/>
              <w:start w:w="120" w:type="dxa"/>
              <w:bottom w:w="100" w:type="dxa"/>
              <w:end w:w="120" w:type="dxa"/>
            </w:tcMar>
            <w:vAlign w:val="center"/>
          </w:tcPr>
          <w:p>
            <w:pPr>
              <w:spacing w:after="0" w:line="252" w:lineRule="auto"/>
            </w:pPr>
            <w:r>
              <w:rPr>
                <w:rFonts w:ascii="Calibri" w:hAnsi="Calibri"/>
                <w:color w:val="24313A"/>
                <w:sz w:val="17"/>
              </w:rPr>
              <w:t>Sponsor</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326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r>
          </w:p>
        </w:tc>
      </w:tr>
      <w:tr>
        <w:trPr>
          <w:cantSplit/>
        </w:trPr>
        <w:tc>
          <w:tcPr>
            <w:tcW w:type="dxa" w:w="24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Manager</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326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r>
      <w:tr>
        <w:trPr>
          <w:cantSplit/>
        </w:trPr>
        <w:tc>
          <w:tcPr>
            <w:tcW w:type="dxa" w:w="2400"/>
            <w:tcMar>
              <w:top w:w="100" w:type="dxa"/>
              <w:start w:w="120" w:type="dxa"/>
              <w:bottom w:w="100" w:type="dxa"/>
              <w:end w:w="120" w:type="dxa"/>
            </w:tcMar>
            <w:vAlign w:val="center"/>
          </w:tcPr>
          <w:p>
            <w:pPr>
              <w:spacing w:after="0" w:line="252" w:lineRule="auto"/>
            </w:pPr>
            <w:r>
              <w:rPr>
                <w:rFonts w:ascii="Calibri" w:hAnsi="Calibri"/>
                <w:color w:val="24313A"/>
                <w:sz w:val="17"/>
              </w:rPr>
              <w:t>Technical / Quality Reviewer</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326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r>
          </w:p>
        </w:tc>
      </w:tr>
      <w:tr>
        <w:trPr>
          <w:cantSplit/>
        </w:trPr>
        <w:tc>
          <w:tcPr>
            <w:tcW w:type="dxa" w:w="2400"/>
            <w:shd w:fill="F4F6F8"/>
            <w:tcMar>
              <w:top w:w="100" w:type="dxa"/>
              <w:start w:w="120" w:type="dxa"/>
              <w:bottom w:w="100" w:type="dxa"/>
              <w:end w:w="120" w:type="dxa"/>
            </w:tcMar>
            <w:vAlign w:val="center"/>
          </w:tcPr>
          <w:p>
            <w:pPr>
              <w:spacing w:after="0" w:line="252" w:lineRule="auto"/>
            </w:pPr>
            <w:r>
              <w:rPr>
                <w:rFonts w:ascii="Calibri" w:hAnsi="Calibri"/>
                <w:color w:val="24313A"/>
                <w:sz w:val="17"/>
              </w:rPr>
              <w:t>Finance / Security / Operations as required</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326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r>
    </w:tbl>
    <w:p>
      <w:pPr>
        <w:spacing w:after="40"/>
      </w:pPr>
    </w:p>
    <w:p>
      <w:pPr>
        <w:pStyle w:val="Heading1"/>
        <w:keepNext/>
        <w:pageBreakBefore/>
      </w:pPr>
      <w:r>
        <w:t>Appendix D - Project Status Report Template</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600"/>
        <w:gridCol w:w="6760"/>
      </w:tblGrid>
      <w:tr>
        <w:trPr>
          <w:tblHeader w:val="true"/>
          <w:cantSplit/>
        </w:trPr>
        <w:tc>
          <w:tcPr>
            <w:tcW w:type="dxa" w:w="2600"/>
            <w:tcMar>
              <w:top w:w="100" w:type="dxa"/>
              <w:start w:w="120" w:type="dxa"/>
              <w:bottom w:w="100" w:type="dxa"/>
              <w:end w:w="120" w:type="dxa"/>
            </w:tcMar>
            <w:vAlign w:val="center"/>
            <w:shd w:fill="123A5A"/>
          </w:tcPr>
          <w:p>
            <w:pPr>
              <w:jc w:val="left"/>
            </w:pPr>
            <w:r>
              <w:rPr>
                <w:rFonts w:ascii="Calibri" w:hAnsi="Calibri"/>
                <w:b/>
                <w:color w:val="FFFFFF"/>
                <w:sz w:val="19"/>
              </w:rPr>
              <w:t>Field</w:t>
            </w:r>
          </w:p>
        </w:tc>
        <w:tc>
          <w:tcPr>
            <w:tcW w:type="dxa" w:w="6760"/>
            <w:tcMar>
              <w:top w:w="100" w:type="dxa"/>
              <w:start w:w="120" w:type="dxa"/>
              <w:bottom w:w="100" w:type="dxa"/>
              <w:end w:w="120" w:type="dxa"/>
            </w:tcMar>
            <w:vAlign w:val="center"/>
            <w:shd w:fill="123A5A"/>
          </w:tcPr>
          <w:p>
            <w:pPr>
              <w:jc w:val="left"/>
            </w:pPr>
            <w:r>
              <w:rPr>
                <w:rFonts w:ascii="Calibri" w:hAnsi="Calibri"/>
                <w:b/>
                <w:color w:val="FFFFFF"/>
                <w:sz w:val="19"/>
              </w:rPr>
              <w:t>Update</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8"/>
              </w:rPr>
              <w:t>Project / Reporting period</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8"/>
              </w:rPr>
              <w:t>Project class / Software class</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8"/>
              </w:rPr>
              <w:t>Class A/B/C; where applicable Software Class 1/2/3/4:</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8"/>
              </w:rPr>
              <w:t>Sponsor / Project manager</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8"/>
              </w:rPr>
              <w:t>Overall status</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8"/>
              </w:rPr>
              <w:t>Green / Amber / Red - evidence:</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8"/>
              </w:rPr>
              <w:t>Tolerance position</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8"/>
              </w:rPr>
              <w:t>Cost, schedule, scope, quality and risk forecast against approved limits:</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8"/>
              </w:rPr>
              <w:t>Achievements this period</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8"/>
              </w:rPr>
              <w:t>Planned next period</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8"/>
              </w:rPr>
              <w:t>Milestones and forecast</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8"/>
              </w:rPr>
              <w:t>Budget and resource forecast</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8"/>
              </w:rPr>
              <w:t>Scope and approved changes</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8"/>
              </w:rPr>
              <w:t>Quality, testing and acceptance</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8"/>
              </w:rPr>
              <w:t>Top risks and issues</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8"/>
              </w:rPr>
              <w:t>Decisions required</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8"/>
              </w:rPr>
              <w:t>Decision, owner and required date:</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8"/>
              </w:rPr>
              <w:t>Next routine or triggered Gate 5</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8"/>
              </w:rPr>
              <w:t>Date, trigger and accountable decision owner:</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8"/>
              </w:rPr>
              <w:t>Year-One mandatory measures</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8"/>
              </w:rPr>
              <w:t>Milestone reliability; cost forecast variance; first-pass acceptance; overdue critical actions; Gate 7 status:</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8"/>
              </w:rPr>
              <w:t>Support / escalation needed</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8"/>
              </w:rPr>
            </w:r>
          </w:p>
        </w:tc>
      </w:tr>
    </w:tbl>
    <w:p>
      <w:pPr>
        <w:spacing w:after="40"/>
      </w:pPr>
    </w:p>
    <w:p>
      <w:pPr>
        <w:pStyle w:val="Heading2"/>
        <w:keepNext w:val="0"/>
        <w:pageBreakBefore w:val="0"/>
      </w:pPr>
      <w:r>
        <w:t>Status Certification</w:t>
      </w:r>
    </w:p>
    <w:p>
      <w:pPr>
        <w:spacing w:after="120" w:line="300" w:lineRule="auto"/>
      </w:pPr>
      <w:r>
        <w:rPr>
          <w:i w:val="0"/>
        </w:rPr>
        <w:t>The project manager confirms that this report reflects the best current evidence and forecast available, including known adverse information. Material facts must not be omitted to preserve a favourable status.</w:t>
      </w:r>
    </w:p>
    <w:p>
      <w:pPr>
        <w:pStyle w:val="Heading1"/>
        <w:keepNext/>
        <w:pageBreakBefore/>
      </w:pPr>
      <w:r>
        <w:t>Appendix E - Risk and Issue Register Template</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600"/>
        <w:gridCol w:w="1900"/>
        <w:gridCol w:w="900"/>
        <w:gridCol w:w="800"/>
        <w:gridCol w:w="1100"/>
        <w:gridCol w:w="2360"/>
        <w:gridCol w:w="800"/>
        <w:gridCol w:w="900"/>
      </w:tblGrid>
      <w:tr>
        <w:trPr>
          <w:tblHeader w:val="true"/>
          <w:cantSplit/>
        </w:trPr>
        <w:tc>
          <w:tcPr>
            <w:tcW w:type="dxa" w:w="600"/>
            <w:tcMar>
              <w:top w:w="100" w:type="dxa"/>
              <w:start w:w="120" w:type="dxa"/>
              <w:bottom w:w="100" w:type="dxa"/>
              <w:end w:w="120" w:type="dxa"/>
            </w:tcMar>
            <w:vAlign w:val="center"/>
            <w:shd w:fill="123A5A"/>
          </w:tcPr>
          <w:p>
            <w:pPr>
              <w:jc w:val="left"/>
            </w:pPr>
            <w:r>
              <w:rPr>
                <w:rFonts w:ascii="Calibri" w:hAnsi="Calibri"/>
                <w:b/>
                <w:color w:val="FFFFFF"/>
                <w:sz w:val="18"/>
              </w:rPr>
              <w:t>ID</w:t>
            </w:r>
          </w:p>
        </w:tc>
        <w:tc>
          <w:tcPr>
            <w:tcW w:type="dxa" w:w="1900"/>
            <w:tcMar>
              <w:top w:w="100" w:type="dxa"/>
              <w:start w:w="120" w:type="dxa"/>
              <w:bottom w:w="100" w:type="dxa"/>
              <w:end w:w="120" w:type="dxa"/>
            </w:tcMar>
            <w:vAlign w:val="center"/>
            <w:shd w:fill="123A5A"/>
          </w:tcPr>
          <w:p>
            <w:pPr>
              <w:jc w:val="left"/>
            </w:pPr>
            <w:r>
              <w:rPr>
                <w:rFonts w:ascii="Calibri" w:hAnsi="Calibri"/>
                <w:b/>
                <w:color w:val="FFFFFF"/>
                <w:sz w:val="18"/>
              </w:rPr>
              <w:t>Risk / Issue</w:t>
            </w:r>
          </w:p>
        </w:tc>
        <w:tc>
          <w:tcPr>
            <w:tcW w:type="dxa" w:w="900"/>
            <w:tcMar>
              <w:top w:w="100" w:type="dxa"/>
              <w:start w:w="120" w:type="dxa"/>
              <w:bottom w:w="100" w:type="dxa"/>
              <w:end w:w="120" w:type="dxa"/>
            </w:tcMar>
            <w:vAlign w:val="center"/>
            <w:shd w:fill="123A5A"/>
          </w:tcPr>
          <w:p>
            <w:pPr>
              <w:jc w:val="left"/>
            </w:pPr>
            <w:r>
              <w:rPr>
                <w:rFonts w:ascii="Calibri" w:hAnsi="Calibri"/>
                <w:b/>
                <w:color w:val="FFFFFF"/>
                <w:sz w:val="18"/>
              </w:rPr>
              <w:t>Likelihood</w:t>
            </w:r>
          </w:p>
        </w:tc>
        <w:tc>
          <w:tcPr>
            <w:tcW w:type="dxa" w:w="800"/>
            <w:tcMar>
              <w:top w:w="100" w:type="dxa"/>
              <w:start w:w="120" w:type="dxa"/>
              <w:bottom w:w="100" w:type="dxa"/>
              <w:end w:w="120" w:type="dxa"/>
            </w:tcMar>
            <w:vAlign w:val="center"/>
            <w:shd w:fill="123A5A"/>
          </w:tcPr>
          <w:p>
            <w:pPr>
              <w:jc w:val="left"/>
            </w:pPr>
            <w:r>
              <w:rPr>
                <w:rFonts w:ascii="Calibri" w:hAnsi="Calibri"/>
                <w:b/>
                <w:color w:val="FFFFFF"/>
                <w:sz w:val="18"/>
              </w:rPr>
              <w:t>Impact</w:t>
            </w:r>
          </w:p>
        </w:tc>
        <w:tc>
          <w:tcPr>
            <w:tcW w:type="dxa" w:w="1100"/>
            <w:tcMar>
              <w:top w:w="100" w:type="dxa"/>
              <w:start w:w="120" w:type="dxa"/>
              <w:bottom w:w="100" w:type="dxa"/>
              <w:end w:w="120" w:type="dxa"/>
            </w:tcMar>
            <w:vAlign w:val="center"/>
            <w:shd w:fill="123A5A"/>
          </w:tcPr>
          <w:p>
            <w:pPr>
              <w:jc w:val="left"/>
            </w:pPr>
            <w:r>
              <w:rPr>
                <w:rFonts w:ascii="Calibri" w:hAnsi="Calibri"/>
                <w:b/>
                <w:color w:val="FFFFFF"/>
                <w:sz w:val="18"/>
              </w:rPr>
              <w:t>Owner</w:t>
            </w:r>
          </w:p>
        </w:tc>
        <w:tc>
          <w:tcPr>
            <w:tcW w:type="dxa" w:w="2360"/>
            <w:tcMar>
              <w:top w:w="100" w:type="dxa"/>
              <w:start w:w="120" w:type="dxa"/>
              <w:bottom w:w="100" w:type="dxa"/>
              <w:end w:w="120" w:type="dxa"/>
            </w:tcMar>
            <w:vAlign w:val="center"/>
            <w:shd w:fill="123A5A"/>
          </w:tcPr>
          <w:p>
            <w:pPr>
              <w:jc w:val="left"/>
            </w:pPr>
            <w:r>
              <w:rPr>
                <w:rFonts w:ascii="Calibri" w:hAnsi="Calibri"/>
                <w:b/>
                <w:color w:val="FFFFFF"/>
                <w:sz w:val="18"/>
              </w:rPr>
              <w:t>Response / Action</w:t>
            </w:r>
          </w:p>
        </w:tc>
        <w:tc>
          <w:tcPr>
            <w:tcW w:type="dxa" w:w="800"/>
            <w:tcMar>
              <w:top w:w="100" w:type="dxa"/>
              <w:start w:w="120" w:type="dxa"/>
              <w:bottom w:w="100" w:type="dxa"/>
              <w:end w:w="120" w:type="dxa"/>
            </w:tcMar>
            <w:vAlign w:val="center"/>
            <w:shd w:fill="123A5A"/>
          </w:tcPr>
          <w:p>
            <w:pPr>
              <w:jc w:val="left"/>
            </w:pPr>
            <w:r>
              <w:rPr>
                <w:rFonts w:ascii="Calibri" w:hAnsi="Calibri"/>
                <w:b/>
                <w:color w:val="FFFFFF"/>
                <w:sz w:val="18"/>
              </w:rPr>
              <w:t>Due</w:t>
            </w:r>
          </w:p>
        </w:tc>
        <w:tc>
          <w:tcPr>
            <w:tcW w:type="dxa" w:w="900"/>
            <w:tcMar>
              <w:top w:w="100" w:type="dxa"/>
              <w:start w:w="120" w:type="dxa"/>
              <w:bottom w:w="100" w:type="dxa"/>
              <w:end w:w="120" w:type="dxa"/>
            </w:tcMar>
            <w:vAlign w:val="center"/>
            <w:shd w:fill="123A5A"/>
          </w:tcPr>
          <w:p>
            <w:pPr>
              <w:jc w:val="left"/>
            </w:pPr>
            <w:r>
              <w:rPr>
                <w:rFonts w:ascii="Calibri" w:hAnsi="Calibri"/>
                <w:b/>
                <w:color w:val="FFFFFF"/>
                <w:sz w:val="18"/>
              </w:rPr>
              <w:t>Status</w:t>
            </w:r>
          </w:p>
        </w:tc>
      </w:tr>
      <w:tr>
        <w:trPr>
          <w:cantSplit/>
        </w:trPr>
        <w:tc>
          <w:tcPr>
            <w:tcW w:type="dxa" w:w="6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9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8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1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236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8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900"/>
            <w:tcMar>
              <w:top w:w="100" w:type="dxa"/>
              <w:start w:w="120" w:type="dxa"/>
              <w:bottom w:w="100" w:type="dxa"/>
              <w:end w:w="120" w:type="dxa"/>
            </w:tcMar>
            <w:vAlign w:val="center"/>
          </w:tcPr>
          <w:p>
            <w:pPr>
              <w:spacing w:after="0" w:line="252" w:lineRule="auto"/>
            </w:pPr>
            <w:r>
              <w:rPr>
                <w:rFonts w:ascii="Calibri" w:hAnsi="Calibri"/>
                <w:color w:val="24313A"/>
                <w:sz w:val="17"/>
              </w:rPr>
            </w:r>
          </w:p>
        </w:tc>
      </w:tr>
      <w:tr>
        <w:trPr>
          <w:cantSplit/>
        </w:trPr>
        <w:tc>
          <w:tcPr>
            <w:tcW w:type="dxa" w:w="6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9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8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1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236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8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9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r>
      <w:tr>
        <w:trPr>
          <w:cantSplit/>
        </w:trPr>
        <w:tc>
          <w:tcPr>
            <w:tcW w:type="dxa" w:w="6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9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8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1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236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8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900"/>
            <w:tcMar>
              <w:top w:w="100" w:type="dxa"/>
              <w:start w:w="120" w:type="dxa"/>
              <w:bottom w:w="100" w:type="dxa"/>
              <w:end w:w="120" w:type="dxa"/>
            </w:tcMar>
            <w:vAlign w:val="center"/>
          </w:tcPr>
          <w:p>
            <w:pPr>
              <w:spacing w:after="0" w:line="252" w:lineRule="auto"/>
            </w:pPr>
            <w:r>
              <w:rPr>
                <w:rFonts w:ascii="Calibri" w:hAnsi="Calibri"/>
                <w:color w:val="24313A"/>
                <w:sz w:val="17"/>
              </w:rPr>
            </w:r>
          </w:p>
        </w:tc>
      </w:tr>
      <w:tr>
        <w:trPr>
          <w:cantSplit/>
        </w:trPr>
        <w:tc>
          <w:tcPr>
            <w:tcW w:type="dxa" w:w="6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9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8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1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236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8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9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r>
    </w:tbl>
    <w:p>
      <w:pPr>
        <w:spacing w:after="40"/>
      </w:pPr>
    </w:p>
    <w:p>
      <w:pPr>
        <w:pStyle w:val="Heading2"/>
        <w:keepNext w:val="0"/>
        <w:pageBreakBefore w:val="0"/>
      </w:pPr>
      <w:r>
        <w:t>Risk Statement Guide</w:t>
      </w:r>
    </w:p>
    <w:p>
      <w:pPr>
        <w:spacing w:after="120" w:line="300" w:lineRule="auto"/>
      </w:pPr>
      <w:r>
        <w:rPr>
          <w:i w:val="0"/>
        </w:rPr>
        <w:t>Use the form: Because of [cause], there is a possibility that [uncertain event], resulting in [effect on objectives]. For issues, state what has happened, the current impact, immediate containment, root-cause owner and resolution date.</w:t>
      </w:r>
    </w:p>
    <w:p>
      <w:pPr>
        <w:pStyle w:val="Heading2"/>
        <w:keepNext w:val="0"/>
        <w:pageBreakBefore w:val="0"/>
      </w:pPr>
      <w:r>
        <w:t>Escalation Record</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200"/>
        <w:gridCol w:w="2600"/>
        <w:gridCol w:w="1700"/>
        <w:gridCol w:w="2360"/>
        <w:gridCol w:w="1500"/>
      </w:tblGrid>
      <w:tr>
        <w:trPr>
          <w:tblHeader w:val="true"/>
          <w:cantSplit/>
        </w:trPr>
        <w:tc>
          <w:tcPr>
            <w:tcW w:type="dxa" w:w="1200"/>
            <w:tcMar>
              <w:top w:w="100" w:type="dxa"/>
              <w:start w:w="120" w:type="dxa"/>
              <w:bottom w:w="100" w:type="dxa"/>
              <w:end w:w="120" w:type="dxa"/>
            </w:tcMar>
            <w:vAlign w:val="center"/>
            <w:shd w:fill="123A5A"/>
          </w:tcPr>
          <w:p>
            <w:pPr>
              <w:jc w:val="left"/>
            </w:pPr>
            <w:r>
              <w:rPr>
                <w:rFonts w:ascii="Calibri" w:hAnsi="Calibri"/>
                <w:b/>
                <w:color w:val="FFFFFF"/>
                <w:sz w:val="18"/>
              </w:rPr>
              <w:t>Date</w:t>
            </w:r>
          </w:p>
        </w:tc>
        <w:tc>
          <w:tcPr>
            <w:tcW w:type="dxa" w:w="2600"/>
            <w:tcMar>
              <w:top w:w="100" w:type="dxa"/>
              <w:start w:w="120" w:type="dxa"/>
              <w:bottom w:w="100" w:type="dxa"/>
              <w:end w:w="120" w:type="dxa"/>
            </w:tcMar>
            <w:vAlign w:val="center"/>
            <w:shd w:fill="123A5A"/>
          </w:tcPr>
          <w:p>
            <w:pPr>
              <w:jc w:val="left"/>
            </w:pPr>
            <w:r>
              <w:rPr>
                <w:rFonts w:ascii="Calibri" w:hAnsi="Calibri"/>
                <w:b/>
                <w:color w:val="FFFFFF"/>
                <w:sz w:val="18"/>
              </w:rPr>
              <w:t>Matter escalated</w:t>
            </w:r>
          </w:p>
        </w:tc>
        <w:tc>
          <w:tcPr>
            <w:tcW w:type="dxa" w:w="1700"/>
            <w:tcMar>
              <w:top w:w="100" w:type="dxa"/>
              <w:start w:w="120" w:type="dxa"/>
              <w:bottom w:w="100" w:type="dxa"/>
              <w:end w:w="120" w:type="dxa"/>
            </w:tcMar>
            <w:vAlign w:val="center"/>
            <w:shd w:fill="123A5A"/>
          </w:tcPr>
          <w:p>
            <w:pPr>
              <w:jc w:val="left"/>
            </w:pPr>
            <w:r>
              <w:rPr>
                <w:rFonts w:ascii="Calibri" w:hAnsi="Calibri"/>
                <w:b/>
                <w:color w:val="FFFFFF"/>
                <w:sz w:val="18"/>
              </w:rPr>
              <w:t>Decision owner</w:t>
            </w:r>
          </w:p>
        </w:tc>
        <w:tc>
          <w:tcPr>
            <w:tcW w:type="dxa" w:w="2360"/>
            <w:tcMar>
              <w:top w:w="100" w:type="dxa"/>
              <w:start w:w="120" w:type="dxa"/>
              <w:bottom w:w="100" w:type="dxa"/>
              <w:end w:w="120" w:type="dxa"/>
            </w:tcMar>
            <w:vAlign w:val="center"/>
            <w:shd w:fill="123A5A"/>
          </w:tcPr>
          <w:p>
            <w:pPr>
              <w:jc w:val="left"/>
            </w:pPr>
            <w:r>
              <w:rPr>
                <w:rFonts w:ascii="Calibri" w:hAnsi="Calibri"/>
                <w:b/>
                <w:color w:val="FFFFFF"/>
                <w:sz w:val="18"/>
              </w:rPr>
              <w:t>Decision / Conditions</w:t>
            </w:r>
          </w:p>
        </w:tc>
        <w:tc>
          <w:tcPr>
            <w:tcW w:type="dxa" w:w="1500"/>
            <w:tcMar>
              <w:top w:w="100" w:type="dxa"/>
              <w:start w:w="120" w:type="dxa"/>
              <w:bottom w:w="100" w:type="dxa"/>
              <w:end w:w="120" w:type="dxa"/>
            </w:tcMar>
            <w:vAlign w:val="center"/>
            <w:shd w:fill="123A5A"/>
          </w:tcPr>
          <w:p>
            <w:pPr>
              <w:jc w:val="left"/>
            </w:pPr>
            <w:r>
              <w:rPr>
                <w:rFonts w:ascii="Calibri" w:hAnsi="Calibri"/>
                <w:b/>
                <w:color w:val="FFFFFF"/>
                <w:sz w:val="18"/>
              </w:rPr>
              <w:t>Follow-up owner</w:t>
            </w:r>
          </w:p>
        </w:tc>
      </w:tr>
      <w:tr>
        <w:trPr>
          <w:cantSplit/>
        </w:trPr>
        <w:tc>
          <w:tcPr>
            <w:tcW w:type="dxa" w:w="12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70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2360"/>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500"/>
            <w:tcMar>
              <w:top w:w="100" w:type="dxa"/>
              <w:start w:w="120" w:type="dxa"/>
              <w:bottom w:w="100" w:type="dxa"/>
              <w:end w:w="120" w:type="dxa"/>
            </w:tcMar>
            <w:vAlign w:val="center"/>
          </w:tcPr>
          <w:p>
            <w:pPr>
              <w:spacing w:after="0" w:line="252" w:lineRule="auto"/>
            </w:pPr>
            <w:r>
              <w:rPr>
                <w:rFonts w:ascii="Calibri" w:hAnsi="Calibri"/>
                <w:color w:val="24313A"/>
                <w:sz w:val="17"/>
              </w:rPr>
            </w:r>
          </w:p>
        </w:tc>
      </w:tr>
      <w:tr>
        <w:trPr>
          <w:cantSplit/>
        </w:trPr>
        <w:tc>
          <w:tcPr>
            <w:tcW w:type="dxa" w:w="12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7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236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c>
          <w:tcPr>
            <w:tcW w:type="dxa" w:w="1500"/>
            <w:shd w:fill="F4F6F8"/>
            <w:tcMar>
              <w:top w:w="100" w:type="dxa"/>
              <w:start w:w="120" w:type="dxa"/>
              <w:bottom w:w="100" w:type="dxa"/>
              <w:end w:w="120" w:type="dxa"/>
            </w:tcMar>
            <w:vAlign w:val="center"/>
          </w:tcPr>
          <w:p>
            <w:pPr>
              <w:spacing w:after="0" w:line="252" w:lineRule="auto"/>
            </w:pPr>
            <w:r>
              <w:rPr>
                <w:rFonts w:ascii="Calibri" w:hAnsi="Calibri"/>
                <w:color w:val="24313A"/>
                <w:sz w:val="17"/>
              </w:rPr>
            </w:r>
          </w:p>
        </w:tc>
      </w:tr>
    </w:tbl>
    <w:p>
      <w:pPr>
        <w:spacing w:after="40"/>
      </w:pPr>
    </w:p>
    <w:p>
      <w:pPr>
        <w:pStyle w:val="Heading1"/>
        <w:keepNext/>
        <w:pageBreakBefore/>
      </w:pPr>
      <w:r>
        <w:t>Appendix F - Change Request Template</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3100"/>
        <w:gridCol w:w="6260"/>
      </w:tblGrid>
      <w:tr>
        <w:trPr>
          <w:tblHeader w:val="true"/>
          <w:cantSplit/>
        </w:trPr>
        <w:tc>
          <w:tcPr>
            <w:tcW w:type="dxa" w:w="3100"/>
            <w:tcMar>
              <w:top w:w="100" w:type="dxa"/>
              <w:start w:w="120" w:type="dxa"/>
              <w:bottom w:w="100" w:type="dxa"/>
              <w:end w:w="120" w:type="dxa"/>
            </w:tcMar>
            <w:vAlign w:val="center"/>
            <w:shd w:fill="123A5A"/>
          </w:tcPr>
          <w:p>
            <w:pPr>
              <w:jc w:val="left"/>
            </w:pPr>
            <w:r>
              <w:rPr>
                <w:rFonts w:ascii="Calibri" w:hAnsi="Calibri"/>
                <w:b/>
                <w:color w:val="FFFFFF"/>
                <w:sz w:val="19"/>
              </w:rPr>
              <w:t>Field</w:t>
            </w:r>
          </w:p>
        </w:tc>
        <w:tc>
          <w:tcPr>
            <w:tcW w:type="dxa" w:w="6260"/>
            <w:tcMar>
              <w:top w:w="100" w:type="dxa"/>
              <w:start w:w="120" w:type="dxa"/>
              <w:bottom w:w="100" w:type="dxa"/>
              <w:end w:w="120" w:type="dxa"/>
            </w:tcMar>
            <w:vAlign w:val="center"/>
            <w:shd w:fill="123A5A"/>
          </w:tcPr>
          <w:p>
            <w:pPr>
              <w:jc w:val="left"/>
            </w:pPr>
            <w:r>
              <w:rPr>
                <w:rFonts w:ascii="Calibri" w:hAnsi="Calibri"/>
                <w:b/>
                <w:color w:val="FFFFFF"/>
                <w:sz w:val="19"/>
              </w:rPr>
              <w:t>Required information</w:t>
            </w:r>
          </w:p>
        </w:tc>
      </w:tr>
      <w:tr>
        <w:trPr>
          <w:cantSplit/>
        </w:trPr>
        <w:tc>
          <w:tcPr>
            <w:tcW w:type="dxa" w:w="3100"/>
            <w:tcMar>
              <w:top w:w="100" w:type="dxa"/>
              <w:start w:w="120" w:type="dxa"/>
              <w:bottom w:w="100" w:type="dxa"/>
              <w:end w:w="120" w:type="dxa"/>
            </w:tcMar>
            <w:vAlign w:val="center"/>
          </w:tcPr>
          <w:p>
            <w:pPr>
              <w:spacing w:after="0" w:line="252" w:lineRule="auto"/>
            </w:pPr>
            <w:r>
              <w:rPr>
                <w:rFonts w:ascii="Calibri" w:hAnsi="Calibri"/>
                <w:color w:val="24313A"/>
                <w:sz w:val="18"/>
              </w:rPr>
              <w:t>Change ID / Date / Requester</w:t>
            </w:r>
          </w:p>
        </w:tc>
        <w:tc>
          <w:tcPr>
            <w:tcW w:type="dxa" w:w="6260"/>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3100"/>
            <w:shd w:fill="F4F6F8"/>
            <w:tcMar>
              <w:top w:w="100" w:type="dxa"/>
              <w:start w:w="120" w:type="dxa"/>
              <w:bottom w:w="100" w:type="dxa"/>
              <w:end w:w="120" w:type="dxa"/>
            </w:tcMar>
            <w:vAlign w:val="center"/>
          </w:tcPr>
          <w:p>
            <w:pPr>
              <w:spacing w:after="0" w:line="252" w:lineRule="auto"/>
            </w:pPr>
            <w:r>
              <w:rPr>
                <w:rFonts w:ascii="Calibri" w:hAnsi="Calibri"/>
                <w:color w:val="24313A"/>
                <w:sz w:val="18"/>
              </w:rPr>
              <w:t>Requested change and reason</w:t>
            </w:r>
          </w:p>
        </w:tc>
        <w:tc>
          <w:tcPr>
            <w:tcW w:type="dxa" w:w="6260"/>
            <w:shd w:fill="F4F6F8"/>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3100"/>
            <w:tcMar>
              <w:top w:w="100" w:type="dxa"/>
              <w:start w:w="120" w:type="dxa"/>
              <w:bottom w:w="100" w:type="dxa"/>
              <w:end w:w="120" w:type="dxa"/>
            </w:tcMar>
            <w:vAlign w:val="center"/>
          </w:tcPr>
          <w:p>
            <w:pPr>
              <w:spacing w:after="0" w:line="252" w:lineRule="auto"/>
            </w:pPr>
            <w:r>
              <w:rPr>
                <w:rFonts w:ascii="Calibri" w:hAnsi="Calibri"/>
                <w:color w:val="24313A"/>
                <w:sz w:val="18"/>
              </w:rPr>
              <w:t>Urgency and consequence of delay</w:t>
            </w:r>
          </w:p>
        </w:tc>
        <w:tc>
          <w:tcPr>
            <w:tcW w:type="dxa" w:w="6260"/>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3100"/>
            <w:shd w:fill="F4F6F8"/>
            <w:tcMar>
              <w:top w:w="100" w:type="dxa"/>
              <w:start w:w="120" w:type="dxa"/>
              <w:bottom w:w="100" w:type="dxa"/>
              <w:end w:w="120" w:type="dxa"/>
            </w:tcMar>
            <w:vAlign w:val="center"/>
          </w:tcPr>
          <w:p>
            <w:pPr>
              <w:spacing w:after="0" w:line="252" w:lineRule="auto"/>
            </w:pPr>
            <w:r>
              <w:rPr>
                <w:rFonts w:ascii="Calibri" w:hAnsi="Calibri"/>
                <w:color w:val="24313A"/>
                <w:sz w:val="18"/>
              </w:rPr>
              <w:t>Scope and requirements impact</w:t>
            </w:r>
          </w:p>
        </w:tc>
        <w:tc>
          <w:tcPr>
            <w:tcW w:type="dxa" w:w="6260"/>
            <w:shd w:fill="F4F6F8"/>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3100"/>
            <w:tcMar>
              <w:top w:w="100" w:type="dxa"/>
              <w:start w:w="120" w:type="dxa"/>
              <w:bottom w:w="100" w:type="dxa"/>
              <w:end w:w="120" w:type="dxa"/>
            </w:tcMar>
            <w:vAlign w:val="center"/>
          </w:tcPr>
          <w:p>
            <w:pPr>
              <w:spacing w:after="0" w:line="252" w:lineRule="auto"/>
            </w:pPr>
            <w:r>
              <w:rPr>
                <w:rFonts w:ascii="Calibri" w:hAnsi="Calibri"/>
                <w:color w:val="24313A"/>
                <w:sz w:val="18"/>
              </w:rPr>
              <w:t>Schedule and milestone impact</w:t>
            </w:r>
          </w:p>
        </w:tc>
        <w:tc>
          <w:tcPr>
            <w:tcW w:type="dxa" w:w="6260"/>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3100"/>
            <w:shd w:fill="F4F6F8"/>
            <w:tcMar>
              <w:top w:w="100" w:type="dxa"/>
              <w:start w:w="120" w:type="dxa"/>
              <w:bottom w:w="100" w:type="dxa"/>
              <w:end w:w="120" w:type="dxa"/>
            </w:tcMar>
            <w:vAlign w:val="center"/>
          </w:tcPr>
          <w:p>
            <w:pPr>
              <w:spacing w:after="0" w:line="252" w:lineRule="auto"/>
            </w:pPr>
            <w:r>
              <w:rPr>
                <w:rFonts w:ascii="Calibri" w:hAnsi="Calibri"/>
                <w:color w:val="24313A"/>
                <w:sz w:val="18"/>
              </w:rPr>
              <w:t>Cost, resources and procurement impact</w:t>
            </w:r>
          </w:p>
        </w:tc>
        <w:tc>
          <w:tcPr>
            <w:tcW w:type="dxa" w:w="6260"/>
            <w:shd w:fill="F4F6F8"/>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3100"/>
            <w:tcMar>
              <w:top w:w="100" w:type="dxa"/>
              <w:start w:w="120" w:type="dxa"/>
              <w:bottom w:w="100" w:type="dxa"/>
              <w:end w:w="120" w:type="dxa"/>
            </w:tcMar>
            <w:vAlign w:val="center"/>
          </w:tcPr>
          <w:p>
            <w:pPr>
              <w:spacing w:after="0" w:line="252" w:lineRule="auto"/>
            </w:pPr>
            <w:r>
              <w:rPr>
                <w:rFonts w:ascii="Calibri" w:hAnsi="Calibri"/>
                <w:color w:val="24313A"/>
                <w:sz w:val="18"/>
              </w:rPr>
              <w:t>Quality, security, privacy and operational impact</w:t>
            </w:r>
          </w:p>
        </w:tc>
        <w:tc>
          <w:tcPr>
            <w:tcW w:type="dxa" w:w="6260"/>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3100"/>
            <w:shd w:fill="F4F6F8"/>
            <w:tcMar>
              <w:top w:w="100" w:type="dxa"/>
              <w:start w:w="120" w:type="dxa"/>
              <w:bottom w:w="100" w:type="dxa"/>
              <w:end w:w="120" w:type="dxa"/>
            </w:tcMar>
            <w:vAlign w:val="center"/>
          </w:tcPr>
          <w:p>
            <w:pPr>
              <w:spacing w:after="0" w:line="252" w:lineRule="auto"/>
            </w:pPr>
            <w:r>
              <w:rPr>
                <w:rFonts w:ascii="Calibri" w:hAnsi="Calibri"/>
                <w:color w:val="24313A"/>
                <w:sz w:val="18"/>
              </w:rPr>
              <w:t>Risk, benefit and stakeholder impact</w:t>
            </w:r>
          </w:p>
        </w:tc>
        <w:tc>
          <w:tcPr>
            <w:tcW w:type="dxa" w:w="6260"/>
            <w:shd w:fill="F4F6F8"/>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3100"/>
            <w:tcMar>
              <w:top w:w="100" w:type="dxa"/>
              <w:start w:w="120" w:type="dxa"/>
              <w:bottom w:w="100" w:type="dxa"/>
              <w:end w:w="120" w:type="dxa"/>
            </w:tcMar>
            <w:vAlign w:val="center"/>
          </w:tcPr>
          <w:p>
            <w:pPr>
              <w:spacing w:after="0" w:line="252" w:lineRule="auto"/>
            </w:pPr>
            <w:r>
              <w:rPr>
                <w:rFonts w:ascii="Calibri" w:hAnsi="Calibri"/>
                <w:color w:val="24313A"/>
                <w:sz w:val="18"/>
              </w:rPr>
              <w:t>Options considered</w:t>
            </w:r>
          </w:p>
        </w:tc>
        <w:tc>
          <w:tcPr>
            <w:tcW w:type="dxa" w:w="6260"/>
            <w:tcMar>
              <w:top w:w="100" w:type="dxa"/>
              <w:start w:w="120" w:type="dxa"/>
              <w:bottom w:w="100" w:type="dxa"/>
              <w:end w:w="120" w:type="dxa"/>
            </w:tcMar>
            <w:vAlign w:val="center"/>
          </w:tcPr>
          <w:p>
            <w:pPr>
              <w:spacing w:after="0" w:line="252" w:lineRule="auto"/>
            </w:pPr>
            <w:r>
              <w:rPr>
                <w:rFonts w:ascii="Calibri" w:hAnsi="Calibri"/>
                <w:color w:val="24313A"/>
                <w:sz w:val="18"/>
              </w:rPr>
              <w:t>Reject / defer / substitute / reduce other scope / approve / rebaseline.</w:t>
            </w:r>
          </w:p>
        </w:tc>
      </w:tr>
      <w:tr>
        <w:trPr>
          <w:cantSplit/>
        </w:trPr>
        <w:tc>
          <w:tcPr>
            <w:tcW w:type="dxa" w:w="3100"/>
            <w:shd w:fill="F4F6F8"/>
            <w:tcMar>
              <w:top w:w="100" w:type="dxa"/>
              <w:start w:w="120" w:type="dxa"/>
              <w:bottom w:w="100" w:type="dxa"/>
              <w:end w:w="120" w:type="dxa"/>
            </w:tcMar>
            <w:vAlign w:val="center"/>
          </w:tcPr>
          <w:p>
            <w:pPr>
              <w:spacing w:after="0" w:line="252" w:lineRule="auto"/>
            </w:pPr>
            <w:r>
              <w:rPr>
                <w:rFonts w:ascii="Calibri" w:hAnsi="Calibri"/>
                <w:color w:val="24313A"/>
                <w:sz w:val="18"/>
              </w:rPr>
              <w:t>Recommendation</w:t>
            </w:r>
          </w:p>
        </w:tc>
        <w:tc>
          <w:tcPr>
            <w:tcW w:type="dxa" w:w="6260"/>
            <w:shd w:fill="F4F6F8"/>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3100"/>
            <w:tcMar>
              <w:top w:w="100" w:type="dxa"/>
              <w:start w:w="120" w:type="dxa"/>
              <w:bottom w:w="100" w:type="dxa"/>
              <w:end w:w="120" w:type="dxa"/>
            </w:tcMar>
            <w:vAlign w:val="center"/>
          </w:tcPr>
          <w:p>
            <w:pPr>
              <w:spacing w:after="0" w:line="252" w:lineRule="auto"/>
            </w:pPr>
            <w:r>
              <w:rPr>
                <w:rFonts w:ascii="Calibri" w:hAnsi="Calibri"/>
                <w:color w:val="24313A"/>
                <w:sz w:val="18"/>
              </w:rPr>
              <w:t>Decision and conditions</w:t>
            </w:r>
          </w:p>
        </w:tc>
        <w:tc>
          <w:tcPr>
            <w:tcW w:type="dxa" w:w="6260"/>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3100"/>
            <w:shd w:fill="F4F6F8"/>
            <w:tcMar>
              <w:top w:w="100" w:type="dxa"/>
              <w:start w:w="120" w:type="dxa"/>
              <w:bottom w:w="100" w:type="dxa"/>
              <w:end w:w="120" w:type="dxa"/>
            </w:tcMar>
            <w:vAlign w:val="center"/>
          </w:tcPr>
          <w:p>
            <w:pPr>
              <w:spacing w:after="0" w:line="252" w:lineRule="auto"/>
            </w:pPr>
            <w:r>
              <w:rPr>
                <w:rFonts w:ascii="Calibri" w:hAnsi="Calibri"/>
                <w:color w:val="24313A"/>
                <w:sz w:val="18"/>
              </w:rPr>
              <w:t>Baseline and records updated by</w:t>
            </w:r>
          </w:p>
        </w:tc>
        <w:tc>
          <w:tcPr>
            <w:tcW w:type="dxa" w:w="6260"/>
            <w:shd w:fill="F4F6F8"/>
            <w:tcMar>
              <w:top w:w="100" w:type="dxa"/>
              <w:start w:w="120" w:type="dxa"/>
              <w:bottom w:w="100" w:type="dxa"/>
              <w:end w:w="120" w:type="dxa"/>
            </w:tcMar>
            <w:vAlign w:val="center"/>
          </w:tcPr>
          <w:p>
            <w:pPr>
              <w:spacing w:after="0" w:line="252" w:lineRule="auto"/>
            </w:pPr>
            <w:r>
              <w:rPr>
                <w:rFonts w:ascii="Calibri" w:hAnsi="Calibri"/>
                <w:color w:val="24313A"/>
                <w:sz w:val="18"/>
              </w:rPr>
            </w:r>
          </w:p>
        </w:tc>
      </w:tr>
      <w:tr>
        <w:trPr>
          <w:cantSplit/>
        </w:trPr>
        <w:tc>
          <w:tcPr>
            <w:tcW w:type="dxa" w:w="3100"/>
            <w:tcMar>
              <w:top w:w="100" w:type="dxa"/>
              <w:start w:w="120" w:type="dxa"/>
              <w:bottom w:w="100" w:type="dxa"/>
              <w:end w:w="120" w:type="dxa"/>
            </w:tcMar>
            <w:vAlign w:val="center"/>
          </w:tcPr>
          <w:p>
            <w:pPr>
              <w:spacing w:after="0" w:line="252" w:lineRule="auto"/>
            </w:pPr>
            <w:r>
              <w:rPr>
                <w:rFonts w:ascii="Calibri" w:hAnsi="Calibri"/>
                <w:color w:val="24313A"/>
                <w:sz w:val="18"/>
              </w:rPr>
              <w:t>Implementation verification</w:t>
            </w:r>
          </w:p>
        </w:tc>
        <w:tc>
          <w:tcPr>
            <w:tcW w:type="dxa" w:w="6260"/>
            <w:tcMar>
              <w:top w:w="100" w:type="dxa"/>
              <w:start w:w="120" w:type="dxa"/>
              <w:bottom w:w="100" w:type="dxa"/>
              <w:end w:w="120" w:type="dxa"/>
            </w:tcMar>
            <w:vAlign w:val="center"/>
          </w:tcPr>
          <w:p>
            <w:pPr>
              <w:spacing w:after="0" w:line="252" w:lineRule="auto"/>
            </w:pPr>
            <w:r>
              <w:rPr>
                <w:rFonts w:ascii="Calibri" w:hAnsi="Calibri"/>
                <w:color w:val="24313A"/>
                <w:sz w:val="18"/>
              </w:rPr>
            </w:r>
          </w:p>
        </w:tc>
      </w:tr>
    </w:tbl>
    <w:p>
      <w:pPr>
        <w:spacing w:after="40"/>
      </w:pPr>
    </w:p>
    <w:p>
      <w:pPr>
        <w:pStyle w:val="Heading1"/>
        <w:keepNext/>
        <w:pageBreakBefore/>
      </w:pPr>
      <w:r>
        <w:t>Appendix G - Project Closure Report Template</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600"/>
        <w:gridCol w:w="6760"/>
      </w:tblGrid>
      <w:tr>
        <w:trPr>
          <w:tblHeader w:val="true"/>
          <w:cantSplit/>
        </w:trPr>
        <w:tc>
          <w:tcPr>
            <w:tcW w:type="dxa" w:w="2600"/>
            <w:tcMar>
              <w:top w:w="100" w:type="dxa"/>
              <w:start w:w="120" w:type="dxa"/>
              <w:bottom w:w="100" w:type="dxa"/>
              <w:end w:w="120" w:type="dxa"/>
            </w:tcMar>
            <w:vAlign w:val="center"/>
            <w:shd w:fill="123A5A"/>
          </w:tcPr>
          <w:p>
            <w:pPr>
              <w:jc w:val="left"/>
            </w:pPr>
            <w:r>
              <w:rPr>
                <w:rFonts w:ascii="Calibri" w:hAnsi="Calibri"/>
                <w:b/>
                <w:color w:val="FFFFFF"/>
                <w:sz w:val="18"/>
              </w:rPr>
              <w:t>Closure area</w:t>
            </w:r>
          </w:p>
        </w:tc>
        <w:tc>
          <w:tcPr>
            <w:tcW w:type="dxa" w:w="6760"/>
            <w:tcMar>
              <w:top w:w="100" w:type="dxa"/>
              <w:start w:w="120" w:type="dxa"/>
              <w:bottom w:w="100" w:type="dxa"/>
              <w:end w:w="120" w:type="dxa"/>
            </w:tcMar>
            <w:vAlign w:val="center"/>
            <w:shd w:fill="123A5A"/>
          </w:tcPr>
          <w:p>
            <w:pPr>
              <w:jc w:val="left"/>
            </w:pPr>
            <w:r>
              <w:rPr>
                <w:rFonts w:ascii="Calibri" w:hAnsi="Calibri"/>
                <w:b/>
                <w:color w:val="FFFFFF"/>
                <w:sz w:val="18"/>
              </w:rPr>
              <w:t>Evidence / outcome</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7"/>
              </w:rPr>
              <w:t>Objectives and deliverables</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7"/>
              </w:rPr>
              <w:t>Completed, partially completed or terminated; reasons and evidence.</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7"/>
              </w:rPr>
              <w:t>Acceptance</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7"/>
              </w:rPr>
              <w:t>Accepting authority, date, conditions and final version.</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7"/>
              </w:rPr>
              <w:t>Schedule performance</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7"/>
              </w:rPr>
              <w:t>Original baseline, approved changes, actual completion and explanation.</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7"/>
              </w:rPr>
              <w:t>Financial performance</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7"/>
              </w:rPr>
              <w:t>Approved budget, actual/committed cost, variance and reconciliation.</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7"/>
              </w:rPr>
              <w:t>Quality and defects</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7"/>
              </w:rPr>
              <w:t>Tests, accepted limitations, residual defects and owners.</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7"/>
              </w:rPr>
              <w:t>Risks and issues</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7"/>
              </w:rPr>
              <w:t>Closed, transferred or accepted items and responsible owners.</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7"/>
              </w:rPr>
              <w:t>Operations and support</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7"/>
              </w:rPr>
              <w:t>Handover, training, documentation, access, support and rollback readiness.</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7"/>
              </w:rPr>
              <w:t>Contracts and assets</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7"/>
              </w:rPr>
              <w:t>Supplier closure, licences, accounts, equipment and data disposition.</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7"/>
              </w:rPr>
              <w:t>Lessons learned</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7"/>
              </w:rPr>
              <w:t>Practices to retain, change or stop.</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7"/>
              </w:rPr>
              <w:t>Benefits follow-up</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7"/>
              </w:rPr>
              <w:t>Measures, baseline, targets, owners and review dates.</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7"/>
              </w:rPr>
              <w:t>Register status after Gate 6</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7"/>
              </w:rPr>
              <w:t>Operational - Benefits Pending until Gate 7; record due date and evidence owner.</w:t>
            </w:r>
          </w:p>
        </w:tc>
      </w:tr>
      <w:tr>
        <w:trPr>
          <w:cantSplit/>
        </w:trPr>
        <w:tc>
          <w:tcPr>
            <w:tcW w:type="dxa" w:w="2600"/>
            <w:shd w:fill="F4F6F8"/>
            <w:tcMar>
              <w:top w:w="100" w:type="dxa"/>
              <w:start w:w="120" w:type="dxa"/>
              <w:bottom w:w="100" w:type="dxa"/>
              <w:end w:w="120" w:type="dxa"/>
            </w:tcMar>
            <w:vAlign w:val="center"/>
          </w:tcPr>
          <w:p>
            <w:pPr>
              <w:spacing w:after="0" w:line="252" w:lineRule="auto"/>
            </w:pPr>
            <w:r>
              <w:rPr>
                <w:rFonts w:ascii="Calibri" w:hAnsi="Calibri"/>
                <w:color w:val="24313A"/>
                <w:sz w:val="17"/>
              </w:rPr>
              <w:t>Retention and disposal</w:t>
            </w:r>
          </w:p>
        </w:tc>
        <w:tc>
          <w:tcPr>
            <w:tcW w:type="dxa" w:w="6760"/>
            <w:shd w:fill="F4F6F8"/>
            <w:tcMar>
              <w:top w:w="100" w:type="dxa"/>
              <w:start w:w="120" w:type="dxa"/>
              <w:bottom w:w="100" w:type="dxa"/>
              <w:end w:w="120" w:type="dxa"/>
            </w:tcMar>
            <w:vAlign w:val="center"/>
          </w:tcPr>
          <w:p>
            <w:pPr>
              <w:spacing w:after="0" w:line="252" w:lineRule="auto"/>
            </w:pPr>
            <w:r>
              <w:rPr>
                <w:rFonts w:ascii="Calibri" w:hAnsi="Calibri"/>
                <w:color w:val="24313A"/>
                <w:sz w:val="17"/>
              </w:rPr>
              <w:t>Record categories, custodians, disposal dates and any legal hold under Appendix J.</w:t>
            </w:r>
          </w:p>
        </w:tc>
      </w:tr>
      <w:tr>
        <w:trPr>
          <w:cantSplit/>
        </w:trPr>
        <w:tc>
          <w:tcPr>
            <w:tcW w:type="dxa" w:w="2600"/>
            <w:tcMar>
              <w:top w:w="100" w:type="dxa"/>
              <w:start w:w="120" w:type="dxa"/>
              <w:bottom w:w="100" w:type="dxa"/>
              <w:end w:w="120" w:type="dxa"/>
            </w:tcMar>
            <w:vAlign w:val="center"/>
          </w:tcPr>
          <w:p>
            <w:pPr>
              <w:spacing w:after="0" w:line="252" w:lineRule="auto"/>
            </w:pPr>
            <w:r>
              <w:rPr>
                <w:rFonts w:ascii="Calibri" w:hAnsi="Calibri"/>
                <w:color w:val="24313A"/>
                <w:sz w:val="17"/>
              </w:rPr>
              <w:t>Closure decision</w:t>
            </w:r>
          </w:p>
        </w:tc>
        <w:tc>
          <w:tcPr>
            <w:tcW w:type="dxa" w:w="6760"/>
            <w:tcMar>
              <w:top w:w="100" w:type="dxa"/>
              <w:start w:w="120" w:type="dxa"/>
              <w:bottom w:w="100" w:type="dxa"/>
              <w:end w:w="120" w:type="dxa"/>
            </w:tcMar>
            <w:vAlign w:val="center"/>
          </w:tcPr>
          <w:p>
            <w:pPr>
              <w:spacing w:after="0" w:line="252" w:lineRule="auto"/>
            </w:pPr>
            <w:r>
              <w:rPr>
                <w:rFonts w:ascii="Calibri" w:hAnsi="Calibri"/>
                <w:color w:val="24313A"/>
                <w:sz w:val="17"/>
              </w:rPr>
              <w:t>Approved / approved with actions / held; decision owner and date.</w:t>
            </w:r>
          </w:p>
        </w:tc>
      </w:tr>
    </w:tbl>
    <w:p>
      <w:pPr>
        <w:spacing w:after="40"/>
      </w:pPr>
    </w:p>
    <w:p>
      <w:pPr>
        <w:pStyle w:val="Heading1"/>
        <w:keepNext/>
        <w:pageBreakBefore/>
      </w:pPr>
      <w:r>
        <w:t>Appendix H - Responsibility and Decision Matrix</w:t>
      </w:r>
    </w:p>
    <w:p>
      <w:pPr>
        <w:spacing w:after="120" w:line="300" w:lineRule="auto"/>
      </w:pPr>
      <w:r>
        <w:rPr>
          <w:i w:val="0"/>
        </w:rPr>
        <w:t>Each row has one accountable authority. Responsible roles perform or coordinate the work; consulted roles provide required challenge or evidence. The authority bands in Section 3.2 and the Class A rules below determine which row applies.</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700"/>
        <w:gridCol w:w="1900"/>
        <w:gridCol w:w="2300"/>
        <w:gridCol w:w="2460"/>
      </w:tblGrid>
      <w:tr>
        <w:trPr>
          <w:tblHeader w:val="true"/>
          <w:cantSplit/>
        </w:trPr>
        <w:tc>
          <w:tcPr>
            <w:tcW w:type="dxa" w:w="2700"/>
            <w:tcMar>
              <w:top w:w="100" w:type="dxa"/>
              <w:start w:w="120" w:type="dxa"/>
              <w:bottom w:w="100" w:type="dxa"/>
              <w:end w:w="120" w:type="dxa"/>
            </w:tcMar>
            <w:vAlign w:val="center"/>
            <w:shd w:fill="123A5A"/>
          </w:tcPr>
          <w:p>
            <w:pPr>
              <w:jc w:val="left"/>
            </w:pPr>
            <w:r>
              <w:rPr>
                <w:rFonts w:ascii="Calibri" w:hAnsi="Calibri"/>
                <w:b/>
                <w:color w:val="FFFFFF"/>
                <w:sz w:val="18"/>
              </w:rPr>
              <w:t>Activity / condition</w:t>
            </w:r>
          </w:p>
        </w:tc>
        <w:tc>
          <w:tcPr>
            <w:tcW w:type="dxa" w:w="1900"/>
            <w:tcMar>
              <w:top w:w="100" w:type="dxa"/>
              <w:start w:w="120" w:type="dxa"/>
              <w:bottom w:w="100" w:type="dxa"/>
              <w:end w:w="120" w:type="dxa"/>
            </w:tcMar>
            <w:vAlign w:val="center"/>
            <w:shd w:fill="123A5A"/>
          </w:tcPr>
          <w:p>
            <w:pPr>
              <w:jc w:val="left"/>
            </w:pPr>
            <w:r>
              <w:rPr>
                <w:rFonts w:ascii="Calibri" w:hAnsi="Calibri"/>
                <w:b/>
                <w:color w:val="FFFFFF"/>
                <w:sz w:val="18"/>
              </w:rPr>
              <w:t>Accountable (one A)</w:t>
            </w:r>
          </w:p>
        </w:tc>
        <w:tc>
          <w:tcPr>
            <w:tcW w:type="dxa" w:w="2300"/>
            <w:tcMar>
              <w:top w:w="100" w:type="dxa"/>
              <w:start w:w="120" w:type="dxa"/>
              <w:bottom w:w="100" w:type="dxa"/>
              <w:end w:w="120" w:type="dxa"/>
            </w:tcMar>
            <w:vAlign w:val="center"/>
            <w:shd w:fill="123A5A"/>
          </w:tcPr>
          <w:p>
            <w:pPr>
              <w:jc w:val="left"/>
            </w:pPr>
            <w:r>
              <w:rPr>
                <w:rFonts w:ascii="Calibri" w:hAnsi="Calibri"/>
                <w:b/>
                <w:color w:val="FFFFFF"/>
                <w:sz w:val="18"/>
              </w:rPr>
              <w:t>Responsible</w:t>
            </w:r>
          </w:p>
        </w:tc>
        <w:tc>
          <w:tcPr>
            <w:tcW w:type="dxa" w:w="2460"/>
            <w:tcMar>
              <w:top w:w="100" w:type="dxa"/>
              <w:start w:w="120" w:type="dxa"/>
              <w:bottom w:w="100" w:type="dxa"/>
              <w:end w:w="120" w:type="dxa"/>
            </w:tcMar>
            <w:vAlign w:val="center"/>
            <w:shd w:fill="123A5A"/>
          </w:tcPr>
          <w:p>
            <w:pPr>
              <w:jc w:val="left"/>
            </w:pPr>
            <w:r>
              <w:rPr>
                <w:rFonts w:ascii="Calibri" w:hAnsi="Calibri"/>
                <w:b/>
                <w:color w:val="FFFFFF"/>
                <w:sz w:val="18"/>
              </w:rPr>
              <w:t>Consulted / evidence</w:t>
            </w:r>
          </w:p>
        </w:tc>
      </w:tr>
      <w:tr>
        <w:trPr>
          <w:cantSplit/>
        </w:trPr>
        <w:tc>
          <w:tcPr>
            <w:tcW w:type="dxa" w:w="2700"/>
            <w:tcMar>
              <w:top w:w="100" w:type="dxa"/>
              <w:start w:w="120" w:type="dxa"/>
              <w:bottom w:w="100" w:type="dxa"/>
              <w:end w:w="120" w:type="dxa"/>
            </w:tcMar>
            <w:vAlign w:val="center"/>
          </w:tcPr>
          <w:p>
            <w:pPr>
              <w:spacing w:after="0" w:line="252" w:lineRule="auto"/>
            </w:pPr>
            <w:r>
              <w:rPr>
                <w:rFonts w:ascii="Calibri" w:hAnsi="Calibri"/>
                <w:color w:val="24313A"/>
                <w:sz w:val="17"/>
              </w:rPr>
              <w:t>Prioritise project and confirm class</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Project Authority</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Idea owner / Project Manager</w:t>
            </w:r>
          </w:p>
        </w:tc>
        <w:tc>
          <w:tcPr>
            <w:tcW w:type="dxa" w:w="2460"/>
            <w:tcMar>
              <w:top w:w="100" w:type="dxa"/>
              <w:start w:w="120" w:type="dxa"/>
              <w:bottom w:w="100" w:type="dxa"/>
              <w:end w:w="120" w:type="dxa"/>
            </w:tcMar>
            <w:vAlign w:val="center"/>
          </w:tcPr>
          <w:p>
            <w:pPr>
              <w:spacing w:after="0" w:line="252" w:lineRule="auto"/>
            </w:pPr>
            <w:r>
              <w:rPr>
                <w:rFonts w:ascii="Calibri" w:hAnsi="Calibri"/>
                <w:color w:val="24313A"/>
                <w:sz w:val="17"/>
              </w:rPr>
              <w:t>Sponsor, Finance, Technical/Quality/Security as relevant</w:t>
            </w:r>
          </w:p>
        </w:tc>
      </w:tr>
      <w:tr>
        <w:trPr>
          <w:cantSplit/>
        </w:trPr>
        <w:tc>
          <w:tcPr>
            <w:tcW w:type="dxa" w:w="2700"/>
            <w:shd w:fill="F4F6F8"/>
            <w:tcMar>
              <w:top w:w="100" w:type="dxa"/>
              <w:start w:w="120" w:type="dxa"/>
              <w:bottom w:w="100" w:type="dxa"/>
              <w:end w:w="120" w:type="dxa"/>
            </w:tcMar>
            <w:vAlign w:val="center"/>
          </w:tcPr>
          <w:p>
            <w:pPr>
              <w:spacing w:after="0" w:line="252" w:lineRule="auto"/>
            </w:pPr>
            <w:r>
              <w:rPr>
                <w:rFonts w:ascii="Calibri" w:hAnsi="Calibri"/>
                <w:color w:val="24313A"/>
                <w:sz w:val="17"/>
              </w:rPr>
              <w:t>Approve Class A charter</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Authority</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Sponsor and Project Manager</w:t>
            </w:r>
          </w:p>
        </w:tc>
        <w:tc>
          <w:tcPr>
            <w:tcW w:type="dxa" w:w="2460"/>
            <w:shd w:fill="F4F6F8"/>
            <w:tcMar>
              <w:top w:w="100" w:type="dxa"/>
              <w:start w:w="120" w:type="dxa"/>
              <w:bottom w:w="100" w:type="dxa"/>
              <w:end w:w="120" w:type="dxa"/>
            </w:tcMar>
            <w:vAlign w:val="center"/>
          </w:tcPr>
          <w:p>
            <w:pPr>
              <w:spacing w:after="0" w:line="252" w:lineRule="auto"/>
            </w:pPr>
            <w:r>
              <w:rPr>
                <w:rFonts w:ascii="Calibri" w:hAnsi="Calibri"/>
                <w:color w:val="24313A"/>
                <w:sz w:val="17"/>
              </w:rPr>
              <w:t>Finance and independent control reviewer</w:t>
            </w:r>
          </w:p>
        </w:tc>
      </w:tr>
      <w:tr>
        <w:trPr>
          <w:cantSplit/>
        </w:trPr>
        <w:tc>
          <w:tcPr>
            <w:tcW w:type="dxa" w:w="2700"/>
            <w:tcMar>
              <w:top w:w="100" w:type="dxa"/>
              <w:start w:w="120" w:type="dxa"/>
              <w:bottom w:w="100" w:type="dxa"/>
              <w:end w:w="120" w:type="dxa"/>
            </w:tcMar>
            <w:vAlign w:val="center"/>
          </w:tcPr>
          <w:p>
            <w:pPr>
              <w:spacing w:after="0" w:line="252" w:lineRule="auto"/>
            </w:pPr>
            <w:r>
              <w:rPr>
                <w:rFonts w:ascii="Calibri" w:hAnsi="Calibri"/>
                <w:color w:val="24313A"/>
                <w:sz w:val="17"/>
              </w:rPr>
              <w:t>Approve Class B/C charter</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Project Sponsor</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Project Manager</w:t>
            </w:r>
          </w:p>
        </w:tc>
        <w:tc>
          <w:tcPr>
            <w:tcW w:type="dxa" w:w="2460"/>
            <w:tcMar>
              <w:top w:w="100" w:type="dxa"/>
              <w:start w:w="120" w:type="dxa"/>
              <w:bottom w:w="100" w:type="dxa"/>
              <w:end w:w="120" w:type="dxa"/>
            </w:tcMar>
            <w:vAlign w:val="center"/>
          </w:tcPr>
          <w:p>
            <w:pPr>
              <w:spacing w:after="0" w:line="252" w:lineRule="auto"/>
            </w:pPr>
            <w:r>
              <w:rPr>
                <w:rFonts w:ascii="Calibri" w:hAnsi="Calibri"/>
                <w:color w:val="24313A"/>
                <w:sz w:val="17"/>
              </w:rPr>
              <w:t>Project Authority for exceptions; relevant reviewers</w:t>
            </w:r>
          </w:p>
        </w:tc>
      </w:tr>
      <w:tr>
        <w:trPr>
          <w:cantSplit/>
        </w:trPr>
        <w:tc>
          <w:tcPr>
            <w:tcW w:type="dxa" w:w="2700"/>
            <w:shd w:fill="F4F6F8"/>
            <w:tcMar>
              <w:top w:w="100" w:type="dxa"/>
              <w:start w:w="120" w:type="dxa"/>
              <w:bottom w:w="100" w:type="dxa"/>
              <w:end w:w="120" w:type="dxa"/>
            </w:tcMar>
            <w:vAlign w:val="center"/>
          </w:tcPr>
          <w:p>
            <w:pPr>
              <w:spacing w:after="0" w:line="252" w:lineRule="auto"/>
            </w:pPr>
            <w:r>
              <w:rPr>
                <w:rFonts w:ascii="Calibri" w:hAnsi="Calibri"/>
                <w:color w:val="24313A"/>
                <w:sz w:val="17"/>
              </w:rPr>
              <w:t>Prepare integrated plan</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Manager</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Technical/Product leads and team</w:t>
            </w:r>
          </w:p>
        </w:tc>
        <w:tc>
          <w:tcPr>
            <w:tcW w:type="dxa" w:w="2460"/>
            <w:shd w:fill="F4F6F8"/>
            <w:tcMar>
              <w:top w:w="100" w:type="dxa"/>
              <w:start w:w="120" w:type="dxa"/>
              <w:bottom w:w="100" w:type="dxa"/>
              <w:end w:w="120" w:type="dxa"/>
            </w:tcMar>
            <w:vAlign w:val="center"/>
          </w:tcPr>
          <w:p>
            <w:pPr>
              <w:spacing w:after="0" w:line="252" w:lineRule="auto"/>
            </w:pPr>
            <w:r>
              <w:rPr>
                <w:rFonts w:ascii="Calibri" w:hAnsi="Calibri"/>
                <w:color w:val="24313A"/>
                <w:sz w:val="17"/>
              </w:rPr>
              <w:t>Sponsor, Finance, Assurance, Service Owner</w:t>
            </w:r>
          </w:p>
        </w:tc>
      </w:tr>
      <w:tr>
        <w:trPr>
          <w:cantSplit/>
        </w:trPr>
        <w:tc>
          <w:tcPr>
            <w:tcW w:type="dxa" w:w="2700"/>
            <w:tcMar>
              <w:top w:w="100" w:type="dxa"/>
              <w:start w:w="120" w:type="dxa"/>
              <w:bottom w:w="100" w:type="dxa"/>
              <w:end w:w="120" w:type="dxa"/>
            </w:tcMar>
            <w:vAlign w:val="center"/>
          </w:tcPr>
          <w:p>
            <w:pPr>
              <w:spacing w:after="0" w:line="252" w:lineRule="auto"/>
            </w:pPr>
            <w:r>
              <w:rPr>
                <w:rFonts w:ascii="Calibri" w:hAnsi="Calibri"/>
                <w:color w:val="24313A"/>
                <w:sz w:val="17"/>
              </w:rPr>
              <w:t>Approve Class A baseline</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Project Authority</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Sponsor and Project Manager</w:t>
            </w:r>
          </w:p>
        </w:tc>
        <w:tc>
          <w:tcPr>
            <w:tcW w:type="dxa" w:w="2460"/>
            <w:tcMar>
              <w:top w:w="100" w:type="dxa"/>
              <w:start w:w="120" w:type="dxa"/>
              <w:bottom w:w="100" w:type="dxa"/>
              <w:end w:w="120" w:type="dxa"/>
            </w:tcMar>
            <w:vAlign w:val="center"/>
          </w:tcPr>
          <w:p>
            <w:pPr>
              <w:spacing w:after="0" w:line="252" w:lineRule="auto"/>
            </w:pPr>
            <w:r>
              <w:rPr>
                <w:rFonts w:ascii="Calibri" w:hAnsi="Calibri"/>
                <w:color w:val="24313A"/>
                <w:sz w:val="17"/>
              </w:rPr>
              <w:t>Independent assurance and relevant control owners</w:t>
            </w:r>
          </w:p>
        </w:tc>
      </w:tr>
      <w:tr>
        <w:trPr>
          <w:cantSplit/>
        </w:trPr>
        <w:tc>
          <w:tcPr>
            <w:tcW w:type="dxa" w:w="2700"/>
            <w:shd w:fill="F4F6F8"/>
            <w:tcMar>
              <w:top w:w="100" w:type="dxa"/>
              <w:start w:w="120" w:type="dxa"/>
              <w:bottom w:w="100" w:type="dxa"/>
              <w:end w:w="120" w:type="dxa"/>
            </w:tcMar>
            <w:vAlign w:val="center"/>
          </w:tcPr>
          <w:p>
            <w:pPr>
              <w:spacing w:after="0" w:line="252" w:lineRule="auto"/>
            </w:pPr>
            <w:r>
              <w:rPr>
                <w:rFonts w:ascii="Calibri" w:hAnsi="Calibri"/>
                <w:color w:val="24313A"/>
                <w:sz w:val="17"/>
              </w:rPr>
              <w:t>Approve Class B/C baseline</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Sponsor</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Manager</w:t>
            </w:r>
          </w:p>
        </w:tc>
        <w:tc>
          <w:tcPr>
            <w:tcW w:type="dxa" w:w="2460"/>
            <w:shd w:fill="F4F6F8"/>
            <w:tcMar>
              <w:top w:w="100" w:type="dxa"/>
              <w:start w:w="120" w:type="dxa"/>
              <w:bottom w:w="100" w:type="dxa"/>
              <w:end w:w="120" w:type="dxa"/>
            </w:tcMar>
            <w:vAlign w:val="center"/>
          </w:tcPr>
          <w:p>
            <w:pPr>
              <w:spacing w:after="0" w:line="252" w:lineRule="auto"/>
            </w:pPr>
            <w:r>
              <w:rPr>
                <w:rFonts w:ascii="Calibri" w:hAnsi="Calibri"/>
                <w:color w:val="24313A"/>
                <w:sz w:val="17"/>
              </w:rPr>
              <w:t>Finance, Technical/Quality/Security/Service as relevant</w:t>
            </w:r>
          </w:p>
        </w:tc>
      </w:tr>
      <w:tr>
        <w:trPr>
          <w:cantSplit/>
        </w:trPr>
        <w:tc>
          <w:tcPr>
            <w:tcW w:type="dxa" w:w="2700"/>
            <w:tcMar>
              <w:top w:w="100" w:type="dxa"/>
              <w:start w:w="120" w:type="dxa"/>
              <w:bottom w:w="100" w:type="dxa"/>
              <w:end w:w="120" w:type="dxa"/>
            </w:tcMar>
            <w:vAlign w:val="center"/>
          </w:tcPr>
          <w:p>
            <w:pPr>
              <w:spacing w:after="0" w:line="252" w:lineRule="auto"/>
            </w:pPr>
            <w:r>
              <w:rPr>
                <w:rFonts w:ascii="Calibri" w:hAnsi="Calibri"/>
                <w:color w:val="24313A"/>
                <w:sz w:val="17"/>
              </w:rPr>
              <w:t>Deliver work packages</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Project Manager</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Technical/Product lead and team</w:t>
            </w:r>
          </w:p>
        </w:tc>
        <w:tc>
          <w:tcPr>
            <w:tcW w:type="dxa" w:w="2460"/>
            <w:tcMar>
              <w:top w:w="100" w:type="dxa"/>
              <w:start w:w="120" w:type="dxa"/>
              <w:bottom w:w="100" w:type="dxa"/>
              <w:end w:w="120" w:type="dxa"/>
            </w:tcMar>
            <w:vAlign w:val="center"/>
          </w:tcPr>
          <w:p>
            <w:pPr>
              <w:spacing w:after="0" w:line="252" w:lineRule="auto"/>
            </w:pPr>
            <w:r>
              <w:rPr>
                <w:rFonts w:ascii="Calibri" w:hAnsi="Calibri"/>
                <w:color w:val="24313A"/>
                <w:sz w:val="17"/>
              </w:rPr>
              <w:t>Sponsor and Assurance</w:t>
            </w:r>
          </w:p>
        </w:tc>
      </w:tr>
      <w:tr>
        <w:trPr>
          <w:cantSplit/>
        </w:trPr>
        <w:tc>
          <w:tcPr>
            <w:tcW w:type="dxa" w:w="2700"/>
            <w:shd w:fill="F4F6F8"/>
            <w:tcMar>
              <w:top w:w="100" w:type="dxa"/>
              <w:start w:w="120" w:type="dxa"/>
              <w:bottom w:w="100" w:type="dxa"/>
              <w:end w:w="120" w:type="dxa"/>
            </w:tcMar>
            <w:vAlign w:val="center"/>
          </w:tcPr>
          <w:p>
            <w:pPr>
              <w:spacing w:after="0" w:line="252" w:lineRule="auto"/>
            </w:pPr>
            <w:r>
              <w:rPr>
                <w:rFonts w:ascii="Calibri" w:hAnsi="Calibri"/>
                <w:color w:val="24313A"/>
                <w:sz w:val="17"/>
              </w:rPr>
              <w:t>Monitor and report</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Manager</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Workstream owners</w:t>
            </w:r>
          </w:p>
        </w:tc>
        <w:tc>
          <w:tcPr>
            <w:tcW w:type="dxa" w:w="2460"/>
            <w:shd w:fill="F4F6F8"/>
            <w:tcMar>
              <w:top w:w="100" w:type="dxa"/>
              <w:start w:w="120" w:type="dxa"/>
              <w:bottom w:w="100" w:type="dxa"/>
              <w:end w:w="120" w:type="dxa"/>
            </w:tcMar>
            <w:vAlign w:val="center"/>
          </w:tcPr>
          <w:p>
            <w:pPr>
              <w:spacing w:after="0" w:line="252" w:lineRule="auto"/>
            </w:pPr>
            <w:r>
              <w:rPr>
                <w:rFonts w:ascii="Calibri" w:hAnsi="Calibri"/>
                <w:color w:val="24313A"/>
                <w:sz w:val="17"/>
              </w:rPr>
              <w:t>Sponsor, Finance and Assurance</w:t>
            </w:r>
          </w:p>
        </w:tc>
      </w:tr>
      <w:tr>
        <w:trPr>
          <w:cantSplit/>
        </w:trPr>
        <w:tc>
          <w:tcPr>
            <w:tcW w:type="dxa" w:w="2700"/>
            <w:tcMar>
              <w:top w:w="100" w:type="dxa"/>
              <w:start w:w="120" w:type="dxa"/>
              <w:bottom w:w="100" w:type="dxa"/>
              <w:end w:w="120" w:type="dxa"/>
            </w:tcMar>
            <w:vAlign w:val="center"/>
          </w:tcPr>
          <w:p>
            <w:pPr>
              <w:spacing w:after="0" w:line="252" w:lineRule="auto"/>
            </w:pPr>
            <w:r>
              <w:rPr>
                <w:rFonts w:ascii="Calibri" w:hAnsi="Calibri"/>
                <w:color w:val="24313A"/>
                <w:sz w:val="17"/>
              </w:rPr>
              <w:t>Approve material change within Sponsor limit</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Project Sponsor</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Project Manager</w:t>
            </w:r>
          </w:p>
        </w:tc>
        <w:tc>
          <w:tcPr>
            <w:tcW w:type="dxa" w:w="2460"/>
            <w:tcMar>
              <w:top w:w="100" w:type="dxa"/>
              <w:start w:w="120" w:type="dxa"/>
              <w:bottom w:w="100" w:type="dxa"/>
              <w:end w:w="120" w:type="dxa"/>
            </w:tcMar>
            <w:vAlign w:val="center"/>
          </w:tcPr>
          <w:p>
            <w:pPr>
              <w:spacing w:after="0" w:line="252" w:lineRule="auto"/>
            </w:pPr>
            <w:r>
              <w:rPr>
                <w:rFonts w:ascii="Calibri" w:hAnsi="Calibri"/>
                <w:color w:val="24313A"/>
                <w:sz w:val="17"/>
              </w:rPr>
              <w:t>Finance and affected control owners</w:t>
            </w:r>
          </w:p>
        </w:tc>
      </w:tr>
      <w:tr>
        <w:trPr>
          <w:cantSplit/>
        </w:trPr>
        <w:tc>
          <w:tcPr>
            <w:tcW w:type="dxa" w:w="2700"/>
            <w:shd w:fill="F4F6F8"/>
            <w:tcMar>
              <w:top w:w="100" w:type="dxa"/>
              <w:start w:w="120" w:type="dxa"/>
              <w:bottom w:w="100" w:type="dxa"/>
              <w:end w:w="120" w:type="dxa"/>
            </w:tcMar>
            <w:vAlign w:val="center"/>
          </w:tcPr>
          <w:p>
            <w:pPr>
              <w:spacing w:after="0" w:line="252" w:lineRule="auto"/>
            </w:pPr>
            <w:r>
              <w:rPr>
                <w:rFonts w:ascii="Calibri" w:hAnsi="Calibri"/>
                <w:color w:val="24313A"/>
                <w:sz w:val="17"/>
              </w:rPr>
              <w:t>Approve material change beyond Sponsor limit or any Class A material rebaseline</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Authority</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Sponsor and Project Manager</w:t>
            </w:r>
          </w:p>
        </w:tc>
        <w:tc>
          <w:tcPr>
            <w:tcW w:type="dxa" w:w="2460"/>
            <w:shd w:fill="F4F6F8"/>
            <w:tcMar>
              <w:top w:w="100" w:type="dxa"/>
              <w:start w:w="120" w:type="dxa"/>
              <w:bottom w:w="100" w:type="dxa"/>
              <w:end w:w="120" w:type="dxa"/>
            </w:tcMar>
            <w:vAlign w:val="center"/>
          </w:tcPr>
          <w:p>
            <w:pPr>
              <w:spacing w:after="0" w:line="252" w:lineRule="auto"/>
            </w:pPr>
            <w:r>
              <w:rPr>
                <w:rFonts w:ascii="Calibri" w:hAnsi="Calibri"/>
                <w:color w:val="24313A"/>
                <w:sz w:val="17"/>
              </w:rPr>
              <w:t>Finance and independent control reviewer</w:t>
            </w:r>
          </w:p>
        </w:tc>
      </w:tr>
      <w:tr>
        <w:trPr>
          <w:cantSplit/>
        </w:trPr>
        <w:tc>
          <w:tcPr>
            <w:tcW w:type="dxa" w:w="2700"/>
            <w:tcMar>
              <w:top w:w="100" w:type="dxa"/>
              <w:start w:w="120" w:type="dxa"/>
              <w:bottom w:w="100" w:type="dxa"/>
              <w:end w:w="120" w:type="dxa"/>
            </w:tcMar>
            <w:vAlign w:val="center"/>
          </w:tcPr>
          <w:p>
            <w:pPr>
              <w:spacing w:after="0" w:line="252" w:lineRule="auto"/>
            </w:pPr>
            <w:r>
              <w:rPr>
                <w:rFonts w:ascii="Calibri" w:hAnsi="Calibri"/>
                <w:color w:val="24313A"/>
                <w:sz w:val="17"/>
              </w:rPr>
              <w:t>Approve release / final acceptance</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Named Acceptance Authority</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Project Manager and Technical/Product leads</w:t>
            </w:r>
          </w:p>
        </w:tc>
        <w:tc>
          <w:tcPr>
            <w:tcW w:type="dxa" w:w="2460"/>
            <w:tcMar>
              <w:top w:w="100" w:type="dxa"/>
              <w:start w:w="120" w:type="dxa"/>
              <w:bottom w:w="100" w:type="dxa"/>
              <w:end w:w="120" w:type="dxa"/>
            </w:tcMar>
            <w:vAlign w:val="center"/>
          </w:tcPr>
          <w:p>
            <w:pPr>
              <w:spacing w:after="0" w:line="252" w:lineRule="auto"/>
            </w:pPr>
            <w:r>
              <w:rPr>
                <w:rFonts w:ascii="Calibri" w:hAnsi="Calibri"/>
                <w:color w:val="24313A"/>
                <w:sz w:val="17"/>
              </w:rPr>
              <w:t>Sponsor, Service Owner and independent reviewers required by class</w:t>
            </w:r>
          </w:p>
        </w:tc>
      </w:tr>
      <w:tr>
        <w:trPr>
          <w:cantSplit/>
        </w:trPr>
        <w:tc>
          <w:tcPr>
            <w:tcW w:type="dxa" w:w="2700"/>
            <w:shd w:fill="F4F6F8"/>
            <w:tcMar>
              <w:top w:w="100" w:type="dxa"/>
              <w:start w:w="120" w:type="dxa"/>
              <w:bottom w:w="100" w:type="dxa"/>
              <w:end w:w="120" w:type="dxa"/>
            </w:tcMar>
            <w:vAlign w:val="center"/>
          </w:tcPr>
          <w:p>
            <w:pPr>
              <w:spacing w:after="0" w:line="252" w:lineRule="auto"/>
            </w:pPr>
            <w:r>
              <w:rPr>
                <w:rFonts w:ascii="Calibri" w:hAnsi="Calibri"/>
                <w:color w:val="24313A"/>
                <w:sz w:val="17"/>
              </w:rPr>
              <w:t>Approve closure</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Sponsor</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Manager and Service Owner</w:t>
            </w:r>
          </w:p>
        </w:tc>
        <w:tc>
          <w:tcPr>
            <w:tcW w:type="dxa" w:w="2460"/>
            <w:shd w:fill="F4F6F8"/>
            <w:tcMar>
              <w:top w:w="100" w:type="dxa"/>
              <w:start w:w="120" w:type="dxa"/>
              <w:bottom w:w="100" w:type="dxa"/>
              <w:end w:w="120" w:type="dxa"/>
            </w:tcMar>
            <w:vAlign w:val="center"/>
          </w:tcPr>
          <w:p>
            <w:pPr>
              <w:spacing w:after="0" w:line="252" w:lineRule="auto"/>
            </w:pPr>
            <w:r>
              <w:rPr>
                <w:rFonts w:ascii="Calibri" w:hAnsi="Calibri"/>
                <w:color w:val="24313A"/>
                <w:sz w:val="17"/>
              </w:rPr>
              <w:t>Finance, Assurance and Acceptance Authority</w:t>
            </w:r>
          </w:p>
        </w:tc>
      </w:tr>
      <w:tr>
        <w:trPr>
          <w:cantSplit/>
        </w:trPr>
        <w:tc>
          <w:tcPr>
            <w:tcW w:type="dxa" w:w="2700"/>
            <w:tcMar>
              <w:top w:w="100" w:type="dxa"/>
              <w:start w:w="120" w:type="dxa"/>
              <w:bottom w:w="100" w:type="dxa"/>
              <w:end w:w="120" w:type="dxa"/>
            </w:tcMar>
            <w:vAlign w:val="center"/>
          </w:tcPr>
          <w:p>
            <w:pPr>
              <w:spacing w:after="0" w:line="252" w:lineRule="auto"/>
            </w:pPr>
            <w:r>
              <w:rPr>
                <w:rFonts w:ascii="Calibri" w:hAnsi="Calibri"/>
                <w:color w:val="24313A"/>
                <w:sz w:val="17"/>
              </w:rPr>
              <w:t>Complete Gate 7 benefits decision</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Project Sponsor</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Service / Operations Owner</w:t>
            </w:r>
          </w:p>
        </w:tc>
        <w:tc>
          <w:tcPr>
            <w:tcW w:type="dxa" w:w="2460"/>
            <w:tcMar>
              <w:top w:w="100" w:type="dxa"/>
              <w:start w:w="120" w:type="dxa"/>
              <w:bottom w:w="100" w:type="dxa"/>
              <w:end w:w="120" w:type="dxa"/>
            </w:tcMar>
            <w:vAlign w:val="center"/>
          </w:tcPr>
          <w:p>
            <w:pPr>
              <w:spacing w:after="0" w:line="252" w:lineRule="auto"/>
            </w:pPr>
            <w:r>
              <w:rPr>
                <w:rFonts w:ascii="Calibri" w:hAnsi="Calibri"/>
                <w:color w:val="24313A"/>
                <w:sz w:val="17"/>
              </w:rPr>
              <w:t>Framework Owner, Finance and affected users</w:t>
            </w:r>
          </w:p>
        </w:tc>
      </w:tr>
    </w:tbl>
    <w:p>
      <w:pPr>
        <w:spacing w:after="40"/>
      </w:pPr>
    </w:p>
    <w:p>
      <w:pPr>
        <w:pStyle w:val="Heading1"/>
        <w:keepNext/>
        <w:pageBreakBefore/>
      </w:pPr>
      <w:r>
        <w:t>Appendix I - Project and Software Framework Reconciliation</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Governing rule: </w:t>
      </w:r>
      <w:r>
        <w:rPr>
          <w:rFonts w:ascii="Calibri" w:hAnsi="Calibri"/>
          <w:color w:val="24313A"/>
        </w:rPr>
        <w:t>Software projects must satisfy both this framework and the current approved edition of the KenAddme IT Links Software Development and Engineering Framework. Evidence is created once and referenced by both. The higher classification, stronger control and more senior approver govern whenever the mappings differ.</w:t>
      </w:r>
    </w:p>
    <w:p>
      <w:pPr>
        <w:pStyle w:val="Heading2"/>
        <w:keepNext w:val="0"/>
        <w:pageBreakBefore w:val="0"/>
      </w:pPr>
      <w:r>
        <w:t>I.1 Classification Mapping</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900"/>
        <w:gridCol w:w="2200"/>
        <w:gridCol w:w="5260"/>
      </w:tblGrid>
      <w:tr>
        <w:trPr>
          <w:tblHeader w:val="true"/>
          <w:cantSplit/>
        </w:trPr>
        <w:tc>
          <w:tcPr>
            <w:tcW w:type="dxa" w:w="1900"/>
            <w:tcMar>
              <w:top w:w="100" w:type="dxa"/>
              <w:start w:w="120" w:type="dxa"/>
              <w:bottom w:w="100" w:type="dxa"/>
              <w:end w:w="120" w:type="dxa"/>
            </w:tcMar>
            <w:vAlign w:val="center"/>
            <w:shd w:fill="123A5A"/>
          </w:tcPr>
          <w:p>
            <w:pPr>
              <w:jc w:val="left"/>
            </w:pPr>
            <w:r>
              <w:rPr>
                <w:rFonts w:ascii="Calibri" w:hAnsi="Calibri"/>
                <w:b/>
                <w:color w:val="FFFFFF"/>
                <w:sz w:val="18"/>
              </w:rPr>
              <w:t>Project class</w:t>
            </w:r>
          </w:p>
        </w:tc>
        <w:tc>
          <w:tcPr>
            <w:tcW w:type="dxa" w:w="2200"/>
            <w:tcMar>
              <w:top w:w="100" w:type="dxa"/>
              <w:start w:w="120" w:type="dxa"/>
              <w:bottom w:w="100" w:type="dxa"/>
              <w:end w:w="120" w:type="dxa"/>
            </w:tcMar>
            <w:vAlign w:val="center"/>
            <w:shd w:fill="123A5A"/>
          </w:tcPr>
          <w:p>
            <w:pPr>
              <w:jc w:val="left"/>
            </w:pPr>
            <w:r>
              <w:rPr>
                <w:rFonts w:ascii="Calibri" w:hAnsi="Calibri"/>
                <w:b/>
                <w:color w:val="FFFFFF"/>
                <w:sz w:val="18"/>
              </w:rPr>
              <w:t>Normal software class mapping</w:t>
            </w:r>
          </w:p>
        </w:tc>
        <w:tc>
          <w:tcPr>
            <w:tcW w:type="dxa" w:w="5260"/>
            <w:tcMar>
              <w:top w:w="100" w:type="dxa"/>
              <w:start w:w="120" w:type="dxa"/>
              <w:bottom w:w="100" w:type="dxa"/>
              <w:end w:w="120" w:type="dxa"/>
            </w:tcMar>
            <w:vAlign w:val="center"/>
            <w:shd w:fill="123A5A"/>
          </w:tcPr>
          <w:p>
            <w:pPr>
              <w:jc w:val="left"/>
            </w:pPr>
            <w:r>
              <w:rPr>
                <w:rFonts w:ascii="Calibri" w:hAnsi="Calibri"/>
                <w:b/>
                <w:color w:val="FFFFFF"/>
                <w:sz w:val="18"/>
              </w:rPr>
              <w:t>Mandatory interpretation</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Class C - Small / Low Risk</w:t>
            </w:r>
          </w:p>
        </w:tc>
        <w:tc>
          <w:tcPr>
            <w:tcW w:type="dxa" w:w="2200"/>
            <w:tcMar>
              <w:top w:w="100" w:type="dxa"/>
              <w:start w:w="120" w:type="dxa"/>
              <w:bottom w:w="100" w:type="dxa"/>
              <w:end w:w="120" w:type="dxa"/>
            </w:tcMar>
            <w:vAlign w:val="center"/>
          </w:tcPr>
          <w:p>
            <w:pPr>
              <w:spacing w:after="0" w:line="252" w:lineRule="auto"/>
            </w:pPr>
            <w:r>
              <w:rPr>
                <w:rFonts w:ascii="Calibri" w:hAnsi="Calibri"/>
                <w:color w:val="24313A"/>
                <w:sz w:val="17"/>
              </w:rPr>
              <w:t>Software Class 1 or Class 2</w:t>
            </w:r>
          </w:p>
        </w:tc>
        <w:tc>
          <w:tcPr>
            <w:tcW w:type="dxa" w:w="5260"/>
            <w:tcMar>
              <w:top w:w="100" w:type="dxa"/>
              <w:start w:w="120" w:type="dxa"/>
              <w:bottom w:w="100" w:type="dxa"/>
              <w:end w:w="120" w:type="dxa"/>
            </w:tcMar>
            <w:vAlign w:val="center"/>
          </w:tcPr>
          <w:p>
            <w:pPr>
              <w:spacing w:after="0" w:line="252" w:lineRule="auto"/>
            </w:pPr>
            <w:r>
              <w:rPr>
                <w:rFonts w:ascii="Calibri" w:hAnsi="Calibri"/>
                <w:color w:val="24313A"/>
                <w:sz w:val="17"/>
              </w:rPr>
              <w:t>Class 1 is permitted only for time-bound, non-production experimentation with no real personal, client-confidential or payment data. Any operational or production use is at least Class 2.</w:t>
            </w:r>
          </w:p>
        </w:tc>
      </w:tr>
      <w:tr>
        <w:trPr>
          <w:cantSplit/>
        </w:trPr>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7"/>
              </w:rPr>
              <w:t>Class B - Standard / Medium Risk</w:t>
            </w:r>
          </w:p>
        </w:tc>
        <w:tc>
          <w:tcPr>
            <w:tcW w:type="dxa" w:w="2200"/>
            <w:shd w:fill="F4F6F8"/>
            <w:tcMar>
              <w:top w:w="100" w:type="dxa"/>
              <w:start w:w="120" w:type="dxa"/>
              <w:bottom w:w="100" w:type="dxa"/>
              <w:end w:w="120" w:type="dxa"/>
            </w:tcMar>
            <w:vAlign w:val="center"/>
          </w:tcPr>
          <w:p>
            <w:pPr>
              <w:spacing w:after="0" w:line="252" w:lineRule="auto"/>
            </w:pPr>
            <w:r>
              <w:rPr>
                <w:rFonts w:ascii="Calibri" w:hAnsi="Calibri"/>
                <w:color w:val="24313A"/>
                <w:sz w:val="17"/>
              </w:rPr>
              <w:t>Software Class 2 or Class 3</w:t>
            </w:r>
          </w:p>
        </w:tc>
        <w:tc>
          <w:tcPr>
            <w:tcW w:type="dxa" w:w="5260"/>
            <w:shd w:fill="F4F6F8"/>
            <w:tcMar>
              <w:top w:w="100" w:type="dxa"/>
              <w:start w:w="120" w:type="dxa"/>
              <w:bottom w:w="100" w:type="dxa"/>
              <w:end w:w="120" w:type="dxa"/>
            </w:tcMar>
            <w:vAlign w:val="center"/>
          </w:tcPr>
          <w:p>
            <w:pPr>
              <w:spacing w:after="0" w:line="252" w:lineRule="auto"/>
            </w:pPr>
            <w:r>
              <w:rPr>
                <w:rFonts w:ascii="Calibri" w:hAnsi="Calibri"/>
                <w:color w:val="24313A"/>
                <w:sz w:val="17"/>
              </w:rPr>
              <w:t>Use Class 3 where personal/sensitive data, public exposure, finance/identity, material reputation, contractual service levels or significant recovery impact exists.</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7"/>
              </w:rPr>
              <w:t>Class A - Strategic / High Risk</w:t>
            </w:r>
          </w:p>
        </w:tc>
        <w:tc>
          <w:tcPr>
            <w:tcW w:type="dxa" w:w="2200"/>
            <w:tcMar>
              <w:top w:w="100" w:type="dxa"/>
              <w:start w:w="120" w:type="dxa"/>
              <w:bottom w:w="100" w:type="dxa"/>
              <w:end w:w="120" w:type="dxa"/>
            </w:tcMar>
            <w:vAlign w:val="center"/>
          </w:tcPr>
          <w:p>
            <w:pPr>
              <w:spacing w:after="0" w:line="252" w:lineRule="auto"/>
            </w:pPr>
            <w:r>
              <w:rPr>
                <w:rFonts w:ascii="Calibri" w:hAnsi="Calibri"/>
                <w:color w:val="24313A"/>
                <w:sz w:val="17"/>
              </w:rPr>
              <w:t>Software Class 3 or Class 4</w:t>
            </w:r>
          </w:p>
        </w:tc>
        <w:tc>
          <w:tcPr>
            <w:tcW w:type="dxa" w:w="5260"/>
            <w:tcMar>
              <w:top w:w="100" w:type="dxa"/>
              <w:start w:w="120" w:type="dxa"/>
              <w:bottom w:w="100" w:type="dxa"/>
              <w:end w:w="120" w:type="dxa"/>
            </w:tcMar>
            <w:vAlign w:val="center"/>
          </w:tcPr>
          <w:p>
            <w:pPr>
              <w:spacing w:after="0" w:line="252" w:lineRule="auto"/>
            </w:pPr>
            <w:r>
              <w:rPr>
                <w:rFonts w:ascii="Calibri" w:hAnsi="Calibri"/>
                <w:color w:val="24313A"/>
                <w:sz w:val="17"/>
              </w:rPr>
              <w:t>Use Class 4 for safety-significant, critical-infrastructure, large-scale restricted-data or mission-critical services. Executive governance and explicit residual-risk acceptance apply.</w:t>
            </w:r>
          </w:p>
        </w:tc>
      </w:tr>
    </w:tbl>
    <w:p>
      <w:pPr>
        <w:spacing w:after="40"/>
      </w:pPr>
    </w:p>
    <w:p>
      <w:pPr>
        <w:pStyle w:val="Heading2"/>
        <w:keepNext w:val="0"/>
        <w:pageBreakBefore w:val="0"/>
      </w:pPr>
      <w:r>
        <w:t>I.2 Gate Alignment and Evidence Reuse</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1800"/>
        <w:gridCol w:w="2400"/>
        <w:gridCol w:w="5160"/>
      </w:tblGrid>
      <w:tr>
        <w:trPr>
          <w:tblHeader w:val="true"/>
          <w:cantSplit/>
        </w:trPr>
        <w:tc>
          <w:tcPr>
            <w:tcW w:type="dxa" w:w="1800"/>
            <w:tcMar>
              <w:top w:w="100" w:type="dxa"/>
              <w:start w:w="120" w:type="dxa"/>
              <w:bottom w:w="100" w:type="dxa"/>
              <w:end w:w="120" w:type="dxa"/>
            </w:tcMar>
            <w:vAlign w:val="center"/>
            <w:shd w:fill="123A5A"/>
          </w:tcPr>
          <w:p>
            <w:pPr>
              <w:jc w:val="left"/>
            </w:pPr>
            <w:r>
              <w:rPr>
                <w:rFonts w:ascii="Calibri" w:hAnsi="Calibri"/>
                <w:b/>
                <w:color w:val="FFFFFF"/>
                <w:sz w:val="18"/>
              </w:rPr>
              <w:t>Project gate</w:t>
            </w:r>
          </w:p>
        </w:tc>
        <w:tc>
          <w:tcPr>
            <w:tcW w:type="dxa" w:w="2400"/>
            <w:tcMar>
              <w:top w:w="100" w:type="dxa"/>
              <w:start w:w="120" w:type="dxa"/>
              <w:bottom w:w="100" w:type="dxa"/>
              <w:end w:w="120" w:type="dxa"/>
            </w:tcMar>
            <w:vAlign w:val="center"/>
            <w:shd w:fill="123A5A"/>
          </w:tcPr>
          <w:p>
            <w:pPr>
              <w:jc w:val="left"/>
            </w:pPr>
            <w:r>
              <w:rPr>
                <w:rFonts w:ascii="Calibri" w:hAnsi="Calibri"/>
                <w:b/>
                <w:color w:val="FFFFFF"/>
                <w:sz w:val="18"/>
              </w:rPr>
              <w:t>Software checkpoint</w:t>
            </w:r>
          </w:p>
        </w:tc>
        <w:tc>
          <w:tcPr>
            <w:tcW w:type="dxa" w:w="5160"/>
            <w:tcMar>
              <w:top w:w="100" w:type="dxa"/>
              <w:start w:w="120" w:type="dxa"/>
              <w:bottom w:w="100" w:type="dxa"/>
              <w:end w:w="120" w:type="dxa"/>
            </w:tcMar>
            <w:vAlign w:val="center"/>
            <w:shd w:fill="123A5A"/>
          </w:tcPr>
          <w:p>
            <w:pPr>
              <w:jc w:val="left"/>
            </w:pPr>
            <w:r>
              <w:rPr>
                <w:rFonts w:ascii="Calibri" w:hAnsi="Calibri"/>
                <w:b/>
                <w:color w:val="FFFFFF"/>
                <w:sz w:val="18"/>
              </w:rPr>
              <w:t>Consolidation rule</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Gate 1 - Intake</w:t>
            </w:r>
          </w:p>
        </w:tc>
        <w:tc>
          <w:tcPr>
            <w:tcW w:type="dxa" w:w="2400"/>
            <w:tcMar>
              <w:top w:w="100" w:type="dxa"/>
              <w:start w:w="120" w:type="dxa"/>
              <w:bottom w:w="100" w:type="dxa"/>
              <w:end w:w="120" w:type="dxa"/>
            </w:tcMar>
            <w:vAlign w:val="center"/>
          </w:tcPr>
          <w:p>
            <w:pPr>
              <w:spacing w:after="0" w:line="252" w:lineRule="auto"/>
            </w:pPr>
            <w:r>
              <w:rPr>
                <w:rFonts w:ascii="Calibri" w:hAnsi="Calibri"/>
                <w:color w:val="24313A"/>
                <w:sz w:val="17"/>
              </w:rPr>
              <w:t>G0 - Intake</w:t>
            </w:r>
          </w:p>
        </w:tc>
        <w:tc>
          <w:tcPr>
            <w:tcW w:type="dxa" w:w="5160"/>
            <w:tcMar>
              <w:top w:w="100" w:type="dxa"/>
              <w:start w:w="120" w:type="dxa"/>
              <w:bottom w:w="100" w:type="dxa"/>
              <w:end w:w="120" w:type="dxa"/>
            </w:tcMar>
            <w:vAlign w:val="center"/>
          </w:tcPr>
          <w:p>
            <w:pPr>
              <w:spacing w:after="0" w:line="252" w:lineRule="auto"/>
            </w:pPr>
            <w:r>
              <w:rPr>
                <w:rFonts w:ascii="Calibri" w:hAnsi="Calibri"/>
                <w:color w:val="24313A"/>
                <w:sz w:val="17"/>
              </w:rPr>
              <w:t>Use one intake record, sponsor, feasibility screen and initial classification decision.</w:t>
            </w:r>
          </w:p>
        </w:tc>
      </w:tr>
      <w:tr>
        <w:trPr>
          <w:cantSplit/>
        </w:trPr>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Gate 2 - Project Authorisation</w:t>
            </w:r>
          </w:p>
        </w:tc>
        <w:tc>
          <w:tcPr>
            <w:tcW w:type="dxa" w:w="2400"/>
            <w:shd w:fill="F4F6F8"/>
            <w:tcMar>
              <w:top w:w="100" w:type="dxa"/>
              <w:start w:w="120" w:type="dxa"/>
              <w:bottom w:w="100" w:type="dxa"/>
              <w:end w:w="120" w:type="dxa"/>
            </w:tcMar>
            <w:vAlign w:val="center"/>
          </w:tcPr>
          <w:p>
            <w:pPr>
              <w:spacing w:after="0" w:line="252" w:lineRule="auto"/>
            </w:pPr>
            <w:r>
              <w:rPr>
                <w:rFonts w:ascii="Calibri" w:hAnsi="Calibri"/>
                <w:color w:val="24313A"/>
                <w:sz w:val="17"/>
              </w:rPr>
              <w:t>G1 - Requirements Baseline</w:t>
            </w:r>
          </w:p>
        </w:tc>
        <w:tc>
          <w:tcPr>
            <w:tcW w:type="dxa" w:w="5160"/>
            <w:shd w:fill="F4F6F8"/>
            <w:tcMar>
              <w:top w:w="100" w:type="dxa"/>
              <w:start w:w="120" w:type="dxa"/>
              <w:bottom w:w="100" w:type="dxa"/>
              <w:end w:w="120" w:type="dxa"/>
            </w:tcMar>
            <w:vAlign w:val="center"/>
          </w:tcPr>
          <w:p>
            <w:pPr>
              <w:spacing w:after="0" w:line="252" w:lineRule="auto"/>
            </w:pPr>
            <w:r>
              <w:rPr>
                <w:rFonts w:ascii="Calibri" w:hAnsi="Calibri"/>
                <w:color w:val="24313A"/>
                <w:sz w:val="17"/>
              </w:rPr>
              <w:t>Combine when requirements and acceptance criteria are sufficiently mature. If G1 follows later, reuse the charter and add only the requirements evidence; do not repeat the business decision.</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Gate 3 - Delivery Readiness</w:t>
            </w:r>
          </w:p>
        </w:tc>
        <w:tc>
          <w:tcPr>
            <w:tcW w:type="dxa" w:w="2400"/>
            <w:tcMar>
              <w:top w:w="100" w:type="dxa"/>
              <w:start w:w="120" w:type="dxa"/>
              <w:bottom w:w="100" w:type="dxa"/>
              <w:end w:w="120" w:type="dxa"/>
            </w:tcMar>
            <w:vAlign w:val="center"/>
          </w:tcPr>
          <w:p>
            <w:pPr>
              <w:spacing w:after="0" w:line="252" w:lineRule="auto"/>
            </w:pPr>
            <w:r>
              <w:rPr>
                <w:rFonts w:ascii="Calibri" w:hAnsi="Calibri"/>
                <w:color w:val="24313A"/>
                <w:sz w:val="17"/>
              </w:rPr>
              <w:t>G2 - Design Readiness</w:t>
            </w:r>
          </w:p>
        </w:tc>
        <w:tc>
          <w:tcPr>
            <w:tcW w:type="dxa" w:w="5160"/>
            <w:tcMar>
              <w:top w:w="100" w:type="dxa"/>
              <w:start w:w="120" w:type="dxa"/>
              <w:bottom w:w="100" w:type="dxa"/>
              <w:end w:w="120" w:type="dxa"/>
            </w:tcMar>
            <w:vAlign w:val="center"/>
          </w:tcPr>
          <w:p>
            <w:pPr>
              <w:spacing w:after="0" w:line="252" w:lineRule="auto"/>
            </w:pPr>
            <w:r>
              <w:rPr>
                <w:rFonts w:ascii="Calibri" w:hAnsi="Calibri"/>
                <w:color w:val="24313A"/>
                <w:sz w:val="17"/>
              </w:rPr>
              <w:t>Use one integrated readiness pack covering project baseline, architecture, security/privacy, test, deployment, assurance and operational plans.</w:t>
            </w:r>
          </w:p>
        </w:tc>
      </w:tr>
      <w:tr>
        <w:trPr>
          <w:cantSplit/>
        </w:trPr>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Gate 4 - Release Readiness</w:t>
            </w:r>
          </w:p>
        </w:tc>
        <w:tc>
          <w:tcPr>
            <w:tcW w:type="dxa" w:w="2400"/>
            <w:shd w:fill="F4F6F8"/>
            <w:tcMar>
              <w:top w:w="100" w:type="dxa"/>
              <w:start w:w="120" w:type="dxa"/>
              <w:bottom w:w="100" w:type="dxa"/>
              <w:end w:w="120" w:type="dxa"/>
            </w:tcMar>
            <w:vAlign w:val="center"/>
          </w:tcPr>
          <w:p>
            <w:pPr>
              <w:spacing w:after="0" w:line="252" w:lineRule="auto"/>
            </w:pPr>
            <w:r>
              <w:rPr>
                <w:rFonts w:ascii="Calibri" w:hAnsi="Calibri"/>
                <w:color w:val="24313A"/>
                <w:sz w:val="17"/>
              </w:rPr>
              <w:t>G3 prerequisite and G4 - Release Readiness</w:t>
            </w:r>
          </w:p>
        </w:tc>
        <w:tc>
          <w:tcPr>
            <w:tcW w:type="dxa" w:w="5160"/>
            <w:shd w:fill="F4F6F8"/>
            <w:tcMar>
              <w:top w:w="100" w:type="dxa"/>
              <w:start w:w="120" w:type="dxa"/>
              <w:bottom w:w="100" w:type="dxa"/>
              <w:end w:w="120" w:type="dxa"/>
            </w:tcMar>
            <w:vAlign w:val="center"/>
          </w:tcPr>
          <w:p>
            <w:pPr>
              <w:spacing w:after="0" w:line="252" w:lineRule="auto"/>
            </w:pPr>
            <w:r>
              <w:rPr>
                <w:rFonts w:ascii="Calibri" w:hAnsi="Calibri"/>
                <w:color w:val="24313A"/>
                <w:sz w:val="17"/>
              </w:rPr>
              <w:t>G3 code-complete evidence is an engineering prerequisite. One G4/Gate 4 approval pack authorises release under the stricter approver set.</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Gate 5 - Continuation / Exception</w:t>
            </w:r>
          </w:p>
        </w:tc>
        <w:tc>
          <w:tcPr>
            <w:tcW w:type="dxa" w:w="2400"/>
            <w:tcMar>
              <w:top w:w="100" w:type="dxa"/>
              <w:start w:w="120" w:type="dxa"/>
              <w:bottom w:w="100" w:type="dxa"/>
              <w:end w:w="120" w:type="dxa"/>
            </w:tcMar>
            <w:vAlign w:val="center"/>
          </w:tcPr>
          <w:p>
            <w:pPr>
              <w:spacing w:after="0" w:line="252" w:lineRule="auto"/>
            </w:pPr>
            <w:r>
              <w:rPr>
                <w:rFonts w:ascii="Calibri" w:hAnsi="Calibri"/>
                <w:color w:val="24313A"/>
                <w:sz w:val="17"/>
              </w:rPr>
              <w:t>G3 or G5 evidence where relevant</w:t>
            </w:r>
          </w:p>
        </w:tc>
        <w:tc>
          <w:tcPr>
            <w:tcW w:type="dxa" w:w="5160"/>
            <w:tcMar>
              <w:top w:w="100" w:type="dxa"/>
              <w:start w:w="120" w:type="dxa"/>
              <w:bottom w:w="100" w:type="dxa"/>
              <w:end w:w="120" w:type="dxa"/>
            </w:tcMar>
            <w:vAlign w:val="center"/>
          </w:tcPr>
          <w:p>
            <w:pPr>
              <w:spacing w:after="0" w:line="252" w:lineRule="auto"/>
            </w:pPr>
            <w:r>
              <w:rPr>
                <w:rFonts w:ascii="Calibri" w:hAnsi="Calibri"/>
                <w:color w:val="24313A"/>
                <w:sz w:val="17"/>
              </w:rPr>
              <w:t>Gate 5 is recurring or triggered project governance. Engineering or early-life evidence may support it; no duplicate gate is required solely because numbering differs.</w:t>
            </w:r>
          </w:p>
        </w:tc>
      </w:tr>
      <w:tr>
        <w:trPr>
          <w:cantSplit/>
        </w:trPr>
        <w:tc>
          <w:tcPr>
            <w:tcW w:type="dxa" w:w="1800"/>
            <w:shd w:fill="F4F6F8"/>
            <w:tcMar>
              <w:top w:w="100" w:type="dxa"/>
              <w:start w:w="120" w:type="dxa"/>
              <w:bottom w:w="100" w:type="dxa"/>
              <w:end w:w="120" w:type="dxa"/>
            </w:tcMar>
            <w:vAlign w:val="center"/>
          </w:tcPr>
          <w:p>
            <w:pPr>
              <w:spacing w:after="0" w:line="252" w:lineRule="auto"/>
            </w:pPr>
            <w:r>
              <w:rPr>
                <w:rFonts w:ascii="Calibri" w:hAnsi="Calibri"/>
                <w:color w:val="24313A"/>
                <w:sz w:val="17"/>
              </w:rPr>
              <w:t>Gate 6 - Closure</w:t>
            </w:r>
          </w:p>
        </w:tc>
        <w:tc>
          <w:tcPr>
            <w:tcW w:type="dxa" w:w="2400"/>
            <w:shd w:fill="F4F6F8"/>
            <w:tcMar>
              <w:top w:w="100" w:type="dxa"/>
              <w:start w:w="120" w:type="dxa"/>
              <w:bottom w:w="100" w:type="dxa"/>
              <w:end w:w="120" w:type="dxa"/>
            </w:tcMar>
            <w:vAlign w:val="center"/>
          </w:tcPr>
          <w:p>
            <w:pPr>
              <w:spacing w:after="0" w:line="252" w:lineRule="auto"/>
            </w:pPr>
            <w:r>
              <w:rPr>
                <w:rFonts w:ascii="Calibri" w:hAnsi="Calibri"/>
                <w:color w:val="24313A"/>
                <w:sz w:val="17"/>
              </w:rPr>
              <w:t>G5 - Operational Acceptance and G6 - Retirement/Closure</w:t>
            </w:r>
          </w:p>
        </w:tc>
        <w:tc>
          <w:tcPr>
            <w:tcW w:type="dxa" w:w="5160"/>
            <w:shd w:fill="F4F6F8"/>
            <w:tcMar>
              <w:top w:w="100" w:type="dxa"/>
              <w:start w:w="120" w:type="dxa"/>
              <w:bottom w:w="100" w:type="dxa"/>
              <w:end w:w="120" w:type="dxa"/>
            </w:tcMar>
            <w:vAlign w:val="center"/>
          </w:tcPr>
          <w:p>
            <w:pPr>
              <w:spacing w:after="0" w:line="252" w:lineRule="auto"/>
            </w:pPr>
            <w:r>
              <w:rPr>
                <w:rFonts w:ascii="Calibri" w:hAnsi="Calibri"/>
                <w:color w:val="24313A"/>
                <w:sz w:val="17"/>
              </w:rPr>
              <w:t>Use G5 evidence for handover. Use G6 when the project closes or a service is retired. One closure record may satisfy both where scope matches.</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color w:val="24313A"/>
                <w:sz w:val="17"/>
              </w:rPr>
              <w:t>Gate 7 - Benefits</w:t>
            </w:r>
          </w:p>
        </w:tc>
        <w:tc>
          <w:tcPr>
            <w:tcW w:type="dxa" w:w="2400"/>
            <w:tcMar>
              <w:top w:w="100" w:type="dxa"/>
              <w:start w:w="120" w:type="dxa"/>
              <w:bottom w:w="100" w:type="dxa"/>
              <w:end w:w="120" w:type="dxa"/>
            </w:tcMar>
            <w:vAlign w:val="center"/>
          </w:tcPr>
          <w:p>
            <w:pPr>
              <w:spacing w:after="0" w:line="252" w:lineRule="auto"/>
            </w:pPr>
            <w:r>
              <w:rPr>
                <w:rFonts w:ascii="Calibri" w:hAnsi="Calibri"/>
                <w:color w:val="24313A"/>
                <w:sz w:val="17"/>
              </w:rPr>
              <w:t>Post-implementation review evidence; no separate software gate</w:t>
            </w:r>
          </w:p>
        </w:tc>
        <w:tc>
          <w:tcPr>
            <w:tcW w:type="dxa" w:w="5160"/>
            <w:tcMar>
              <w:top w:w="100" w:type="dxa"/>
              <w:start w:w="120" w:type="dxa"/>
              <w:bottom w:w="100" w:type="dxa"/>
              <w:end w:w="120" w:type="dxa"/>
            </w:tcMar>
            <w:vAlign w:val="center"/>
          </w:tcPr>
          <w:p>
            <w:pPr>
              <w:spacing w:after="0" w:line="252" w:lineRule="auto"/>
            </w:pPr>
            <w:r>
              <w:rPr>
                <w:rFonts w:ascii="Calibri" w:hAnsi="Calibri"/>
                <w:color w:val="24313A"/>
                <w:sz w:val="17"/>
              </w:rPr>
              <w:t>Use service measures and the software review as evidence for the single Gate 7 benefits decision.</w:t>
            </w:r>
          </w:p>
        </w:tc>
      </w:tr>
    </w:tbl>
    <w:p>
      <w:pPr>
        <w:spacing w:after="40"/>
      </w:pPr>
    </w:p>
    <w:p>
      <w:pPr>
        <w:pStyle w:val="Heading2"/>
        <w:keepNext w:val="0"/>
        <w:pageBreakBefore w:val="0"/>
      </w:pPr>
      <w:r>
        <w:t>I.3 Role Equivalence</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500"/>
        <w:gridCol w:w="2800"/>
        <w:gridCol w:w="4060"/>
      </w:tblGrid>
      <w:tr>
        <w:trPr>
          <w:tblHeader w:val="true"/>
          <w:cantSplit/>
        </w:trPr>
        <w:tc>
          <w:tcPr>
            <w:tcW w:type="dxa" w:w="2500"/>
            <w:tcMar>
              <w:top w:w="100" w:type="dxa"/>
              <w:start w:w="120" w:type="dxa"/>
              <w:bottom w:w="100" w:type="dxa"/>
              <w:end w:w="120" w:type="dxa"/>
            </w:tcMar>
            <w:vAlign w:val="center"/>
            <w:shd w:fill="123A5A"/>
          </w:tcPr>
          <w:p>
            <w:pPr>
              <w:jc w:val="left"/>
            </w:pPr>
            <w:r>
              <w:rPr>
                <w:rFonts w:ascii="Calibri" w:hAnsi="Calibri"/>
                <w:b/>
                <w:color w:val="FFFFFF"/>
                <w:sz w:val="18"/>
              </w:rPr>
              <w:t>Project framework role</w:t>
            </w:r>
          </w:p>
        </w:tc>
        <w:tc>
          <w:tcPr>
            <w:tcW w:type="dxa" w:w="2800"/>
            <w:tcMar>
              <w:top w:w="100" w:type="dxa"/>
              <w:start w:w="120" w:type="dxa"/>
              <w:bottom w:w="100" w:type="dxa"/>
              <w:end w:w="120" w:type="dxa"/>
            </w:tcMar>
            <w:vAlign w:val="center"/>
            <w:shd w:fill="123A5A"/>
          </w:tcPr>
          <w:p>
            <w:pPr>
              <w:jc w:val="left"/>
            </w:pPr>
            <w:r>
              <w:rPr>
                <w:rFonts w:ascii="Calibri" w:hAnsi="Calibri"/>
                <w:b/>
                <w:color w:val="FFFFFF"/>
                <w:sz w:val="18"/>
              </w:rPr>
              <w:t>Software framework equivalent</w:t>
            </w:r>
          </w:p>
        </w:tc>
        <w:tc>
          <w:tcPr>
            <w:tcW w:type="dxa" w:w="4060"/>
            <w:tcMar>
              <w:top w:w="100" w:type="dxa"/>
              <w:start w:w="120" w:type="dxa"/>
              <w:bottom w:w="100" w:type="dxa"/>
              <w:end w:w="120" w:type="dxa"/>
            </w:tcMar>
            <w:vAlign w:val="center"/>
            <w:shd w:fill="123A5A"/>
          </w:tcPr>
          <w:p>
            <w:pPr>
              <w:jc w:val="left"/>
            </w:pPr>
            <w:r>
              <w:rPr>
                <w:rFonts w:ascii="Calibri" w:hAnsi="Calibri"/>
                <w:b/>
                <w:color w:val="FFFFFF"/>
                <w:sz w:val="18"/>
              </w:rPr>
              <w:t>Rule</w:t>
            </w:r>
          </w:p>
        </w:tc>
      </w:tr>
      <w:tr>
        <w:trPr>
          <w:cantSplit/>
        </w:trPr>
        <w:tc>
          <w:tcPr>
            <w:tcW w:type="dxa" w:w="2500"/>
            <w:tcMar>
              <w:top w:w="100" w:type="dxa"/>
              <w:start w:w="120" w:type="dxa"/>
              <w:bottom w:w="100" w:type="dxa"/>
              <w:end w:w="120" w:type="dxa"/>
            </w:tcMar>
            <w:vAlign w:val="center"/>
          </w:tcPr>
          <w:p>
            <w:pPr>
              <w:spacing w:after="0" w:line="252" w:lineRule="auto"/>
            </w:pPr>
            <w:r>
              <w:rPr>
                <w:rFonts w:ascii="Calibri" w:hAnsi="Calibri"/>
                <w:color w:val="24313A"/>
                <w:sz w:val="17"/>
              </w:rPr>
              <w:t>Project Sponsor</w:t>
            </w:r>
          </w:p>
        </w:tc>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7"/>
              </w:rPr>
              <w:t>Sponsor</w:t>
            </w:r>
          </w:p>
        </w:tc>
        <w:tc>
          <w:tcPr>
            <w:tcW w:type="dxa" w:w="4060"/>
            <w:tcMar>
              <w:top w:w="100" w:type="dxa"/>
              <w:start w:w="120" w:type="dxa"/>
              <w:bottom w:w="100" w:type="dxa"/>
              <w:end w:w="120" w:type="dxa"/>
            </w:tcMar>
            <w:vAlign w:val="center"/>
          </w:tcPr>
          <w:p>
            <w:pPr>
              <w:spacing w:after="0" w:line="252" w:lineRule="auto"/>
            </w:pPr>
            <w:r>
              <w:rPr>
                <w:rFonts w:ascii="Calibri" w:hAnsi="Calibri"/>
                <w:color w:val="24313A"/>
                <w:sz w:val="17"/>
              </w:rPr>
              <w:t>Same accountable business owner.</w:t>
            </w:r>
          </w:p>
        </w:tc>
      </w:tr>
      <w:tr>
        <w:trPr>
          <w:cantSplit/>
        </w:trPr>
        <w:tc>
          <w:tcPr>
            <w:tcW w:type="dxa" w:w="250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Manager</w:t>
            </w:r>
          </w:p>
        </w:tc>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7"/>
              </w:rPr>
              <w:t>Delivery Lead / Project Manager</w:t>
            </w:r>
          </w:p>
        </w:tc>
        <w:tc>
          <w:tcPr>
            <w:tcW w:type="dxa" w:w="4060"/>
            <w:shd w:fill="F4F6F8"/>
            <w:tcMar>
              <w:top w:w="100" w:type="dxa"/>
              <w:start w:w="120" w:type="dxa"/>
              <w:bottom w:w="100" w:type="dxa"/>
              <w:end w:w="120" w:type="dxa"/>
            </w:tcMar>
            <w:vAlign w:val="center"/>
          </w:tcPr>
          <w:p>
            <w:pPr>
              <w:spacing w:after="0" w:line="252" w:lineRule="auto"/>
            </w:pPr>
            <w:r>
              <w:rPr>
                <w:rFonts w:ascii="Calibri" w:hAnsi="Calibri"/>
                <w:color w:val="24313A"/>
                <w:sz w:val="17"/>
              </w:rPr>
              <w:t>Coordinates the integrated project and software evidence.</w:t>
            </w:r>
          </w:p>
        </w:tc>
      </w:tr>
      <w:tr>
        <w:trPr>
          <w:cantSplit/>
        </w:trPr>
        <w:tc>
          <w:tcPr>
            <w:tcW w:type="dxa" w:w="2500"/>
            <w:tcMar>
              <w:top w:w="100" w:type="dxa"/>
              <w:start w:w="120" w:type="dxa"/>
              <w:bottom w:w="100" w:type="dxa"/>
              <w:end w:w="120" w:type="dxa"/>
            </w:tcMar>
            <w:vAlign w:val="center"/>
          </w:tcPr>
          <w:p>
            <w:pPr>
              <w:spacing w:after="0" w:line="252" w:lineRule="auto"/>
            </w:pPr>
            <w:r>
              <w:rPr>
                <w:rFonts w:ascii="Calibri" w:hAnsi="Calibri"/>
                <w:color w:val="24313A"/>
                <w:sz w:val="17"/>
              </w:rPr>
              <w:t>Product / Business Owner</w:t>
            </w:r>
          </w:p>
        </w:tc>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7"/>
              </w:rPr>
              <w:t>Product Owner</w:t>
            </w:r>
          </w:p>
        </w:tc>
        <w:tc>
          <w:tcPr>
            <w:tcW w:type="dxa" w:w="4060"/>
            <w:tcMar>
              <w:top w:w="100" w:type="dxa"/>
              <w:start w:w="120" w:type="dxa"/>
              <w:bottom w:w="100" w:type="dxa"/>
              <w:end w:w="120" w:type="dxa"/>
            </w:tcMar>
            <w:vAlign w:val="center"/>
          </w:tcPr>
          <w:p>
            <w:pPr>
              <w:spacing w:after="0" w:line="252" w:lineRule="auto"/>
            </w:pPr>
            <w:r>
              <w:rPr>
                <w:rFonts w:ascii="Calibri" w:hAnsi="Calibri"/>
                <w:color w:val="24313A"/>
                <w:sz w:val="17"/>
              </w:rPr>
              <w:t>Owns user needs, backlog/requirements and functional acceptance.</w:t>
            </w:r>
          </w:p>
        </w:tc>
      </w:tr>
      <w:tr>
        <w:trPr>
          <w:cantSplit/>
        </w:trPr>
        <w:tc>
          <w:tcPr>
            <w:tcW w:type="dxa" w:w="2500"/>
            <w:shd w:fill="F4F6F8"/>
            <w:tcMar>
              <w:top w:w="100" w:type="dxa"/>
              <w:start w:w="120" w:type="dxa"/>
              <w:bottom w:w="100" w:type="dxa"/>
              <w:end w:w="120" w:type="dxa"/>
            </w:tcMar>
            <w:vAlign w:val="center"/>
          </w:tcPr>
          <w:p>
            <w:pPr>
              <w:spacing w:after="0" w:line="252" w:lineRule="auto"/>
            </w:pPr>
            <w:r>
              <w:rPr>
                <w:rFonts w:ascii="Calibri" w:hAnsi="Calibri"/>
                <w:color w:val="24313A"/>
                <w:sz w:val="17"/>
              </w:rPr>
              <w:t>Technical Lead</w:t>
            </w:r>
          </w:p>
        </w:tc>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7"/>
              </w:rPr>
              <w:t>Solution Architect / Technical Lead</w:t>
            </w:r>
          </w:p>
        </w:tc>
        <w:tc>
          <w:tcPr>
            <w:tcW w:type="dxa" w:w="4060"/>
            <w:shd w:fill="F4F6F8"/>
            <w:tcMar>
              <w:top w:w="100" w:type="dxa"/>
              <w:start w:w="120" w:type="dxa"/>
              <w:bottom w:w="100" w:type="dxa"/>
              <w:end w:w="120" w:type="dxa"/>
            </w:tcMar>
            <w:vAlign w:val="center"/>
          </w:tcPr>
          <w:p>
            <w:pPr>
              <w:spacing w:after="0" w:line="252" w:lineRule="auto"/>
            </w:pPr>
            <w:r>
              <w:rPr>
                <w:rFonts w:ascii="Calibri" w:hAnsi="Calibri"/>
                <w:color w:val="24313A"/>
                <w:sz w:val="17"/>
              </w:rPr>
              <w:t>Owns architecture, engineering approach and technical risk.</w:t>
            </w:r>
          </w:p>
        </w:tc>
      </w:tr>
      <w:tr>
        <w:trPr>
          <w:cantSplit/>
        </w:trPr>
        <w:tc>
          <w:tcPr>
            <w:tcW w:type="dxa" w:w="2500"/>
            <w:tcMar>
              <w:top w:w="100" w:type="dxa"/>
              <w:start w:w="120" w:type="dxa"/>
              <w:bottom w:w="100" w:type="dxa"/>
              <w:end w:w="120" w:type="dxa"/>
            </w:tcMar>
            <w:vAlign w:val="center"/>
          </w:tcPr>
          <w:p>
            <w:pPr>
              <w:spacing w:after="0" w:line="252" w:lineRule="auto"/>
            </w:pPr>
            <w:r>
              <w:rPr>
                <w:rFonts w:ascii="Calibri" w:hAnsi="Calibri"/>
                <w:color w:val="24313A"/>
                <w:sz w:val="17"/>
              </w:rPr>
              <w:t>Quality / Assurance Reviewer</w:t>
            </w:r>
          </w:p>
        </w:tc>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7"/>
              </w:rPr>
              <w:t>QA / Test Engineer or independent assurance</w:t>
            </w:r>
          </w:p>
        </w:tc>
        <w:tc>
          <w:tcPr>
            <w:tcW w:type="dxa" w:w="4060"/>
            <w:tcMar>
              <w:top w:w="100" w:type="dxa"/>
              <w:start w:w="120" w:type="dxa"/>
              <w:bottom w:w="100" w:type="dxa"/>
              <w:end w:w="120" w:type="dxa"/>
            </w:tcMar>
            <w:vAlign w:val="center"/>
          </w:tcPr>
          <w:p>
            <w:pPr>
              <w:spacing w:after="0" w:line="252" w:lineRule="auto"/>
            </w:pPr>
            <w:r>
              <w:rPr>
                <w:rFonts w:ascii="Calibri" w:hAnsi="Calibri"/>
                <w:color w:val="24313A"/>
                <w:sz w:val="17"/>
              </w:rPr>
              <w:t>Depth and independence follow the higher class.</w:t>
            </w:r>
          </w:p>
        </w:tc>
      </w:tr>
      <w:tr>
        <w:trPr>
          <w:cantSplit/>
        </w:trPr>
        <w:tc>
          <w:tcPr>
            <w:tcW w:type="dxa" w:w="2500"/>
            <w:shd w:fill="F4F6F8"/>
            <w:tcMar>
              <w:top w:w="100" w:type="dxa"/>
              <w:start w:w="120" w:type="dxa"/>
              <w:bottom w:w="100" w:type="dxa"/>
              <w:end w:w="120" w:type="dxa"/>
            </w:tcMar>
            <w:vAlign w:val="center"/>
          </w:tcPr>
          <w:p>
            <w:pPr>
              <w:spacing w:after="0" w:line="252" w:lineRule="auto"/>
            </w:pPr>
            <w:r>
              <w:rPr>
                <w:rFonts w:ascii="Calibri" w:hAnsi="Calibri"/>
                <w:color w:val="24313A"/>
                <w:sz w:val="17"/>
              </w:rPr>
              <w:t>Security / Privacy Reviewer</w:t>
            </w:r>
          </w:p>
        </w:tc>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7"/>
              </w:rPr>
              <w:t>Security and Privacy Reviewer</w:t>
            </w:r>
          </w:p>
        </w:tc>
        <w:tc>
          <w:tcPr>
            <w:tcW w:type="dxa" w:w="4060"/>
            <w:shd w:fill="F4F6F8"/>
            <w:tcMar>
              <w:top w:w="100" w:type="dxa"/>
              <w:start w:w="120" w:type="dxa"/>
              <w:bottom w:w="100" w:type="dxa"/>
              <w:end w:w="120" w:type="dxa"/>
            </w:tcMar>
            <w:vAlign w:val="center"/>
          </w:tcPr>
          <w:p>
            <w:pPr>
              <w:spacing w:after="0" w:line="252" w:lineRule="auto"/>
            </w:pPr>
            <w:r>
              <w:rPr>
                <w:rFonts w:ascii="Calibri" w:hAnsi="Calibri"/>
                <w:color w:val="24313A"/>
                <w:sz w:val="17"/>
              </w:rPr>
              <w:t>Remains a distinct control role for higher-risk work.</w:t>
            </w:r>
          </w:p>
        </w:tc>
      </w:tr>
      <w:tr>
        <w:trPr>
          <w:cantSplit/>
        </w:trPr>
        <w:tc>
          <w:tcPr>
            <w:tcW w:type="dxa" w:w="2500"/>
            <w:tcMar>
              <w:top w:w="100" w:type="dxa"/>
              <w:start w:w="120" w:type="dxa"/>
              <w:bottom w:w="100" w:type="dxa"/>
              <w:end w:w="120" w:type="dxa"/>
            </w:tcMar>
            <w:vAlign w:val="center"/>
          </w:tcPr>
          <w:p>
            <w:pPr>
              <w:spacing w:after="0" w:line="252" w:lineRule="auto"/>
            </w:pPr>
            <w:r>
              <w:rPr>
                <w:rFonts w:ascii="Calibri" w:hAnsi="Calibri"/>
                <w:color w:val="24313A"/>
                <w:sz w:val="17"/>
              </w:rPr>
              <w:t>Service / Operations Owner</w:t>
            </w:r>
          </w:p>
        </w:tc>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7"/>
              </w:rPr>
              <w:t>Service Owner</w:t>
            </w:r>
          </w:p>
        </w:tc>
        <w:tc>
          <w:tcPr>
            <w:tcW w:type="dxa" w:w="4060"/>
            <w:tcMar>
              <w:top w:w="100" w:type="dxa"/>
              <w:start w:w="120" w:type="dxa"/>
              <w:bottom w:w="100" w:type="dxa"/>
              <w:end w:w="120" w:type="dxa"/>
            </w:tcMar>
            <w:vAlign w:val="center"/>
          </w:tcPr>
          <w:p>
            <w:pPr>
              <w:spacing w:after="0" w:line="252" w:lineRule="auto"/>
            </w:pPr>
            <w:r>
              <w:rPr>
                <w:rFonts w:ascii="Calibri" w:hAnsi="Calibri"/>
                <w:color w:val="24313A"/>
                <w:sz w:val="17"/>
              </w:rPr>
              <w:t>Owns operational acceptance, support, continuity and benefits evidence.</w:t>
            </w:r>
          </w:p>
        </w:tc>
      </w:tr>
      <w:tr>
        <w:trPr>
          <w:cantSplit/>
        </w:trPr>
        <w:tc>
          <w:tcPr>
            <w:tcW w:type="dxa" w:w="2500"/>
            <w:shd w:fill="F4F6F8"/>
            <w:tcMar>
              <w:top w:w="100" w:type="dxa"/>
              <w:start w:w="120" w:type="dxa"/>
              <w:bottom w:w="100" w:type="dxa"/>
              <w:end w:w="120" w:type="dxa"/>
            </w:tcMar>
            <w:vAlign w:val="center"/>
          </w:tcPr>
          <w:p>
            <w:pPr>
              <w:spacing w:after="0" w:line="252" w:lineRule="auto"/>
            </w:pPr>
            <w:r>
              <w:rPr>
                <w:rFonts w:ascii="Calibri" w:hAnsi="Calibri"/>
                <w:color w:val="24313A"/>
                <w:sz w:val="17"/>
              </w:rPr>
              <w:t>Executive / Project Authority</w:t>
            </w:r>
          </w:p>
        </w:tc>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7"/>
              </w:rPr>
              <w:t>Management / Release Authority (as defined in the software framework role table)</w:t>
            </w:r>
          </w:p>
        </w:tc>
        <w:tc>
          <w:tcPr>
            <w:tcW w:type="dxa" w:w="4060"/>
            <w:shd w:fill="F4F6F8"/>
            <w:tcMar>
              <w:top w:w="100" w:type="dxa"/>
              <w:start w:w="120" w:type="dxa"/>
              <w:bottom w:w="100" w:type="dxa"/>
              <w:end w:w="120" w:type="dxa"/>
            </w:tcMar>
            <w:vAlign w:val="center"/>
          </w:tcPr>
          <w:p>
            <w:pPr>
              <w:spacing w:after="0" w:line="252" w:lineRule="auto"/>
            </w:pPr>
            <w:r>
              <w:rPr>
                <w:rFonts w:ascii="Calibri" w:hAnsi="Calibri"/>
                <w:color w:val="24313A"/>
                <w:sz w:val="17"/>
              </w:rPr>
              <w:t>The stricter decision and quorum requirement applies.</w:t>
            </w:r>
          </w:p>
        </w:tc>
      </w:tr>
    </w:tbl>
    <w:p>
      <w:pPr>
        <w:spacing w:after="40"/>
      </w:pPr>
    </w:p>
    <w:p>
      <w:pPr>
        <w:spacing w:after="120" w:line="300" w:lineRule="auto"/>
      </w:pPr>
      <w:r>
        <w:rPr>
          <w:i w:val="0"/>
        </w:rPr>
        <w:t>Both frameworks use 31 October 2026 as their effective date. The approved electronic copies are authoritative. If either framework is revised, the Framework Owner must review this reconciliation within ten business days and issue a controlled update where the mapping changes.</w:t>
      </w:r>
    </w:p>
    <w:p>
      <w:pPr>
        <w:pStyle w:val="Heading1"/>
        <w:keepNext/>
        <w:pageBreakBefore/>
      </w:pPr>
      <w:r>
        <w:t>Appendix J - Minimum Records Retention Schedule</w:t>
      </w:r>
    </w:p>
    <w:p>
      <w:pPr>
        <w:spacing w:after="120" w:line="300" w:lineRule="auto"/>
      </w:pPr>
      <w:r>
        <w:rPr>
          <w:i w:val="0"/>
        </w:rPr>
        <w:t>The periods below begin at Gate 6 unless another event is stated. A longer legal, contractual, client, funder, tax, audit, dispute or incident requirement overrides the minimum. Retention must remain necessary, access-controlled and compatible with the Data Protection Act, 2012 (Act 843).</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3300"/>
        <w:gridCol w:w="2300"/>
        <w:gridCol w:w="3760"/>
      </w:tblGrid>
      <w:tr>
        <w:trPr>
          <w:tblHeader w:val="true"/>
          <w:cantSplit/>
        </w:trPr>
        <w:tc>
          <w:tcPr>
            <w:tcW w:type="dxa" w:w="3300"/>
            <w:tcMar>
              <w:top w:w="100" w:type="dxa"/>
              <w:start w:w="120" w:type="dxa"/>
              <w:bottom w:w="100" w:type="dxa"/>
              <w:end w:w="120" w:type="dxa"/>
            </w:tcMar>
            <w:vAlign w:val="center"/>
            <w:shd w:fill="123A5A"/>
          </w:tcPr>
          <w:p>
            <w:pPr>
              <w:jc w:val="left"/>
            </w:pPr>
            <w:r>
              <w:rPr>
                <w:rFonts w:ascii="Calibri" w:hAnsi="Calibri"/>
                <w:b/>
                <w:color w:val="FFFFFF"/>
                <w:sz w:val="18"/>
              </w:rPr>
              <w:t>Record category</w:t>
            </w:r>
          </w:p>
        </w:tc>
        <w:tc>
          <w:tcPr>
            <w:tcW w:type="dxa" w:w="2300"/>
            <w:tcMar>
              <w:top w:w="100" w:type="dxa"/>
              <w:start w:w="120" w:type="dxa"/>
              <w:bottom w:w="100" w:type="dxa"/>
              <w:end w:w="120" w:type="dxa"/>
            </w:tcMar>
            <w:vAlign w:val="center"/>
            <w:shd w:fill="123A5A"/>
          </w:tcPr>
          <w:p>
            <w:pPr>
              <w:jc w:val="left"/>
            </w:pPr>
            <w:r>
              <w:rPr>
                <w:rFonts w:ascii="Calibri" w:hAnsi="Calibri"/>
                <w:b/>
                <w:color w:val="FFFFFF"/>
                <w:sz w:val="18"/>
              </w:rPr>
              <w:t>Minimum retention</w:t>
            </w:r>
          </w:p>
        </w:tc>
        <w:tc>
          <w:tcPr>
            <w:tcW w:type="dxa" w:w="3760"/>
            <w:tcMar>
              <w:top w:w="100" w:type="dxa"/>
              <w:start w:w="120" w:type="dxa"/>
              <w:bottom w:w="100" w:type="dxa"/>
              <w:end w:w="120" w:type="dxa"/>
            </w:tcMar>
            <w:vAlign w:val="center"/>
            <w:shd w:fill="123A5A"/>
          </w:tcPr>
          <w:p>
            <w:pPr>
              <w:jc w:val="left"/>
            </w:pPr>
            <w:r>
              <w:rPr>
                <w:rFonts w:ascii="Calibri" w:hAnsi="Calibri"/>
                <w:b/>
                <w:color w:val="FFFFFF"/>
                <w:sz w:val="18"/>
              </w:rPr>
              <w:t>Owner / disposal rule</w:t>
            </w:r>
          </w:p>
        </w:tc>
      </w:tr>
      <w:tr>
        <w:trPr>
          <w:cantSplit/>
        </w:trPr>
        <w:tc>
          <w:tcPr>
            <w:tcW w:type="dxa" w:w="3300"/>
            <w:tcMar>
              <w:top w:w="100" w:type="dxa"/>
              <w:start w:w="120" w:type="dxa"/>
              <w:bottom w:w="100" w:type="dxa"/>
              <w:end w:w="120" w:type="dxa"/>
            </w:tcMar>
            <w:vAlign w:val="center"/>
          </w:tcPr>
          <w:p>
            <w:pPr>
              <w:spacing w:after="0" w:line="252" w:lineRule="auto"/>
            </w:pPr>
            <w:r>
              <w:rPr>
                <w:rFonts w:ascii="Calibri" w:hAnsi="Calibri"/>
                <w:color w:val="24313A"/>
                <w:sz w:val="17"/>
              </w:rPr>
              <w:t>Charter, business case, classifications, gate decisions, exceptions and closure report</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7 years after Gate 6</w:t>
            </w:r>
          </w:p>
        </w:tc>
        <w:tc>
          <w:tcPr>
            <w:tcW w:type="dxa" w:w="3760"/>
            <w:tcMar>
              <w:top w:w="100" w:type="dxa"/>
              <w:start w:w="120" w:type="dxa"/>
              <w:bottom w:w="100" w:type="dxa"/>
              <w:end w:w="120" w:type="dxa"/>
            </w:tcMar>
            <w:vAlign w:val="center"/>
          </w:tcPr>
          <w:p>
            <w:pPr>
              <w:spacing w:after="0" w:line="252" w:lineRule="auto"/>
            </w:pPr>
            <w:r>
              <w:rPr>
                <w:rFonts w:ascii="Calibri" w:hAnsi="Calibri"/>
                <w:color w:val="24313A"/>
                <w:sz w:val="17"/>
              </w:rPr>
              <w:t>Framework Owner / records custodian; preserve decision traceability.</w:t>
            </w:r>
          </w:p>
        </w:tc>
      </w:tr>
      <w:tr>
        <w:trPr>
          <w:cantSplit/>
        </w:trPr>
        <w:tc>
          <w:tcPr>
            <w:tcW w:type="dxa" w:w="3300"/>
            <w:shd w:fill="F4F6F8"/>
            <w:tcMar>
              <w:top w:w="100" w:type="dxa"/>
              <w:start w:w="120" w:type="dxa"/>
              <w:bottom w:w="100" w:type="dxa"/>
              <w:end w:w="120" w:type="dxa"/>
            </w:tcMar>
            <w:vAlign w:val="center"/>
          </w:tcPr>
          <w:p>
            <w:pPr>
              <w:spacing w:after="0" w:line="252" w:lineRule="auto"/>
            </w:pPr>
            <w:r>
              <w:rPr>
                <w:rFonts w:ascii="Calibri" w:hAnsi="Calibri"/>
                <w:color w:val="24313A"/>
                <w:sz w:val="17"/>
              </w:rPr>
              <w:t>Contracts, procurement, approvals, invoices, payment and financial reconciliation</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7 years after financial or contract closure</w:t>
            </w:r>
          </w:p>
        </w:tc>
        <w:tc>
          <w:tcPr>
            <w:tcW w:type="dxa" w:w="3760"/>
            <w:shd w:fill="F4F6F8"/>
            <w:tcMar>
              <w:top w:w="100" w:type="dxa"/>
              <w:start w:w="120" w:type="dxa"/>
              <w:bottom w:w="100" w:type="dxa"/>
              <w:end w:w="120" w:type="dxa"/>
            </w:tcMar>
            <w:vAlign w:val="center"/>
          </w:tcPr>
          <w:p>
            <w:pPr>
              <w:spacing w:after="0" w:line="252" w:lineRule="auto"/>
            </w:pPr>
            <w:r>
              <w:rPr>
                <w:rFonts w:ascii="Calibri" w:hAnsi="Calibri"/>
                <w:color w:val="24313A"/>
                <w:sz w:val="17"/>
              </w:rPr>
              <w:t>Finance/Administration; longer where tax, contract or public-procurement rules require.</w:t>
            </w:r>
          </w:p>
        </w:tc>
      </w:tr>
      <w:tr>
        <w:trPr>
          <w:cantSplit/>
        </w:trPr>
        <w:tc>
          <w:tcPr>
            <w:tcW w:type="dxa" w:w="3300"/>
            <w:tcMar>
              <w:top w:w="100" w:type="dxa"/>
              <w:start w:w="120" w:type="dxa"/>
              <w:bottom w:w="100" w:type="dxa"/>
              <w:end w:w="120" w:type="dxa"/>
            </w:tcMar>
            <w:vAlign w:val="center"/>
          </w:tcPr>
          <w:p>
            <w:pPr>
              <w:spacing w:after="0" w:line="252" w:lineRule="auto"/>
            </w:pPr>
            <w:r>
              <w:rPr>
                <w:rFonts w:ascii="Calibri" w:hAnsi="Calibri"/>
                <w:color w:val="24313A"/>
                <w:sz w:val="17"/>
              </w:rPr>
              <w:t>Requirements, designs, deliverables, configuration, release, acceptance and operational handover</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Life of the product/service plus 3 years, and never less than 7 years after Gate 6</w:t>
            </w:r>
          </w:p>
        </w:tc>
        <w:tc>
          <w:tcPr>
            <w:tcW w:type="dxa" w:w="3760"/>
            <w:tcMar>
              <w:top w:w="100" w:type="dxa"/>
              <w:start w:w="120" w:type="dxa"/>
              <w:bottom w:w="100" w:type="dxa"/>
              <w:end w:w="120" w:type="dxa"/>
            </w:tcMar>
            <w:vAlign w:val="center"/>
          </w:tcPr>
          <w:p>
            <w:pPr>
              <w:spacing w:after="0" w:line="252" w:lineRule="auto"/>
            </w:pPr>
            <w:r>
              <w:rPr>
                <w:rFonts w:ascii="Calibri" w:hAnsi="Calibri"/>
                <w:color w:val="24313A"/>
                <w:sz w:val="17"/>
              </w:rPr>
              <w:t>Technical and Service Owners; preserve the authoritative version and disposal evidence.</w:t>
            </w:r>
          </w:p>
        </w:tc>
      </w:tr>
      <w:tr>
        <w:trPr>
          <w:cantSplit/>
        </w:trPr>
        <w:tc>
          <w:tcPr>
            <w:tcW w:type="dxa" w:w="3300"/>
            <w:shd w:fill="F4F6F8"/>
            <w:tcMar>
              <w:top w:w="100" w:type="dxa"/>
              <w:start w:w="120" w:type="dxa"/>
              <w:bottom w:w="100" w:type="dxa"/>
              <w:end w:w="120" w:type="dxa"/>
            </w:tcMar>
            <w:vAlign w:val="center"/>
          </w:tcPr>
          <w:p>
            <w:pPr>
              <w:spacing w:after="0" w:line="252" w:lineRule="auto"/>
            </w:pPr>
            <w:r>
              <w:rPr>
                <w:rFonts w:ascii="Calibri" w:hAnsi="Calibri"/>
                <w:color w:val="24313A"/>
                <w:sz w:val="17"/>
              </w:rPr>
              <w:t>Risk, issue, change, quality, test, assurance, security and privacy records</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7 years after Gate 6 or final resolution, whichever is later</w:t>
            </w:r>
          </w:p>
        </w:tc>
        <w:tc>
          <w:tcPr>
            <w:tcW w:type="dxa" w:w="3760"/>
            <w:shd w:fill="F4F6F8"/>
            <w:tcMar>
              <w:top w:w="100" w:type="dxa"/>
              <w:start w:w="120" w:type="dxa"/>
              <w:bottom w:w="100" w:type="dxa"/>
              <w:end w:w="120" w:type="dxa"/>
            </w:tcMar>
            <w:vAlign w:val="center"/>
          </w:tcPr>
          <w:p>
            <w:pPr>
              <w:spacing w:after="0" w:line="252" w:lineRule="auto"/>
            </w:pPr>
            <w:r>
              <w:rPr>
                <w:rFonts w:ascii="Calibri" w:hAnsi="Calibri"/>
                <w:color w:val="24313A"/>
                <w:sz w:val="17"/>
              </w:rPr>
              <w:t>Project Manager and relevant control owner; incidents or investigations may impose a hold.</w:t>
            </w:r>
          </w:p>
        </w:tc>
      </w:tr>
      <w:tr>
        <w:trPr>
          <w:cantSplit/>
        </w:trPr>
        <w:tc>
          <w:tcPr>
            <w:tcW w:type="dxa" w:w="3300"/>
            <w:tcMar>
              <w:top w:w="100" w:type="dxa"/>
              <w:start w:w="120" w:type="dxa"/>
              <w:bottom w:w="100" w:type="dxa"/>
              <w:end w:w="120" w:type="dxa"/>
            </w:tcMar>
            <w:vAlign w:val="center"/>
          </w:tcPr>
          <w:p>
            <w:pPr>
              <w:spacing w:after="0" w:line="252" w:lineRule="auto"/>
            </w:pPr>
            <w:r>
              <w:rPr>
                <w:rFonts w:ascii="Calibri" w:hAnsi="Calibri"/>
                <w:color w:val="24313A"/>
                <w:sz w:val="17"/>
              </w:rPr>
              <w:t>Benefits measures and Gate 7 evidence</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7 years after Gate 7</w:t>
            </w:r>
          </w:p>
        </w:tc>
        <w:tc>
          <w:tcPr>
            <w:tcW w:type="dxa" w:w="3760"/>
            <w:tcMar>
              <w:top w:w="100" w:type="dxa"/>
              <w:start w:w="120" w:type="dxa"/>
              <w:bottom w:w="100" w:type="dxa"/>
              <w:end w:w="120" w:type="dxa"/>
            </w:tcMar>
            <w:vAlign w:val="center"/>
          </w:tcPr>
          <w:p>
            <w:pPr>
              <w:spacing w:after="0" w:line="252" w:lineRule="auto"/>
            </w:pPr>
            <w:r>
              <w:rPr>
                <w:rFonts w:ascii="Calibri" w:hAnsi="Calibri"/>
                <w:color w:val="24313A"/>
                <w:sz w:val="17"/>
              </w:rPr>
              <w:t>Sponsor and Service / Operations Owner.</w:t>
            </w:r>
          </w:p>
        </w:tc>
      </w:tr>
      <w:tr>
        <w:trPr>
          <w:cantSplit/>
        </w:trPr>
        <w:tc>
          <w:tcPr>
            <w:tcW w:type="dxa" w:w="3300"/>
            <w:shd w:fill="F4F6F8"/>
            <w:tcMar>
              <w:top w:w="100" w:type="dxa"/>
              <w:start w:w="120" w:type="dxa"/>
              <w:bottom w:w="100" w:type="dxa"/>
              <w:end w:w="120" w:type="dxa"/>
            </w:tcMar>
            <w:vAlign w:val="center"/>
          </w:tcPr>
          <w:p>
            <w:pPr>
              <w:spacing w:after="0" w:line="252" w:lineRule="auto"/>
            </w:pPr>
            <w:r>
              <w:rPr>
                <w:rFonts w:ascii="Calibri" w:hAnsi="Calibri"/>
                <w:color w:val="24313A"/>
                <w:sz w:val="17"/>
              </w:rPr>
              <w:t>Unsuccessful bids, proposals and tender working files</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3 years after award/decline, unless dispute or client rule requires longer</w:t>
            </w:r>
          </w:p>
        </w:tc>
        <w:tc>
          <w:tcPr>
            <w:tcW w:type="dxa" w:w="3760"/>
            <w:shd w:fill="F4F6F8"/>
            <w:tcMar>
              <w:top w:w="100" w:type="dxa"/>
              <w:start w:w="120" w:type="dxa"/>
              <w:bottom w:w="100" w:type="dxa"/>
              <w:end w:w="120" w:type="dxa"/>
            </w:tcMar>
            <w:vAlign w:val="center"/>
          </w:tcPr>
          <w:p>
            <w:pPr>
              <w:spacing w:after="0" w:line="252" w:lineRule="auto"/>
            </w:pPr>
            <w:r>
              <w:rPr>
                <w:rFonts w:ascii="Calibri" w:hAnsi="Calibri"/>
                <w:color w:val="24313A"/>
                <w:sz w:val="17"/>
              </w:rPr>
              <w:t>Commercial/Finance owner; remove unnecessary personal data earlier.</w:t>
            </w:r>
          </w:p>
        </w:tc>
      </w:tr>
      <w:tr>
        <w:trPr>
          <w:cantSplit/>
        </w:trPr>
        <w:tc>
          <w:tcPr>
            <w:tcW w:type="dxa" w:w="3300"/>
            <w:tcMar>
              <w:top w:w="100" w:type="dxa"/>
              <w:start w:w="120" w:type="dxa"/>
              <w:bottom w:w="100" w:type="dxa"/>
              <w:end w:w="120" w:type="dxa"/>
            </w:tcMar>
            <w:vAlign w:val="center"/>
          </w:tcPr>
          <w:p>
            <w:pPr>
              <w:spacing w:after="0" w:line="252" w:lineRule="auto"/>
            </w:pPr>
            <w:r>
              <w:rPr>
                <w:rFonts w:ascii="Calibri" w:hAnsi="Calibri"/>
                <w:color w:val="24313A"/>
                <w:sz w:val="17"/>
              </w:rPr>
              <w:t>Temporary working copies containing personal data</w:t>
            </w:r>
          </w:p>
        </w:tc>
        <w:tc>
          <w:tcPr>
            <w:tcW w:type="dxa" w:w="2300"/>
            <w:tcMar>
              <w:top w:w="100" w:type="dxa"/>
              <w:start w:w="120" w:type="dxa"/>
              <w:bottom w:w="100" w:type="dxa"/>
              <w:end w:w="120" w:type="dxa"/>
            </w:tcMar>
            <w:vAlign w:val="center"/>
          </w:tcPr>
          <w:p>
            <w:pPr>
              <w:spacing w:after="0" w:line="252" w:lineRule="auto"/>
            </w:pPr>
            <w:r>
              <w:rPr>
                <w:rFonts w:ascii="Calibri" w:hAnsi="Calibri"/>
                <w:color w:val="24313A"/>
                <w:sz w:val="17"/>
              </w:rPr>
              <w:t>Only while necessary for the approved purpose; review at Gate 6 and at least annually</w:t>
            </w:r>
          </w:p>
        </w:tc>
        <w:tc>
          <w:tcPr>
            <w:tcW w:type="dxa" w:w="3760"/>
            <w:tcMar>
              <w:top w:w="100" w:type="dxa"/>
              <w:start w:w="120" w:type="dxa"/>
              <w:bottom w:w="100" w:type="dxa"/>
              <w:end w:w="120" w:type="dxa"/>
            </w:tcMar>
            <w:vAlign w:val="center"/>
          </w:tcPr>
          <w:p>
            <w:pPr>
              <w:spacing w:after="0" w:line="252" w:lineRule="auto"/>
            </w:pPr>
            <w:r>
              <w:rPr>
                <w:rFonts w:ascii="Calibri" w:hAnsi="Calibri"/>
                <w:color w:val="24313A"/>
                <w:sz w:val="17"/>
              </w:rPr>
              <w:t>Data owner; delete or anonymise promptly when no longer needed and record the action.</w:t>
            </w:r>
          </w:p>
        </w:tc>
      </w:tr>
      <w:tr>
        <w:trPr>
          <w:cantSplit/>
        </w:trPr>
        <w:tc>
          <w:tcPr>
            <w:tcW w:type="dxa" w:w="3300"/>
            <w:shd w:fill="F4F6F8"/>
            <w:tcMar>
              <w:top w:w="100" w:type="dxa"/>
              <w:start w:w="120" w:type="dxa"/>
              <w:bottom w:w="100" w:type="dxa"/>
              <w:end w:w="120" w:type="dxa"/>
            </w:tcMar>
            <w:vAlign w:val="center"/>
          </w:tcPr>
          <w:p>
            <w:pPr>
              <w:spacing w:after="0" w:line="252" w:lineRule="auto"/>
            </w:pPr>
            <w:r>
              <w:rPr>
                <w:rFonts w:ascii="Calibri" w:hAnsi="Calibri"/>
                <w:color w:val="24313A"/>
                <w:sz w:val="17"/>
              </w:rPr>
              <w:t>Training, competence and framework-attendance records</w:t>
            </w:r>
          </w:p>
        </w:tc>
        <w:tc>
          <w:tcPr>
            <w:tcW w:type="dxa" w:w="2300"/>
            <w:shd w:fill="F4F6F8"/>
            <w:tcMar>
              <w:top w:w="100" w:type="dxa"/>
              <w:start w:w="120" w:type="dxa"/>
              <w:bottom w:w="100" w:type="dxa"/>
              <w:end w:w="120" w:type="dxa"/>
            </w:tcMar>
            <w:vAlign w:val="center"/>
          </w:tcPr>
          <w:p>
            <w:pPr>
              <w:spacing w:after="0" w:line="252" w:lineRule="auto"/>
            </w:pPr>
            <w:r>
              <w:rPr>
                <w:rFonts w:ascii="Calibri" w:hAnsi="Calibri"/>
                <w:color w:val="24313A"/>
                <w:sz w:val="17"/>
              </w:rPr>
              <w:t>5 years after the activity</w:t>
            </w:r>
          </w:p>
        </w:tc>
        <w:tc>
          <w:tcPr>
            <w:tcW w:type="dxa" w:w="3760"/>
            <w:shd w:fill="F4F6F8"/>
            <w:tcMar>
              <w:top w:w="100" w:type="dxa"/>
              <w:start w:w="120" w:type="dxa"/>
              <w:bottom w:w="100" w:type="dxa"/>
              <w:end w:w="120" w:type="dxa"/>
            </w:tcMar>
            <w:vAlign w:val="center"/>
          </w:tcPr>
          <w:p>
            <w:pPr>
              <w:spacing w:after="0" w:line="252" w:lineRule="auto"/>
            </w:pPr>
            <w:r>
              <w:rPr>
                <w:rFonts w:ascii="Calibri" w:hAnsi="Calibri"/>
                <w:color w:val="24313A"/>
                <w:sz w:val="17"/>
              </w:rPr>
              <w:t>Framework Owner / Administration.</w:t>
            </w:r>
          </w:p>
        </w:tc>
      </w:tr>
    </w:tbl>
    <w:p>
      <w:pPr>
        <w:spacing w:after="40"/>
      </w:pPr>
    </w:p>
    <w:p>
      <w:pPr>
        <w:shd w:fill="F4F6F8"/>
        <w:keepLines/>
        <w:pBdr>
          <w:top w:val="single" w:sz="8" w:space="6" w:color="123A5A"/>
          <w:left w:val="single" w:sz="8" w:space="6" w:color="123A5A"/>
          <w:bottom w:val="single" w:sz="8" w:space="6" w:color="123A5A"/>
          <w:right w:val="single" w:sz="8" w:space="6" w:color="123A5A"/>
        </w:pBdr>
        <w:spacing w:before="120" w:after="160" w:line="276" w:lineRule="auto"/>
        <w:ind w:left="160" w:right="160"/>
      </w:pPr>
      <w:r>
        <w:rPr>
          <w:rFonts w:ascii="Calibri" w:hAnsi="Calibri"/>
          <w:b/>
          <w:color w:val="123A5A"/>
        </w:rPr>
        <w:t xml:space="preserve">Secure disposal: </w:t>
      </w:r>
      <w:r>
        <w:rPr>
          <w:rFonts w:ascii="Calibri" w:hAnsi="Calibri"/>
          <w:color w:val="24313A"/>
        </w:rPr>
        <w:t>Disposal must be authorised, irreversible and recorded. Paper must be securely destroyed; digital copies, exports, backups and third-party holdings must be deleted or rendered inaccessible according to approved technical and contractual procedures.</w:t>
      </w:r>
    </w:p>
    <w:p>
      <w:pPr>
        <w:pStyle w:val="Heading1"/>
        <w:keepNext/>
        <w:pageBreakBefore/>
      </w:pPr>
      <w:r>
        <w:t>Institutional Adoption</w:t>
      </w:r>
    </w:p>
    <w:p>
      <w:pPr>
        <w:spacing w:after="120" w:line="300" w:lineRule="auto"/>
      </w:pPr>
      <w:r>
        <w:rPr>
          <w:i w:val="0"/>
        </w:rPr>
        <w:t>This framework is approved as the minimum project-management standard for KenAddme IT Links. It applies during transition as stated in Section 20 and becomes fully mandatory on 31 October 2026. The approved electronic copy is authoritative; printed or exported copies are uncontrolled unless the version and approval status are verified before use.</w:t>
      </w:r>
    </w:p>
    <w:p>
      <w:pPr>
        <w:shd w:fill="EAF3F3"/>
        <w:keepLines/>
        <w:pBdr>
          <w:top w:val="single" w:sz="8" w:space="6" w:color="1B7F79"/>
          <w:left w:val="single" w:sz="8" w:space="6" w:color="1B7F79"/>
          <w:bottom w:val="single" w:sz="8" w:space="6" w:color="1B7F79"/>
          <w:right w:val="single" w:sz="8" w:space="6" w:color="1B7F79"/>
        </w:pBdr>
        <w:spacing w:before="120" w:after="160" w:line="276" w:lineRule="auto"/>
        <w:ind w:left="160" w:right="160"/>
      </w:pPr>
      <w:r>
        <w:rPr>
          <w:rFonts w:ascii="Calibri" w:hAnsi="Calibri"/>
          <w:b/>
          <w:color w:val="1B7F79"/>
        </w:rPr>
        <w:t xml:space="preserve">Ownership and authority: </w:t>
      </w:r>
      <w:r>
        <w:rPr>
          <w:rFonts w:ascii="Calibri" w:hAnsi="Calibri"/>
          <w:color w:val="24313A"/>
        </w:rPr>
        <w:t>Freston Kenny Adedeme owns and maintains this framework and authorises its institutional use by KenAddme IT Links. Changes to ownership, status, effective date, authority thresholds or mandatory controls require a controlled revision and recorded approval. Versioning convention: both institutional frameworks increment the second digit for a controlled minor revision and the first digit for a structural revision; a pre-approval edition is recorded as a draft of the version it becomes, and the approval date recorded in document control governs where a revision-history entry differs.</w:t>
      </w:r>
    </w:p>
    <w:tbl>
      <w:tblPr>
        <w:tblW w:type="dxa" w:w="9360"/>
        <w:jc w:val="left"/>
        <w:tblLayout w:type="fixed"/>
        <w:tblLook w:firstColumn="1" w:firstRow="1" w:lastColumn="0" w:lastRow="0" w:noHBand="0" w:noVBand="1" w:val="04A0"/>
        <w:tblInd w:w="120" w:type="dxa"/>
        <w:tblBorders>
          <w:top w:val="single" w:sz="6" w:space="0" w:color="D5DDE2"/>
          <w:left w:val="single" w:sz="6" w:space="0" w:color="D5DDE2"/>
          <w:bottom w:val="single" w:sz="6" w:space="0" w:color="D5DDE2"/>
          <w:right w:val="single" w:sz="6" w:space="0" w:color="D5DDE2"/>
          <w:insideH w:val="single" w:sz="6" w:space="0" w:color="D5DDE2"/>
          <w:insideV w:val="single" w:sz="6" w:space="0" w:color="D5DDE2"/>
        </w:tblBorders>
      </w:tblPr>
      <w:tblGrid>
        <w:gridCol w:w="2800"/>
        <w:gridCol w:w="2200"/>
        <w:gridCol w:w="2460"/>
        <w:gridCol w:w="1900"/>
      </w:tblGrid>
      <w:tr>
        <w:trPr>
          <w:tblHeader w:val="true"/>
          <w:cantSplit/>
        </w:trPr>
        <w:tc>
          <w:tcPr>
            <w:tcW w:type="dxa" w:w="2800"/>
            <w:tcMar>
              <w:top w:w="100" w:type="dxa"/>
              <w:start w:w="120" w:type="dxa"/>
              <w:bottom w:w="100" w:type="dxa"/>
              <w:end w:w="120" w:type="dxa"/>
            </w:tcMar>
            <w:vAlign w:val="center"/>
            <w:shd w:fill="123A5A"/>
          </w:tcPr>
          <w:p>
            <w:pPr>
              <w:jc w:val="left"/>
            </w:pPr>
            <w:r>
              <w:rPr>
                <w:rFonts w:ascii="Calibri" w:hAnsi="Calibri"/>
                <w:b/>
                <w:color w:val="FFFFFF"/>
                <w:sz w:val="19"/>
              </w:rPr>
              <w:t>Approval role</w:t>
            </w:r>
          </w:p>
        </w:tc>
        <w:tc>
          <w:tcPr>
            <w:tcW w:type="dxa" w:w="2200"/>
            <w:tcMar>
              <w:top w:w="100" w:type="dxa"/>
              <w:start w:w="120" w:type="dxa"/>
              <w:bottom w:w="100" w:type="dxa"/>
              <w:end w:w="120" w:type="dxa"/>
            </w:tcMar>
            <w:vAlign w:val="center"/>
            <w:shd w:fill="123A5A"/>
          </w:tcPr>
          <w:p>
            <w:pPr>
              <w:jc w:val="left"/>
            </w:pPr>
            <w:r>
              <w:rPr>
                <w:rFonts w:ascii="Calibri" w:hAnsi="Calibri"/>
                <w:b/>
                <w:color w:val="FFFFFF"/>
                <w:sz w:val="19"/>
              </w:rPr>
              <w:t>Name</w:t>
            </w:r>
          </w:p>
        </w:tc>
        <w:tc>
          <w:tcPr>
            <w:tcW w:type="dxa" w:w="2460"/>
            <w:tcMar>
              <w:top w:w="100" w:type="dxa"/>
              <w:start w:w="120" w:type="dxa"/>
              <w:bottom w:w="100" w:type="dxa"/>
              <w:end w:w="120" w:type="dxa"/>
            </w:tcMar>
            <w:vAlign w:val="center"/>
            <w:shd w:fill="123A5A"/>
          </w:tcPr>
          <w:p>
            <w:pPr>
              <w:jc w:val="left"/>
            </w:pPr>
            <w:r>
              <w:rPr>
                <w:rFonts w:ascii="Calibri" w:hAnsi="Calibri"/>
                <w:b/>
                <w:color w:val="FFFFFF"/>
                <w:sz w:val="19"/>
              </w:rPr>
              <w:t>Decision / record</w:t>
            </w:r>
          </w:p>
        </w:tc>
        <w:tc>
          <w:tcPr>
            <w:tcW w:type="dxa" w:w="1900"/>
            <w:tcMar>
              <w:top w:w="100" w:type="dxa"/>
              <w:start w:w="120" w:type="dxa"/>
              <w:bottom w:w="100" w:type="dxa"/>
              <w:end w:w="120" w:type="dxa"/>
            </w:tcMar>
            <w:vAlign w:val="center"/>
            <w:shd w:fill="123A5A"/>
          </w:tcPr>
          <w:p>
            <w:pPr>
              <w:jc w:val="left"/>
            </w:pPr>
            <w:r>
              <w:rPr>
                <w:rFonts w:ascii="Calibri" w:hAnsi="Calibri"/>
                <w:b/>
                <w:color w:val="FFFFFF"/>
                <w:sz w:val="19"/>
              </w:rPr>
              <w:t>Date</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8"/>
              </w:rPr>
              <w:t>Document Owner / Approving Authority</w:t>
            </w:r>
          </w:p>
        </w:tc>
        <w:tc>
          <w:tcPr>
            <w:tcW w:type="dxa" w:w="2200"/>
            <w:tcMar>
              <w:top w:w="100" w:type="dxa"/>
              <w:start w:w="120" w:type="dxa"/>
              <w:bottom w:w="100" w:type="dxa"/>
              <w:end w:w="120" w:type="dxa"/>
            </w:tcMar>
            <w:vAlign w:val="center"/>
          </w:tcPr>
          <w:p>
            <w:pPr>
              <w:spacing w:after="0" w:line="252" w:lineRule="auto"/>
            </w:pPr>
            <w:r>
              <w:rPr>
                <w:rFonts w:ascii="Calibri" w:hAnsi="Calibri"/>
                <w:color w:val="24313A"/>
                <w:sz w:val="18"/>
              </w:rPr>
              <w:t>Freston Kenny Adedeme</w:t>
            </w:r>
          </w:p>
        </w:tc>
        <w:tc>
          <w:tcPr>
            <w:tcW w:type="dxa" w:w="2460"/>
            <w:tcMar>
              <w:top w:w="100" w:type="dxa"/>
              <w:start w:w="120" w:type="dxa"/>
              <w:bottom w:w="100" w:type="dxa"/>
              <w:end w:w="120" w:type="dxa"/>
            </w:tcMar>
            <w:vAlign w:val="center"/>
          </w:tcPr>
          <w:p>
            <w:pPr>
              <w:spacing w:after="0" w:line="252" w:lineRule="auto"/>
            </w:pPr>
            <w:r>
              <w:rPr>
                <w:rFonts w:ascii="Calibri" w:hAnsi="Calibri"/>
                <w:color w:val="24313A"/>
                <w:sz w:val="18"/>
              </w:rPr>
              <w:t>Approved electronically for institutional use</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8"/>
              </w:rPr>
              <w:t>2 September 2026</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8"/>
              </w:rPr>
              <w:t>Framework Custodian</w:t>
            </w:r>
          </w:p>
        </w:tc>
        <w:tc>
          <w:tcPr>
            <w:tcW w:type="dxa" w:w="2200"/>
            <w:shd w:fill="F4F6F8"/>
            <w:tcMar>
              <w:top w:w="100" w:type="dxa"/>
              <w:start w:w="120" w:type="dxa"/>
              <w:bottom w:w="100" w:type="dxa"/>
              <w:end w:w="120" w:type="dxa"/>
            </w:tcMar>
            <w:vAlign w:val="center"/>
          </w:tcPr>
          <w:p>
            <w:pPr>
              <w:spacing w:after="0" w:line="252" w:lineRule="auto"/>
            </w:pPr>
            <w:r>
              <w:rPr>
                <w:rFonts w:ascii="Calibri" w:hAnsi="Calibri"/>
                <w:color w:val="24313A"/>
                <w:sz w:val="18"/>
              </w:rPr>
              <w:t>Freston Kenny Adedeme</w:t>
            </w:r>
          </w:p>
        </w:tc>
        <w:tc>
          <w:tcPr>
            <w:tcW w:type="dxa" w:w="2460"/>
            <w:shd w:fill="F4F6F8"/>
            <w:tcMar>
              <w:top w:w="100" w:type="dxa"/>
              <w:start w:w="120" w:type="dxa"/>
              <w:bottom w:w="100" w:type="dxa"/>
              <w:end w:w="120" w:type="dxa"/>
            </w:tcMar>
            <w:vAlign w:val="center"/>
          </w:tcPr>
          <w:p>
            <w:pPr>
              <w:spacing w:after="0" w:line="252" w:lineRule="auto"/>
            </w:pPr>
            <w:r>
              <w:rPr>
                <w:rFonts w:ascii="Calibri" w:hAnsi="Calibri"/>
                <w:color w:val="24313A"/>
                <w:sz w:val="18"/>
              </w:rPr>
              <w:t>Ownership, annual review and controlled maintenance accepted</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8"/>
              </w:rPr>
              <w:t>2 September 2026</w:t>
            </w:r>
          </w:p>
        </w:tc>
      </w:tr>
      <w:tr>
        <w:trPr>
          <w:cantSplit/>
        </w:trPr>
        <w:tc>
          <w:tcPr>
            <w:tcW w:type="dxa" w:w="2800"/>
            <w:tcMar>
              <w:top w:w="100" w:type="dxa"/>
              <w:start w:w="120" w:type="dxa"/>
              <w:bottom w:w="100" w:type="dxa"/>
              <w:end w:w="120" w:type="dxa"/>
            </w:tcMar>
            <w:vAlign w:val="center"/>
          </w:tcPr>
          <w:p>
            <w:pPr>
              <w:spacing w:after="0" w:line="252" w:lineRule="auto"/>
            </w:pPr>
            <w:r>
              <w:rPr>
                <w:rFonts w:ascii="Calibri" w:hAnsi="Calibri"/>
                <w:color w:val="24313A"/>
                <w:sz w:val="18"/>
              </w:rPr>
              <w:t>Review Basis</w:t>
            </w:r>
          </w:p>
        </w:tc>
        <w:tc>
          <w:tcPr>
            <w:tcW w:type="dxa" w:w="2200"/>
            <w:tcMar>
              <w:top w:w="100" w:type="dxa"/>
              <w:start w:w="120" w:type="dxa"/>
              <w:bottom w:w="100" w:type="dxa"/>
              <w:end w:w="120" w:type="dxa"/>
            </w:tcMar>
            <w:vAlign w:val="center"/>
          </w:tcPr>
          <w:p>
            <w:pPr>
              <w:spacing w:after="0" w:line="252" w:lineRule="auto"/>
            </w:pPr>
            <w:r>
              <w:rPr>
                <w:rFonts w:ascii="Calibri" w:hAnsi="Calibri"/>
                <w:color w:val="24313A"/>
                <w:sz w:val="18"/>
              </w:rPr>
              <w:t>Independent editorial and governance review</w:t>
            </w:r>
          </w:p>
        </w:tc>
        <w:tc>
          <w:tcPr>
            <w:tcW w:type="dxa" w:w="2460"/>
            <w:tcMar>
              <w:top w:w="100" w:type="dxa"/>
              <w:start w:w="120" w:type="dxa"/>
              <w:bottom w:w="100" w:type="dxa"/>
              <w:end w:w="120" w:type="dxa"/>
            </w:tcMar>
            <w:vAlign w:val="center"/>
          </w:tcPr>
          <w:p>
            <w:pPr>
              <w:spacing w:after="0" w:line="252" w:lineRule="auto"/>
            </w:pPr>
            <w:r>
              <w:rPr>
                <w:rFonts w:ascii="Calibri" w:hAnsi="Calibri"/>
                <w:color w:val="24313A"/>
                <w:sz w:val="18"/>
              </w:rPr>
              <w:t>All eleven findings accepted and closed</w:t>
            </w:r>
          </w:p>
        </w:tc>
        <w:tc>
          <w:tcPr>
            <w:tcW w:type="dxa" w:w="1900"/>
            <w:tcMar>
              <w:top w:w="100" w:type="dxa"/>
              <w:start w:w="120" w:type="dxa"/>
              <w:bottom w:w="100" w:type="dxa"/>
              <w:end w:w="120" w:type="dxa"/>
            </w:tcMar>
            <w:vAlign w:val="center"/>
          </w:tcPr>
          <w:p>
            <w:pPr>
              <w:spacing w:after="0" w:line="252" w:lineRule="auto"/>
            </w:pPr>
            <w:r>
              <w:rPr>
                <w:rFonts w:ascii="Calibri" w:hAnsi="Calibri"/>
                <w:color w:val="24313A"/>
                <w:sz w:val="18"/>
              </w:rPr>
              <w:t>1-2 September 2026</w:t>
            </w:r>
          </w:p>
        </w:tc>
      </w:tr>
      <w:tr>
        <w:trPr>
          <w:cantSplit/>
        </w:trPr>
        <w:tc>
          <w:tcPr>
            <w:tcW w:type="dxa" w:w="2800"/>
            <w:shd w:fill="F4F6F8"/>
            <w:tcMar>
              <w:top w:w="100" w:type="dxa"/>
              <w:start w:w="120" w:type="dxa"/>
              <w:bottom w:w="100" w:type="dxa"/>
              <w:end w:w="120" w:type="dxa"/>
            </w:tcMar>
            <w:vAlign w:val="center"/>
          </w:tcPr>
          <w:p>
            <w:pPr>
              <w:spacing w:after="0" w:line="252" w:lineRule="auto"/>
            </w:pPr>
            <w:r>
              <w:rPr>
                <w:rFonts w:ascii="Calibri" w:hAnsi="Calibri"/>
                <w:color w:val="24313A"/>
                <w:sz w:val="18"/>
              </w:rPr>
              <w:t>Institutional Use</w:t>
            </w:r>
          </w:p>
        </w:tc>
        <w:tc>
          <w:tcPr>
            <w:tcW w:type="dxa" w:w="2200"/>
            <w:shd w:fill="F4F6F8"/>
            <w:tcMar>
              <w:top w:w="100" w:type="dxa"/>
              <w:start w:w="120" w:type="dxa"/>
              <w:bottom w:w="100" w:type="dxa"/>
              <w:end w:w="120" w:type="dxa"/>
            </w:tcMar>
            <w:vAlign w:val="center"/>
          </w:tcPr>
          <w:p>
            <w:pPr>
              <w:spacing w:after="0" w:line="252" w:lineRule="auto"/>
            </w:pPr>
            <w:r>
              <w:rPr>
                <w:rFonts w:ascii="Calibri" w:hAnsi="Calibri"/>
                <w:color w:val="24313A"/>
                <w:sz w:val="18"/>
              </w:rPr>
              <w:t>KenAddme IT Links</w:t>
            </w:r>
          </w:p>
        </w:tc>
        <w:tc>
          <w:tcPr>
            <w:tcW w:type="dxa" w:w="2460"/>
            <w:shd w:fill="F4F6F8"/>
            <w:tcMar>
              <w:top w:w="100" w:type="dxa"/>
              <w:start w:w="120" w:type="dxa"/>
              <w:bottom w:w="100" w:type="dxa"/>
              <w:end w:w="120" w:type="dxa"/>
            </w:tcMar>
            <w:vAlign w:val="center"/>
          </w:tcPr>
          <w:p>
            <w:pPr>
              <w:spacing w:after="0" w:line="252" w:lineRule="auto"/>
            </w:pPr>
            <w:r>
              <w:rPr>
                <w:rFonts w:ascii="Calibri" w:hAnsi="Calibri"/>
                <w:color w:val="24313A"/>
                <w:sz w:val="18"/>
              </w:rPr>
              <w:t>Mandatory from common effective date</w:t>
            </w:r>
          </w:p>
        </w:tc>
        <w:tc>
          <w:tcPr>
            <w:tcW w:type="dxa" w:w="1900"/>
            <w:shd w:fill="F4F6F8"/>
            <w:tcMar>
              <w:top w:w="100" w:type="dxa"/>
              <w:start w:w="120" w:type="dxa"/>
              <w:bottom w:w="100" w:type="dxa"/>
              <w:end w:w="120" w:type="dxa"/>
            </w:tcMar>
            <w:vAlign w:val="center"/>
          </w:tcPr>
          <w:p>
            <w:pPr>
              <w:spacing w:after="0" w:line="252" w:lineRule="auto"/>
            </w:pPr>
            <w:r>
              <w:rPr>
                <w:rFonts w:ascii="Calibri" w:hAnsi="Calibri"/>
                <w:color w:val="24313A"/>
                <w:sz w:val="18"/>
              </w:rPr>
              <w:t>31 October 2026</w:t>
            </w:r>
          </w:p>
        </w:tc>
      </w:tr>
    </w:tbl>
    <w:p>
      <w:pPr>
        <w:spacing w:after="40"/>
      </w:pPr>
    </w:p>
    <w:p>
      <w:pPr>
        <w:spacing w:before="400"/>
        <w:jc w:val="center"/>
      </w:pPr>
      <w:r>
        <w:rPr>
          <w:rFonts w:ascii="Calibri" w:hAnsi="Calibri"/>
          <w:b/>
          <w:color w:val="687782"/>
          <w:sz w:val="18"/>
        </w:rPr>
        <w:t>END OF FRAMEWORK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87782"/>
        <w:sz w:val="16"/>
      </w:rPr>
      <w:t xml:space="preserve">Approved for Use  |  Owner: Freston Kenny Adedeme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687782"/>
        <w:sz w:val="16"/>
      </w:rPr>
      <w:t>KENADDME IT LINKS  |  PROJECT MANAGEMENT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23A5A"/>
      <w:sz w:val="32"/>
      <w:szCs w:val="28"/>
    </w:rPr>
  </w:style>
  <w:style w:type="paragraph" w:styleId="Heading2">
    <w:name w:val="heading 2"/>
    <w:basedOn w:val="Normal"/>
    <w:next w:val="Normal"/>
    <w:link w:val="Heading2Char"/>
    <w:uiPriority w:val="9"/>
    <w:unhideWhenUsed/>
    <w:qFormat/>
    <w:rsid w:val="00FC693F"/>
    <w:pPr>
      <w:keepNext w:val="0"/>
      <w:keepLines/>
      <w:spacing w:before="280" w:after="140"/>
      <w:outlineLvl w:val="1"/>
    </w:pPr>
    <w:rPr>
      <w:rFonts w:asciiTheme="majorHAnsi" w:eastAsiaTheme="majorEastAsia" w:hAnsiTheme="majorHAnsi" w:cstheme="majorBidi" w:ascii="Calibri" w:hAnsi="Calibri"/>
      <w:b/>
      <w:bCs/>
      <w:color w:val="1B7F79"/>
      <w:sz w:val="26"/>
      <w:szCs w:val="26"/>
    </w:rPr>
  </w:style>
  <w:style w:type="paragraph" w:styleId="Heading3">
    <w:name w:val="heading 3"/>
    <w:basedOn w:val="Normal"/>
    <w:next w:val="Normal"/>
    <w:link w:val="Heading3Char"/>
    <w:uiPriority w:val="9"/>
    <w:unhideWhenUsed/>
    <w:qFormat/>
    <w:rsid w:val="00FC693F"/>
    <w:pPr>
      <w:keepNext w:val="0"/>
      <w:keepLines/>
      <w:spacing w:before="200" w:after="100"/>
      <w:outlineLvl w:val="2"/>
    </w:pPr>
    <w:rPr>
      <w:rFonts w:asciiTheme="majorHAnsi" w:eastAsiaTheme="majorEastAsia" w:hAnsiTheme="majorHAnsi" w:cstheme="majorBidi" w:ascii="Calibri" w:hAnsi="Calibri"/>
      <w:b/>
      <w:bCs/>
      <w:color w:val="123A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KenAddme IT Links Project Management Framework</dc:title>
  <dc:subject>Institutional project lifecycle, governance, controls and templates</dc:subject>
  <dc:creator>Freston Kenny Adedeme</dc:creator>
  <cp:keywords>project management, governance, lifecycle, stage gates, controls, KenAddme IT Links</cp:keywords>
  <dc:description>Approved for institutional use; owned by Freston Kenny Adedeme; effective 31 October 2026</dc:description>
  <cp:lastModifiedBy/>
  <cp:revision>1</cp:revision>
  <dcterms:created xsi:type="dcterms:W3CDTF">2013-12-23T23:15:00Z</dcterms:created>
  <dcterms:modified xsi:type="dcterms:W3CDTF">2013-12-23T23:15:00Z</dcterms:modified>
  <cp:category/>
</cp:coreProperties>
</file>