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sz w:val="44"/>
          <w:szCs w:val="44"/>
        </w:rPr>
        <w:t xml:space="preserve">Frontend Requirements Specification</w:t>
      </w:r>
    </w:p>
    <w:p>
      <w:pPr>
        <w:spacing w:after="100"/>
        <w:jc w:val="center"/>
      </w:pPr>
      <w:r>
        <w:rPr>
          <w:b/>
          <w:bCs/>
          <w:color w:val="444444"/>
          <w:sz w:val="32"/>
          <w:szCs w:val="32"/>
        </w:rPr>
        <w:t xml:space="preserve">Finance Management Platform</w:t>
      </w:r>
    </w:p>
    <w:p>
      <w:pPr>
        <w:spacing w:after="1600"/>
        <w:jc w:val="center"/>
      </w:pPr>
      <w:r>
        <w:rPr>
          <w:i/>
          <w:iCs/>
          <w:color w:val="666666"/>
          <w:sz w:val="24"/>
          <w:szCs w:val="24"/>
        </w:rPr>
        <w:t xml:space="preserve">Client Application Requirements — Companion to SRS v3.5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D9D9" w:color="auto" w:val="clear"/>
            <w:tcMar>
              <w:top w:type="dxa" w:w="80"/>
              <w:left w:type="dxa" w:w="100"/>
              <w:bottom w:type="dxa" w:w="80"/>
              <w:right w:type="dxa" w:w="100"/>
            </w:tcMar>
            <w:vAlign w:val="center"/>
          </w:tcPr>
          <w:p>
            <w:r>
              <w:rPr>
                <w:b/>
                <w:bCs/>
                <w:sz w:val="20"/>
                <w:szCs w:val="20"/>
              </w:rPr>
              <w:t xml:space="preserve">Field</w:t>
            </w:r>
          </w:p>
        </w:tc>
        <w:tc>
          <w:tcPr>
            <w:tcW w:type="dxa" w:w="6360"/>
            <w:shd w:fill="D9D9D9" w:color="auto" w:val="clear"/>
            <w:tcMar>
              <w:top w:type="dxa" w:w="80"/>
              <w:left w:type="dxa" w:w="100"/>
              <w:bottom w:type="dxa" w:w="80"/>
              <w:right w:type="dxa" w:w="100"/>
            </w:tcMar>
            <w:vAlign w:val="center"/>
          </w:tcPr>
          <w:p>
            <w:r>
              <w:rPr>
                <w:b/>
                <w:bCs/>
                <w:sz w:val="20"/>
                <w:szCs w:val="20"/>
              </w:rPr>
              <w:t xml:space="preserve">Value</w:t>
            </w:r>
          </w:p>
        </w:tc>
      </w:tr>
      <w:tr>
        <w:tc>
          <w:tcPr>
            <w:tcW w:type="dxa" w:w="3000"/>
            <w:tcMar>
              <w:top w:type="dxa" w:w="80"/>
              <w:left w:type="dxa" w:w="100"/>
              <w:bottom w:type="dxa" w:w="80"/>
              <w:right w:type="dxa" w:w="100"/>
            </w:tcMar>
            <w:vAlign w:val="center"/>
          </w:tcPr>
          <w:p>
            <w:r>
              <w:rPr>
                <w:b w:val="false"/>
                <w:bCs w:val="false"/>
                <w:sz w:val="20"/>
                <w:szCs w:val="20"/>
              </w:rPr>
              <w:t xml:space="preserve">Document Version</w:t>
            </w:r>
          </w:p>
        </w:tc>
        <w:tc>
          <w:tcPr>
            <w:tcW w:type="dxa" w:w="6360"/>
            <w:tcMar>
              <w:top w:type="dxa" w:w="80"/>
              <w:left w:type="dxa" w:w="100"/>
              <w:bottom w:type="dxa" w:w="80"/>
              <w:right w:type="dxa" w:w="100"/>
            </w:tcMar>
            <w:vAlign w:val="center"/>
          </w:tcPr>
          <w:p>
            <w:r>
              <w:rPr>
                <w:b w:val="false"/>
                <w:bCs w:val="false"/>
                <w:sz w:val="20"/>
                <w:szCs w:val="20"/>
              </w:rPr>
              <w:t xml:space="preserve">1.0</w:t>
            </w:r>
          </w:p>
        </w:tc>
      </w:tr>
      <w:tr>
        <w:tc>
          <w:tcPr>
            <w:tcW w:type="dxa" w:w="3000"/>
            <w:tcMar>
              <w:top w:type="dxa" w:w="80"/>
              <w:left w:type="dxa" w:w="100"/>
              <w:bottom w:type="dxa" w:w="80"/>
              <w:right w:type="dxa" w:w="100"/>
            </w:tcMar>
            <w:vAlign w:val="center"/>
          </w:tcPr>
          <w:p>
            <w:r>
              <w:rPr>
                <w:b w:val="false"/>
                <w:bCs w:val="false"/>
                <w:sz w:val="20"/>
                <w:szCs w:val="20"/>
              </w:rPr>
              <w:t xml:space="preserve">Status</w:t>
            </w:r>
          </w:p>
        </w:tc>
        <w:tc>
          <w:tcPr>
            <w:tcW w:type="dxa" w:w="6360"/>
            <w:tcMar>
              <w:top w:type="dxa" w:w="80"/>
              <w:left w:type="dxa" w:w="100"/>
              <w:bottom w:type="dxa" w:w="80"/>
              <w:right w:type="dxa" w:w="100"/>
            </w:tcMar>
            <w:vAlign w:val="center"/>
          </w:tcPr>
          <w:p>
            <w:r>
              <w:rPr>
                <w:b w:val="false"/>
                <w:bCs w:val="false"/>
                <w:sz w:val="20"/>
                <w:szCs w:val="20"/>
              </w:rPr>
              <w:t xml:space="preserve">Draft for Review</w:t>
            </w:r>
          </w:p>
        </w:tc>
      </w:tr>
      <w:tr>
        <w:tc>
          <w:tcPr>
            <w:tcW w:type="dxa" w:w="3000"/>
            <w:tcMar>
              <w:top w:type="dxa" w:w="80"/>
              <w:left w:type="dxa" w:w="100"/>
              <w:bottom w:type="dxa" w:w="80"/>
              <w:right w:type="dxa" w:w="100"/>
            </w:tcMar>
            <w:vAlign w:val="center"/>
          </w:tcPr>
          <w:p>
            <w:r>
              <w:rPr>
                <w:b w:val="false"/>
                <w:bCs w:val="false"/>
                <w:sz w:val="20"/>
                <w:szCs w:val="20"/>
              </w:rPr>
              <w:t xml:space="preserve">Date</w:t>
            </w:r>
          </w:p>
        </w:tc>
        <w:tc>
          <w:tcPr>
            <w:tcW w:type="dxa" w:w="6360"/>
            <w:tcMar>
              <w:top w:type="dxa" w:w="80"/>
              <w:left w:type="dxa" w:w="100"/>
              <w:bottom w:type="dxa" w:w="80"/>
              <w:right w:type="dxa" w:w="100"/>
            </w:tcMar>
            <w:vAlign w:val="center"/>
          </w:tcPr>
          <w:p>
            <w:r>
              <w:rPr>
                <w:b w:val="false"/>
                <w:bCs w:val="false"/>
                <w:sz w:val="20"/>
                <w:szCs w:val="20"/>
              </w:rPr>
              <w:t xml:space="preserve">August 8, 2026</w:t>
            </w:r>
          </w:p>
        </w:tc>
      </w:tr>
      <w:tr>
        <w:tc>
          <w:tcPr>
            <w:tcW w:type="dxa" w:w="3000"/>
            <w:tcMar>
              <w:top w:type="dxa" w:w="80"/>
              <w:left w:type="dxa" w:w="100"/>
              <w:bottom w:type="dxa" w:w="80"/>
              <w:right w:type="dxa" w:w="100"/>
            </w:tcMar>
            <w:vAlign w:val="center"/>
          </w:tcPr>
          <w:p>
            <w:r>
              <w:rPr>
                <w:b w:val="false"/>
                <w:bCs w:val="false"/>
                <w:sz w:val="20"/>
                <w:szCs w:val="20"/>
              </w:rPr>
              <w:t xml:space="preserve">Companion To</w:t>
            </w:r>
          </w:p>
        </w:tc>
        <w:tc>
          <w:tcPr>
            <w:tcW w:type="dxa" w:w="6360"/>
            <w:tcMar>
              <w:top w:type="dxa" w:w="80"/>
              <w:left w:type="dxa" w:w="100"/>
              <w:bottom w:type="dxa" w:w="80"/>
              <w:right w:type="dxa" w:w="100"/>
            </w:tcMar>
            <w:vAlign w:val="center"/>
          </w:tcPr>
          <w:p>
            <w:r>
              <w:rPr>
                <w:b w:val="false"/>
                <w:bCs w:val="false"/>
                <w:sz w:val="20"/>
                <w:szCs w:val="20"/>
              </w:rPr>
              <w:t xml:space="preserve">SRS — Finance Management Platform, v3.5</w:t>
            </w:r>
          </w:p>
        </w:tc>
      </w:tr>
      <w:tr>
        <w:tc>
          <w:tcPr>
            <w:tcW w:type="dxa" w:w="3000"/>
            <w:tcMar>
              <w:top w:type="dxa" w:w="80"/>
              <w:left w:type="dxa" w:w="100"/>
              <w:bottom w:type="dxa" w:w="80"/>
              <w:right w:type="dxa" w:w="100"/>
            </w:tcMar>
            <w:vAlign w:val="center"/>
          </w:tcPr>
          <w:p>
            <w:r>
              <w:rPr>
                <w:b w:val="false"/>
                <w:bCs w:val="false"/>
                <w:sz w:val="20"/>
                <w:szCs w:val="20"/>
              </w:rPr>
              <w:t xml:space="preserve">Classification</w:t>
            </w:r>
          </w:p>
        </w:tc>
        <w:tc>
          <w:tcPr>
            <w:tcW w:type="dxa" w:w="6360"/>
            <w:tcMar>
              <w:top w:type="dxa" w:w="80"/>
              <w:left w:type="dxa" w:w="100"/>
              <w:bottom w:type="dxa" w:w="80"/>
              <w:right w:type="dxa" w:w="100"/>
            </w:tcMar>
            <w:vAlign w:val="center"/>
          </w:tcPr>
          <w:p>
            <w:r>
              <w:rPr>
                <w:b w:val="false"/>
                <w:bCs w:val="false"/>
                <w:sz w:val="20"/>
                <w:szCs w:val="20"/>
              </w:rPr>
              <w:t xml:space="preserve">Internal — Confidential</w:t>
            </w:r>
          </w:p>
        </w:tc>
      </w:tr>
      <w:tr>
        <w:tc>
          <w:tcPr>
            <w:tcW w:type="dxa" w:w="3000"/>
            <w:tcMar>
              <w:top w:type="dxa" w:w="80"/>
              <w:left w:type="dxa" w:w="100"/>
              <w:bottom w:type="dxa" w:w="80"/>
              <w:right w:type="dxa" w:w="100"/>
            </w:tcMar>
            <w:vAlign w:val="center"/>
          </w:tcPr>
          <w:p>
            <w:r>
              <w:rPr>
                <w:b w:val="false"/>
                <w:bCs w:val="false"/>
                <w:sz w:val="20"/>
                <w:szCs w:val="20"/>
              </w:rPr>
              <w:t xml:space="preserve">Owner</w:t>
            </w:r>
          </w:p>
        </w:tc>
        <w:tc>
          <w:tcPr>
            <w:tcW w:type="dxa" w:w="6360"/>
            <w:tcMar>
              <w:top w:type="dxa" w:w="80"/>
              <w:left w:type="dxa" w:w="100"/>
              <w:bottom w:type="dxa" w:w="80"/>
              <w:right w:type="dxa" w:w="100"/>
            </w:tcMar>
            <w:vAlign w:val="center"/>
          </w:tcPr>
          <w:p>
            <w:r>
              <w:rPr>
                <w:b w:val="false"/>
                <w:bCs w:val="false"/>
                <w:sz w:val="20"/>
                <w:szCs w:val="20"/>
              </w:rPr>
              <w:t xml:space="preserve">Product / Frontend Engineering</w:t>
            </w:r>
          </w:p>
        </w:tc>
      </w:tr>
    </w:tbl>
    <w:p>
      <w:pPr>
        <w:pStyle w:val="Heading1"/>
        <w:pageBreakBefore/>
        <w:spacing w:after="200"/>
      </w:pPr>
      <w:r>
        <w:t xml:space="preserve">Table of Contents</w:t>
      </w:r>
    </w:p>
    <w:p>
      <w:pPr>
        <w:spacing w:after="200"/>
      </w:pPr>
      <w:r>
        <w:rPr>
          <w:i/>
          <w:iCs/>
          <w:color w:val="888888"/>
          <w:sz w:val="18"/>
          <w:szCs w:val="18"/>
        </w:rPr>
        <w:t xml:space="preserve">(In Word: right-click below and choose "Update Field", or press Ctrl+A then F9,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pPr>
      <w:r>
        <w:t xml:space="preserve">1. Introduction</w:t>
      </w:r>
    </w:p>
    <w:p>
      <w:pPr>
        <w:pStyle w:val="Heading2"/>
        <w:spacing w:after="120" w:before="300"/>
      </w:pPr>
      <w:r>
        <w:t xml:space="preserve">1.1 Purpose</w:t>
      </w:r>
    </w:p>
    <w:p>
      <w:pPr>
        <w:spacing w:after="160"/>
      </w:pPr>
      <w:r>
        <w:t xml:space="preserve">This Frontend Requirements Specification (FRS) defines the client-application requirements for the Finance Management Platform. It is the companion document to the Software Requirements Specification (SRS v3.5), which specifies the backend API, data model, security, and operational requirements but explicitly excludes any user interface. This document closes that gap: every backend capability defined in the SRS is given a corresponding, traceable frontend surface here.</w:t>
      </w:r>
    </w:p>
    <w:p>
      <w:pPr>
        <w:pStyle w:val="Heading2"/>
        <w:spacing w:after="120" w:before="300"/>
      </w:pPr>
      <w:r>
        <w:t xml:space="preserve">1.2 Relationship to the SRS</w:t>
      </w:r>
    </w:p>
    <w:p>
      <w:pPr>
        <w:spacing w:after="160"/>
      </w:pPr>
      <w:r>
        <w:t xml:space="preserve">The SRS is the authoritative source for business rules, validation logic, security constraints, and data semantics. This document does not restate or override them; it specifies how a user reaches, understands, and operates each of those capabilities. Where the two documents appear to conflict, the SRS governs and this document is to be corrected.</w:t>
      </w:r>
    </w:p>
    <w:p>
      <w:pPr>
        <w:spacing w:after="160"/>
      </w:pPr>
      <w:r>
        <w:t xml:space="preserve">Frontend requirements are identified with the prefix FE, numbered to mirror the SRS module they serve (e.g., FE-6.x covers the frontend for SRS Section 3.6, Transactions). This deliberate parallel numbering makes gaps visible at a glance.</w:t>
      </w:r>
    </w:p>
    <w:p>
      <w:pPr>
        <w:pStyle w:val="Heading2"/>
        <w:spacing w:after="120" w:before="300"/>
      </w:pPr>
      <w:r>
        <w:t xml:space="preserve">1.3 Document Conventions</w:t>
      </w:r>
    </w:p>
    <w:p>
      <w:pPr>
        <w:spacing w:after="160"/>
      </w:pPr>
      <w:r>
        <w:t xml:space="preserve">Priority follows MoSCoW (Must / Should / Could), consistent with the SRS. Items marked "Phase 2" correspond to SRS requirements deferred beyond initial public launch and are specified here only to the extent needed to avoid architectural rework later.</w:t>
      </w:r>
    </w:p>
    <w:p>
      <w:pPr>
        <w:pStyle w:val="Heading2"/>
        <w:spacing w:after="120" w:before="300"/>
      </w:pPr>
      <w:r>
        <w:t xml:space="preserve">1.4 Intended Audience</w:t>
      </w:r>
    </w:p>
    <w:p>
      <w:pPr>
        <w:pStyle w:val="ListParagraph"/>
        <w:numPr>
          <w:ilvl w:val="0"/>
          <w:numId w:val="1"/>
        </w:numPr>
        <w:spacing w:after="60"/>
      </w:pPr>
      <w:r>
        <w:t xml:space="preserve">Frontend engineers — implementation reference</w:t>
      </w:r>
    </w:p>
    <w:p>
      <w:pPr>
        <w:pStyle w:val="ListParagraph"/>
        <w:numPr>
          <w:ilvl w:val="0"/>
          <w:numId w:val="1"/>
        </w:numPr>
        <w:spacing w:after="60"/>
      </w:pPr>
      <w:r>
        <w:t xml:space="preserve">Product / design — screen inventory, flows, and states</w:t>
      </w:r>
    </w:p>
    <w:p>
      <w:pPr>
        <w:pStyle w:val="ListParagraph"/>
        <w:numPr>
          <w:ilvl w:val="0"/>
          <w:numId w:val="1"/>
        </w:numPr>
        <w:spacing w:after="60"/>
      </w:pPr>
      <w:r>
        <w:t xml:space="preserve">QA — basis for UI test plans and acceptance criteria</w:t>
      </w:r>
    </w:p>
    <w:p>
      <w:pPr>
        <w:pStyle w:val="ListParagraph"/>
        <w:numPr>
          <w:ilvl w:val="0"/>
          <w:numId w:val="1"/>
        </w:numPr>
        <w:spacing w:after="60"/>
      </w:pPr>
      <w:r>
        <w:t xml:space="preserve">Security reviewers — client-side handling of tokens, credentials, and sensitive display data</w:t>
      </w:r>
    </w:p>
    <w:p>
      <w:pPr>
        <w:pStyle w:val="ListParagraph"/>
        <w:numPr>
          <w:ilvl w:val="0"/>
          <w:numId w:val="1"/>
        </w:numPr>
        <w:spacing w:after="60"/>
      </w:pPr>
      <w:r>
        <w:t xml:space="preserve">Backend engineers — confirming API surface adequacy against real client needs</w:t>
      </w:r>
    </w:p>
    <w:p>
      <w:pPr>
        <w:pStyle w:val="Heading2"/>
        <w:spacing w:after="120" w:before="300"/>
      </w:pPr>
      <w:r>
        <w:t xml:space="preserve">1.5 Scope</w:t>
      </w:r>
    </w:p>
    <w:p>
      <w:pPr>
        <w:spacing w:after="160"/>
      </w:pPr>
      <w:r>
        <w:t xml:space="preserve">In scope: the primary end-user client (web and mobile-responsive), covering all user-facing capability defined in SRS Sections 3.1–3.14, plus the internal admin/support console (SRS Section 3.11) as a separate, separately authenticated surface.</w:t>
      </w:r>
    </w:p>
    <w:p>
      <w:pPr>
        <w:spacing w:after="160"/>
      </w:pPr>
      <w:r>
        <w:t xml:space="preserve">Out of scope: visual design system specifics (colors, typography, component library selection), marketing site content, and native mobile applications. This document specifies what each screen must do and guarantee, not how it should look.</w:t>
      </w:r>
    </w:p>
    <w:p>
      <w:pPr>
        <w:pStyle w:val="Heading2"/>
        <w:spacing w:after="120" w:before="300"/>
      </w:pPr>
      <w:r>
        <w:t xml:space="preserve">1.6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Term</w:t>
            </w:r>
          </w:p>
        </w:tc>
        <w:tc>
          <w:tcPr>
            <w:tcW w:type="dxa" w:w="6960"/>
            <w:shd w:fill="D9D9D9" w:color="auto" w:val="clear"/>
            <w:tcMar>
              <w:top w:type="dxa" w:w="80"/>
              <w:left w:type="dxa" w:w="100"/>
              <w:bottom w:type="dxa" w:w="80"/>
              <w:right w:type="dxa" w:w="100"/>
            </w:tcMar>
            <w:vAlign w:val="center"/>
          </w:tcPr>
          <w:p>
            <w:r>
              <w:rPr>
                <w:b/>
                <w:bCs/>
                <w:sz w:val="20"/>
                <w:szCs w:val="20"/>
              </w:rPr>
              <w:t xml:space="preserve">Definition</w:t>
            </w:r>
          </w:p>
        </w:tc>
      </w:tr>
      <w:tr>
        <w:tc>
          <w:tcPr>
            <w:tcW w:type="dxa" w:w="2400"/>
            <w:tcMar>
              <w:top w:type="dxa" w:w="80"/>
              <w:left w:type="dxa" w:w="100"/>
              <w:bottom w:type="dxa" w:w="80"/>
              <w:right w:type="dxa" w:w="100"/>
            </w:tcMar>
            <w:vAlign w:val="center"/>
          </w:tcPr>
          <w:p>
            <w:r>
              <w:rPr>
                <w:b w:val="false"/>
                <w:bCs w:val="false"/>
                <w:sz w:val="20"/>
                <w:szCs w:val="20"/>
              </w:rPr>
              <w:t xml:space="preserve">Client</w:t>
            </w:r>
          </w:p>
        </w:tc>
        <w:tc>
          <w:tcPr>
            <w:tcW w:type="dxa" w:w="6960"/>
            <w:tcMar>
              <w:top w:type="dxa" w:w="80"/>
              <w:left w:type="dxa" w:w="100"/>
              <w:bottom w:type="dxa" w:w="80"/>
              <w:right w:type="dxa" w:w="100"/>
            </w:tcMar>
            <w:vAlign w:val="center"/>
          </w:tcPr>
          <w:p>
            <w:r>
              <w:rPr>
                <w:b w:val="false"/>
                <w:bCs w:val="false"/>
                <w:sz w:val="20"/>
                <w:szCs w:val="20"/>
              </w:rPr>
              <w:t xml:space="preserve">The user-facing application consuming the platform API</w:t>
            </w:r>
          </w:p>
        </w:tc>
      </w:tr>
      <w:tr>
        <w:tc>
          <w:tcPr>
            <w:tcW w:type="dxa" w:w="2400"/>
            <w:tcMar>
              <w:top w:type="dxa" w:w="80"/>
              <w:left w:type="dxa" w:w="100"/>
              <w:bottom w:type="dxa" w:w="80"/>
              <w:right w:type="dxa" w:w="100"/>
            </w:tcMar>
            <w:vAlign w:val="center"/>
          </w:tcPr>
          <w:p>
            <w:r>
              <w:rPr>
                <w:b w:val="false"/>
                <w:bCs w:val="false"/>
                <w:sz w:val="20"/>
                <w:szCs w:val="20"/>
              </w:rPr>
              <w:t xml:space="preserve">Gated feature</w:t>
            </w:r>
          </w:p>
        </w:tc>
        <w:tc>
          <w:tcPr>
            <w:tcW w:type="dxa" w:w="6960"/>
            <w:tcMar>
              <w:top w:type="dxa" w:w="80"/>
              <w:left w:type="dxa" w:w="100"/>
              <w:bottom w:type="dxa" w:w="80"/>
              <w:right w:type="dxa" w:w="100"/>
            </w:tcMar>
            <w:vAlign w:val="center"/>
          </w:tcPr>
          <w:p>
            <w:r>
              <w:rPr>
                <w:b w:val="false"/>
                <w:bCs w:val="false"/>
                <w:sz w:val="20"/>
                <w:szCs w:val="20"/>
              </w:rPr>
              <w:t xml:space="preserve">Functionality requiring an active subscription (bank-linking only, per SRS FR-12.2)</w:t>
            </w:r>
          </w:p>
        </w:tc>
      </w:tr>
      <w:tr>
        <w:tc>
          <w:tcPr>
            <w:tcW w:type="dxa" w:w="2400"/>
            <w:tcMar>
              <w:top w:type="dxa" w:w="80"/>
              <w:left w:type="dxa" w:w="100"/>
              <w:bottom w:type="dxa" w:w="80"/>
              <w:right w:type="dxa" w:w="100"/>
            </w:tcMar>
            <w:vAlign w:val="center"/>
          </w:tcPr>
          <w:p>
            <w:r>
              <w:rPr>
                <w:b w:val="false"/>
                <w:bCs w:val="false"/>
                <w:sz w:val="20"/>
                <w:szCs w:val="20"/>
              </w:rPr>
              <w:t xml:space="preserve">Free feature</w:t>
            </w:r>
          </w:p>
        </w:tc>
        <w:tc>
          <w:tcPr>
            <w:tcW w:type="dxa" w:w="6960"/>
            <w:tcMar>
              <w:top w:type="dxa" w:w="80"/>
              <w:left w:type="dxa" w:w="100"/>
              <w:bottom w:type="dxa" w:w="80"/>
              <w:right w:type="dxa" w:w="100"/>
            </w:tcMar>
            <w:vAlign w:val="center"/>
          </w:tcPr>
          <w:p>
            <w:r>
              <w:rPr>
                <w:b w:val="false"/>
                <w:bCs w:val="false"/>
                <w:sz w:val="20"/>
                <w:szCs w:val="20"/>
              </w:rPr>
              <w:t xml:space="preserve">Functionality available to every registered user without payment (SRS FR-12.1)</w:t>
            </w:r>
          </w:p>
        </w:tc>
      </w:tr>
      <w:tr>
        <w:tc>
          <w:tcPr>
            <w:tcW w:type="dxa" w:w="2400"/>
            <w:tcMar>
              <w:top w:type="dxa" w:w="80"/>
              <w:left w:type="dxa" w:w="100"/>
              <w:bottom w:type="dxa" w:w="80"/>
              <w:right w:type="dxa" w:w="100"/>
            </w:tcMar>
            <w:vAlign w:val="center"/>
          </w:tcPr>
          <w:p>
            <w:r>
              <w:rPr>
                <w:b w:val="false"/>
                <w:bCs w:val="false"/>
                <w:sz w:val="20"/>
                <w:szCs w:val="20"/>
              </w:rPr>
              <w:t xml:space="preserve">Linked account</w:t>
            </w:r>
          </w:p>
        </w:tc>
        <w:tc>
          <w:tcPr>
            <w:tcW w:type="dxa" w:w="6960"/>
            <w:tcMar>
              <w:top w:type="dxa" w:w="80"/>
              <w:left w:type="dxa" w:w="100"/>
              <w:bottom w:type="dxa" w:w="80"/>
              <w:right w:type="dxa" w:w="100"/>
            </w:tcMar>
            <w:vAlign w:val="center"/>
          </w:tcPr>
          <w:p>
            <w:r>
              <w:rPr>
                <w:b w:val="false"/>
                <w:bCs w:val="false"/>
                <w:sz w:val="20"/>
                <w:szCs w:val="20"/>
              </w:rPr>
              <w:t xml:space="preserve">An external bank account connected for read-only monitoring (SRS Section 3.14)</w:t>
            </w:r>
          </w:p>
        </w:tc>
      </w:tr>
      <w:tr>
        <w:tc>
          <w:tcPr>
            <w:tcW w:type="dxa" w:w="2400"/>
            <w:tcMar>
              <w:top w:type="dxa" w:w="80"/>
              <w:left w:type="dxa" w:w="100"/>
              <w:bottom w:type="dxa" w:w="80"/>
              <w:right w:type="dxa" w:w="100"/>
            </w:tcMar>
            <w:vAlign w:val="center"/>
          </w:tcPr>
          <w:p>
            <w:r>
              <w:rPr>
                <w:b w:val="false"/>
                <w:bCs w:val="false"/>
                <w:sz w:val="20"/>
                <w:szCs w:val="20"/>
              </w:rPr>
              <w:t xml:space="preserve">Native currency</w:t>
            </w:r>
          </w:p>
        </w:tc>
        <w:tc>
          <w:tcPr>
            <w:tcW w:type="dxa" w:w="6960"/>
            <w:tcMar>
              <w:top w:type="dxa" w:w="80"/>
              <w:left w:type="dxa" w:w="100"/>
              <w:bottom w:type="dxa" w:w="80"/>
              <w:right w:type="dxa" w:w="100"/>
            </w:tcMar>
            <w:vAlign w:val="center"/>
          </w:tcPr>
          <w:p>
            <w:r>
              <w:rPr>
                <w:b w:val="false"/>
                <w:bCs w:val="false"/>
                <w:sz w:val="20"/>
                <w:szCs w:val="20"/>
              </w:rPr>
              <w:t xml:space="preserve">The currency an account is denominated in (SRS FR-4.4)</w:t>
            </w:r>
          </w:p>
        </w:tc>
      </w:tr>
      <w:tr>
        <w:tc>
          <w:tcPr>
            <w:tcW w:type="dxa" w:w="2400"/>
            <w:tcMar>
              <w:top w:type="dxa" w:w="80"/>
              <w:left w:type="dxa" w:w="100"/>
              <w:bottom w:type="dxa" w:w="80"/>
              <w:right w:type="dxa" w:w="100"/>
            </w:tcMar>
            <w:vAlign w:val="center"/>
          </w:tcPr>
          <w:p>
            <w:r>
              <w:rPr>
                <w:b w:val="false"/>
                <w:bCs w:val="false"/>
                <w:sz w:val="20"/>
                <w:szCs w:val="20"/>
              </w:rPr>
              <w:t xml:space="preserve">Display currency</w:t>
            </w:r>
          </w:p>
        </w:tc>
        <w:tc>
          <w:tcPr>
            <w:tcW w:type="dxa" w:w="6960"/>
            <w:tcMar>
              <w:top w:type="dxa" w:w="80"/>
              <w:left w:type="dxa" w:w="100"/>
              <w:bottom w:type="dxa" w:w="80"/>
              <w:right w:type="dxa" w:w="100"/>
            </w:tcMar>
            <w:vAlign w:val="center"/>
          </w:tcPr>
          <w:p>
            <w:r>
              <w:rPr>
                <w:b w:val="false"/>
                <w:bCs w:val="false"/>
                <w:sz w:val="20"/>
                <w:szCs w:val="20"/>
              </w:rPr>
              <w:t xml:space="preserve">The user's preferred currency for aggregated views (SRS FR-3.1)</w:t>
            </w:r>
          </w:p>
        </w:tc>
      </w:tr>
      <w:tr>
        <w:tc>
          <w:tcPr>
            <w:tcW w:type="dxa" w:w="2400"/>
            <w:tcMar>
              <w:top w:type="dxa" w:w="80"/>
              <w:left w:type="dxa" w:w="100"/>
              <w:bottom w:type="dxa" w:w="80"/>
              <w:right w:type="dxa" w:w="100"/>
            </w:tcMar>
            <w:vAlign w:val="center"/>
          </w:tcPr>
          <w:p>
            <w:r>
              <w:rPr>
                <w:b w:val="false"/>
                <w:bCs w:val="false"/>
                <w:sz w:val="20"/>
                <w:szCs w:val="20"/>
              </w:rPr>
              <w:t xml:space="preserve">Empty state</w:t>
            </w:r>
          </w:p>
        </w:tc>
        <w:tc>
          <w:tcPr>
            <w:tcW w:type="dxa" w:w="6960"/>
            <w:tcMar>
              <w:top w:type="dxa" w:w="80"/>
              <w:left w:type="dxa" w:w="100"/>
              <w:bottom w:type="dxa" w:w="80"/>
              <w:right w:type="dxa" w:w="100"/>
            </w:tcMar>
            <w:vAlign w:val="center"/>
          </w:tcPr>
          <w:p>
            <w:r>
              <w:rPr>
                <w:b w:val="false"/>
                <w:bCs w:val="false"/>
                <w:sz w:val="20"/>
                <w:szCs w:val="20"/>
              </w:rPr>
              <w:t xml:space="preserve">The screen presented when a collection has no records yet</w:t>
            </w:r>
          </w:p>
        </w:tc>
      </w:tr>
    </w:tbl>
    <w:p>
      <w:pPr>
        <w:pStyle w:val="Heading1"/>
        <w:pageBreakBefore/>
        <w:spacing w:after="200"/>
      </w:pPr>
      <w:r>
        <w:t xml:space="preserve">2. Overall Description</w:t>
      </w:r>
    </w:p>
    <w:p>
      <w:pPr>
        <w:pStyle w:val="Heading2"/>
        <w:spacing w:after="120" w:before="300"/>
      </w:pPr>
      <w:r>
        <w:t xml:space="preserve">2.1 Product Perspective</w:t>
      </w:r>
    </w:p>
    <w:p>
      <w:pPr>
        <w:spacing w:after="160"/>
      </w:pPr>
      <w:r>
        <w:t xml:space="preserve">The client is a stateless consumer of the platform's REST API. It holds no independent business logic of record: balances, budgets, conversions, and subscription status are computed and enforced server-side. The client's responsibility is presentation, input capture, validation feedback, and faithful representation of server-declared state — never the substitution of its own.</w:t>
      </w:r>
    </w:p>
    <w:p>
      <w:pPr>
        <w:pStyle w:val="Heading2"/>
        <w:spacing w:after="120" w:before="300"/>
      </w:pPr>
      <w:r>
        <w:t xml:space="preserve">2.2 User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User Class</w:t>
            </w:r>
          </w:p>
        </w:tc>
        <w:tc>
          <w:tcPr>
            <w:tcW w:type="dxa" w:w="6960"/>
            <w:shd w:fill="D9D9D9" w:color="auto" w:val="clear"/>
            <w:tcMar>
              <w:top w:type="dxa" w:w="80"/>
              <w:left w:type="dxa" w:w="100"/>
              <w:bottom w:type="dxa" w:w="80"/>
              <w:right w:type="dxa" w:w="100"/>
            </w:tcMar>
            <w:vAlign w:val="center"/>
          </w:tcPr>
          <w:p>
            <w:r>
              <w:rPr>
                <w:b/>
                <w:bCs/>
                <w:sz w:val="20"/>
                <w:szCs w:val="20"/>
              </w:rPr>
              <w:t xml:space="preserve">Client Surface</w:t>
            </w:r>
          </w:p>
        </w:tc>
      </w:tr>
      <w:tr>
        <w:tc>
          <w:tcPr>
            <w:tcW w:type="dxa" w:w="2400"/>
            <w:tcMar>
              <w:top w:type="dxa" w:w="80"/>
              <w:left w:type="dxa" w:w="100"/>
              <w:bottom w:type="dxa" w:w="80"/>
              <w:right w:type="dxa" w:w="100"/>
            </w:tcMar>
            <w:vAlign w:val="center"/>
          </w:tcPr>
          <w:p>
            <w:r>
              <w:rPr>
                <w:b w:val="false"/>
                <w:bCs w:val="false"/>
                <w:sz w:val="20"/>
                <w:szCs w:val="20"/>
              </w:rPr>
              <w:t xml:space="preserve">Anonymous visitor</w:t>
            </w:r>
          </w:p>
        </w:tc>
        <w:tc>
          <w:tcPr>
            <w:tcW w:type="dxa" w:w="6960"/>
            <w:tcMar>
              <w:top w:type="dxa" w:w="80"/>
              <w:left w:type="dxa" w:w="100"/>
              <w:bottom w:type="dxa" w:w="80"/>
              <w:right w:type="dxa" w:w="100"/>
            </w:tcMar>
            <w:vAlign w:val="center"/>
          </w:tcPr>
          <w:p>
            <w:r>
              <w:rPr>
                <w:b w:val="false"/>
                <w:bCs w:val="false"/>
                <w:sz w:val="20"/>
                <w:szCs w:val="20"/>
              </w:rPr>
              <w:t xml:space="preserve">Public surface: signup, login, password reset, email verification</w:t>
            </w:r>
          </w:p>
        </w:tc>
      </w:tr>
      <w:tr>
        <w:tc>
          <w:tcPr>
            <w:tcW w:type="dxa" w:w="2400"/>
            <w:tcMar>
              <w:top w:type="dxa" w:w="80"/>
              <w:left w:type="dxa" w:w="100"/>
              <w:bottom w:type="dxa" w:w="80"/>
              <w:right w:type="dxa" w:w="100"/>
            </w:tcMar>
            <w:vAlign w:val="center"/>
          </w:tcPr>
          <w:p>
            <w:r>
              <w:rPr>
                <w:b w:val="false"/>
                <w:bCs w:val="false"/>
                <w:sz w:val="20"/>
                <w:szCs w:val="20"/>
              </w:rPr>
              <w:t xml:space="preserve">Free registered user</w:t>
            </w:r>
          </w:p>
        </w:tc>
        <w:tc>
          <w:tcPr>
            <w:tcW w:type="dxa" w:w="6960"/>
            <w:tcMar>
              <w:top w:type="dxa" w:w="80"/>
              <w:left w:type="dxa" w:w="100"/>
              <w:bottom w:type="dxa" w:w="80"/>
              <w:right w:type="dxa" w:w="100"/>
            </w:tcMar>
            <w:vAlign w:val="center"/>
          </w:tcPr>
          <w:p>
            <w:r>
              <w:rPr>
                <w:b w:val="false"/>
                <w:bCs w:val="false"/>
                <w:sz w:val="20"/>
                <w:szCs w:val="20"/>
              </w:rPr>
              <w:t xml:space="preserve">Full manual-tracking application; bank features visible but gated</w:t>
            </w:r>
          </w:p>
        </w:tc>
      </w:tr>
      <w:tr>
        <w:tc>
          <w:tcPr>
            <w:tcW w:type="dxa" w:w="2400"/>
            <w:tcMar>
              <w:top w:type="dxa" w:w="80"/>
              <w:left w:type="dxa" w:w="100"/>
              <w:bottom w:type="dxa" w:w="80"/>
              <w:right w:type="dxa" w:w="100"/>
            </w:tcMar>
            <w:vAlign w:val="center"/>
          </w:tcPr>
          <w:p>
            <w:r>
              <w:rPr>
                <w:b w:val="false"/>
                <w:bCs w:val="false"/>
                <w:sz w:val="20"/>
                <w:szCs w:val="20"/>
              </w:rPr>
              <w:t xml:space="preserve">Subscribed user</w:t>
            </w:r>
          </w:p>
        </w:tc>
        <w:tc>
          <w:tcPr>
            <w:tcW w:type="dxa" w:w="6960"/>
            <w:tcMar>
              <w:top w:type="dxa" w:w="80"/>
              <w:left w:type="dxa" w:w="100"/>
              <w:bottom w:type="dxa" w:w="80"/>
              <w:right w:type="dxa" w:w="100"/>
            </w:tcMar>
            <w:vAlign w:val="center"/>
          </w:tcPr>
          <w:p>
            <w:r>
              <w:rPr>
                <w:b w:val="false"/>
                <w:bCs w:val="false"/>
                <w:sz w:val="20"/>
                <w:szCs w:val="20"/>
              </w:rPr>
              <w:t xml:space="preserve">Full application including bank-linking and Gross Balance</w:t>
            </w:r>
          </w:p>
        </w:tc>
      </w:tr>
      <w:tr>
        <w:tc>
          <w:tcPr>
            <w:tcW w:type="dxa" w:w="2400"/>
            <w:tcMar>
              <w:top w:type="dxa" w:w="80"/>
              <w:left w:type="dxa" w:w="100"/>
              <w:bottom w:type="dxa" w:w="80"/>
              <w:right w:type="dxa" w:w="100"/>
            </w:tcMar>
            <w:vAlign w:val="center"/>
          </w:tcPr>
          <w:p>
            <w:r>
              <w:rPr>
                <w:b w:val="false"/>
                <w:bCs w:val="false"/>
                <w:sz w:val="20"/>
                <w:szCs w:val="20"/>
              </w:rPr>
              <w:t xml:space="preserve">Support agent</w:t>
            </w:r>
          </w:p>
        </w:tc>
        <w:tc>
          <w:tcPr>
            <w:tcW w:type="dxa" w:w="6960"/>
            <w:tcMar>
              <w:top w:type="dxa" w:w="80"/>
              <w:left w:type="dxa" w:w="100"/>
              <w:bottom w:type="dxa" w:w="80"/>
              <w:right w:type="dxa" w:w="100"/>
            </w:tcMar>
            <w:vAlign w:val="center"/>
          </w:tcPr>
          <w:p>
            <w:r>
              <w:rPr>
                <w:b w:val="false"/>
                <w:bCs w:val="false"/>
                <w:sz w:val="20"/>
                <w:szCs w:val="20"/>
              </w:rPr>
              <w:t xml:space="preserve">Internal admin console only (Chapter 9); no access to the consumer client</w:t>
            </w:r>
          </w:p>
        </w:tc>
      </w:tr>
    </w:tbl>
    <w:p>
      <w:pPr>
        <w:spacing w:after="120"/>
      </w:pPr>
    </w:p>
    <w:p>
      <w:pPr>
        <w:pStyle w:val="Heading2"/>
        <w:spacing w:after="120" w:before="300"/>
      </w:pPr>
      <w:r>
        <w:t xml:space="preserve">2.3 Platforms &amp; Devices</w:t>
      </w:r>
    </w:p>
    <w:p>
      <w:pPr>
        <w:pStyle w:val="ListParagraph"/>
        <w:numPr>
          <w:ilvl w:val="0"/>
          <w:numId w:val="1"/>
        </w:numPr>
        <w:spacing w:after="60"/>
      </w:pPr>
      <w:r>
        <w:t xml:space="preserve">Primary: responsive web application, functional from 320px mobile width through desktop</w:t>
      </w:r>
    </w:p>
    <w:p>
      <w:pPr>
        <w:pStyle w:val="ListParagraph"/>
        <w:numPr>
          <w:ilvl w:val="0"/>
          <w:numId w:val="1"/>
        </w:numPr>
        <w:spacing w:after="60"/>
      </w:pPr>
      <w:r>
        <w:t xml:space="preserve">Modern evergreen browsers (current and previous major version of Chrome, Firefox, Safari, Edge)</w:t>
      </w:r>
    </w:p>
    <w:p>
      <w:pPr>
        <w:pStyle w:val="ListParagraph"/>
        <w:numPr>
          <w:ilvl w:val="0"/>
          <w:numId w:val="1"/>
        </w:numPr>
        <w:spacing w:after="60"/>
      </w:pPr>
      <w:r>
        <w:t xml:space="preserve">Touch and pointer input both fully supported; no interaction may require hover alone</w:t>
      </w:r>
    </w:p>
    <w:p>
      <w:pPr>
        <w:pStyle w:val="Heading2"/>
        <w:spacing w:after="120" w:before="300"/>
      </w:pPr>
      <w:r>
        <w:t xml:space="preserve">2.4 Design Principles</w:t>
      </w:r>
    </w:p>
    <w:p>
      <w:pPr>
        <w:spacing w:after="160"/>
      </w:pPr>
      <w:r>
        <w:t xml:space="preserve">These principles derive directly from commitments made in the SRS and are binding, not stylistic preferences:</w:t>
      </w:r>
    </w:p>
    <w:p>
      <w:pPr>
        <w:pStyle w:val="ListParagraph"/>
        <w:numPr>
          <w:ilvl w:val="0"/>
          <w:numId w:val="1"/>
        </w:numPr>
        <w:spacing w:after="60"/>
      </w:pPr>
      <w:r>
        <w:t xml:space="preserve">Financial honesty — never display a computed figure without making its basis available (source currency, exchange rate, as-of date). Derives from SRS FR-14.14, FR-6.5.</w:t>
      </w:r>
    </w:p>
    <w:p>
      <w:pPr>
        <w:pStyle w:val="ListParagraph"/>
        <w:numPr>
          <w:ilvl w:val="0"/>
          <w:numId w:val="1"/>
        </w:numPr>
        <w:spacing w:after="60"/>
      </w:pPr>
      <w:r>
        <w:t xml:space="preserve">No dark patterns — cancellation, unlinking, and deletion must be no harder to reach than the actions that started them. Derives from SRS FR-12.8, FR-14.7, FR-13.3.</w:t>
      </w:r>
    </w:p>
    <w:p>
      <w:pPr>
        <w:pStyle w:val="ListParagraph"/>
        <w:numPr>
          <w:ilvl w:val="0"/>
          <w:numId w:val="1"/>
        </w:numPr>
        <w:spacing w:after="60"/>
      </w:pPr>
      <w:r>
        <w:t xml:space="preserve">Read-only means read-only — bank data surfaces must make the absence of payment capability visually obvious, never ambiguous. Derives from SRS FR-14.9.</w:t>
      </w:r>
    </w:p>
    <w:p>
      <w:pPr>
        <w:pStyle w:val="ListParagraph"/>
        <w:numPr>
          <w:ilvl w:val="0"/>
          <w:numId w:val="1"/>
        </w:numPr>
        <w:spacing w:after="60"/>
      </w:pPr>
      <w:r>
        <w:t xml:space="preserve">Never impersonate a bank — no screen may resemble a financial institution's own login. Derives from SRS NFR-9.7.</w:t>
      </w:r>
    </w:p>
    <w:p>
      <w:pPr>
        <w:pStyle w:val="ListParagraph"/>
        <w:numPr>
          <w:ilvl w:val="0"/>
          <w:numId w:val="1"/>
        </w:numPr>
        <w:spacing w:after="60"/>
      </w:pPr>
      <w:r>
        <w:t xml:space="preserve">Free is genuinely free — gated features must be discoverable but must never obstruct or degrade free functionality. Derives from SRS FR-12.1.</w:t>
      </w:r>
    </w:p>
    <w:p>
      <w:pPr>
        <w:pStyle w:val="Heading2"/>
        <w:spacing w:after="120" w:before="300"/>
      </w:pPr>
      <w:r>
        <w:t xml:space="preserve">2.5 Assumptions &amp; Dependencies</w:t>
      </w:r>
    </w:p>
    <w:p>
      <w:pPr>
        <w:pStyle w:val="ListParagraph"/>
        <w:numPr>
          <w:ilvl w:val="0"/>
          <w:numId w:val="1"/>
        </w:numPr>
        <w:spacing w:after="60"/>
      </w:pPr>
      <w:r>
        <w:t xml:space="preserve">The API exposes every endpoint enumerated in SRS Section 4.2, returning the consistent error schema required by SRS NFR-6.2</w:t>
      </w:r>
    </w:p>
    <w:p>
      <w:pPr>
        <w:pStyle w:val="ListParagraph"/>
        <w:numPr>
          <w:ilvl w:val="0"/>
          <w:numId w:val="1"/>
        </w:numPr>
        <w:spacing w:after="60"/>
      </w:pPr>
      <w:r>
        <w:t xml:space="preserve">Bank-linking authentication occurs in a bank-hosted or provider-hosted flow the client redirects to, never renders itself (SRS FR-14.2)</w:t>
      </w:r>
    </w:p>
    <w:p>
      <w:pPr>
        <w:pStyle w:val="ListParagraph"/>
        <w:numPr>
          <w:ilvl w:val="0"/>
          <w:numId w:val="1"/>
        </w:numPr>
        <w:spacing w:after="60"/>
      </w:pPr>
      <w:r>
        <w:t xml:space="preserve">Payment card entry occurs in a processor-hosted element (e.g., Stripe Elements), never in a form this client controls (SRS FR-12.3)</w:t>
      </w:r>
    </w:p>
    <w:p>
      <w:pPr>
        <w:pStyle w:val="ListParagraph"/>
        <w:numPr>
          <w:ilvl w:val="0"/>
          <w:numId w:val="1"/>
        </w:numPr>
        <w:spacing w:after="60"/>
      </w:pPr>
      <w:r>
        <w:t xml:space="preserve">Subscription status is retrieved from the API as live state, never cached client-side as authoritative (SRS FR-12.9)</w:t>
      </w:r>
    </w:p>
    <w:p>
      <w:pPr>
        <w:pStyle w:val="Heading1"/>
        <w:pageBreakBefore/>
        <w:spacing w:after="200"/>
      </w:pPr>
      <w:r>
        <w:t xml:space="preserve">3. Information Architecture &amp; Navigation</w:t>
      </w:r>
    </w:p>
    <w:p>
      <w:pPr>
        <w:pStyle w:val="Heading2"/>
        <w:spacing w:after="120" w:before="300"/>
      </w:pPr>
      <w:r>
        <w:t xml:space="preserve">3.1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shd w:fill="D9D9D9" w:color="auto" w:val="clear"/>
            <w:tcMar>
              <w:top w:type="dxa" w:w="80"/>
              <w:left w:type="dxa" w:w="100"/>
              <w:bottom w:type="dxa" w:w="80"/>
              <w:right w:type="dxa" w:w="100"/>
            </w:tcMar>
            <w:vAlign w:val="center"/>
          </w:tcPr>
          <w:p>
            <w:r>
              <w:rPr>
                <w:b/>
                <w:bCs/>
                <w:sz w:val="20"/>
                <w:szCs w:val="20"/>
              </w:rPr>
              <w:t xml:space="preserve">Route</w:t>
            </w:r>
          </w:p>
        </w:tc>
        <w:tc>
          <w:tcPr>
            <w:tcW w:type="dxa" w:w="4400"/>
            <w:shd w:fill="D9D9D9" w:color="auto" w:val="clear"/>
            <w:tcMar>
              <w:top w:type="dxa" w:w="80"/>
              <w:left w:type="dxa" w:w="100"/>
              <w:bottom w:type="dxa" w:w="80"/>
              <w:right w:type="dxa" w:w="100"/>
            </w:tcMar>
            <w:vAlign w:val="center"/>
          </w:tcPr>
          <w:p>
            <w:r>
              <w:rPr>
                <w:b/>
                <w:bCs/>
                <w:sz w:val="20"/>
                <w:szCs w:val="20"/>
              </w:rPr>
              <w:t xml:space="preserve">Screen</w:t>
            </w:r>
          </w:p>
        </w:tc>
        <w:tc>
          <w:tcPr>
            <w:tcW w:type="dxa" w:w="2660"/>
            <w:shd w:fill="D9D9D9" w:color="auto" w:val="clear"/>
            <w:tcMar>
              <w:top w:type="dxa" w:w="80"/>
              <w:left w:type="dxa" w:w="100"/>
              <w:bottom w:type="dxa" w:w="80"/>
              <w:right w:type="dxa" w:w="100"/>
            </w:tcMar>
            <w:vAlign w:val="center"/>
          </w:tcPr>
          <w:p>
            <w:r>
              <w:rPr>
                <w:b/>
                <w:bCs/>
                <w:sz w:val="20"/>
                <w:szCs w:val="20"/>
              </w:rPr>
              <w:t xml:space="preserve">Access</w:t>
            </w:r>
          </w:p>
        </w:tc>
      </w:tr>
      <w:tr>
        <w:tc>
          <w:tcPr>
            <w:tcW w:type="dxa" w:w="2300"/>
            <w:tcMar>
              <w:top w:type="dxa" w:w="80"/>
              <w:left w:type="dxa" w:w="100"/>
              <w:bottom w:type="dxa" w:w="80"/>
              <w:right w:type="dxa" w:w="100"/>
            </w:tcMar>
            <w:vAlign w:val="center"/>
          </w:tcPr>
          <w:p>
            <w:r>
              <w:rPr>
                <w:b w:val="false"/>
                <w:bCs w:val="false"/>
                <w:sz w:val="20"/>
                <w:szCs w:val="20"/>
              </w:rPr>
              <w:t xml:space="preserve">/signup</w:t>
            </w:r>
          </w:p>
        </w:tc>
        <w:tc>
          <w:tcPr>
            <w:tcW w:type="dxa" w:w="4400"/>
            <w:tcMar>
              <w:top w:type="dxa" w:w="80"/>
              <w:left w:type="dxa" w:w="100"/>
              <w:bottom w:type="dxa" w:w="80"/>
              <w:right w:type="dxa" w:w="100"/>
            </w:tcMar>
            <w:vAlign w:val="center"/>
          </w:tcPr>
          <w:p>
            <w:r>
              <w:rPr>
                <w:b w:val="false"/>
                <w:bCs w:val="false"/>
                <w:sz w:val="20"/>
                <w:szCs w:val="20"/>
              </w:rPr>
              <w:t xml:space="preserve">Registration</w:t>
            </w:r>
          </w:p>
        </w:tc>
        <w:tc>
          <w:tcPr>
            <w:tcW w:type="dxa" w:w="2660"/>
            <w:tcMar>
              <w:top w:type="dxa" w:w="80"/>
              <w:left w:type="dxa" w:w="100"/>
              <w:bottom w:type="dxa" w:w="80"/>
              <w:right w:type="dxa" w:w="100"/>
            </w:tcMar>
            <w:vAlign w:val="center"/>
          </w:tcPr>
          <w:p>
            <w:r>
              <w:rPr>
                <w:b w:val="false"/>
                <w:bCs w:val="false"/>
                <w:sz w:val="20"/>
                <w:szCs w:val="20"/>
              </w:rPr>
              <w:t xml:space="preserve">Anonymous</w:t>
            </w:r>
          </w:p>
        </w:tc>
      </w:tr>
      <w:tr>
        <w:tc>
          <w:tcPr>
            <w:tcW w:type="dxa" w:w="2300"/>
            <w:tcMar>
              <w:top w:type="dxa" w:w="80"/>
              <w:left w:type="dxa" w:w="100"/>
              <w:bottom w:type="dxa" w:w="80"/>
              <w:right w:type="dxa" w:w="100"/>
            </w:tcMar>
            <w:vAlign w:val="center"/>
          </w:tcPr>
          <w:p>
            <w:r>
              <w:rPr>
                <w:b w:val="false"/>
                <w:bCs w:val="false"/>
                <w:sz w:val="20"/>
                <w:szCs w:val="20"/>
              </w:rPr>
              <w:t xml:space="preserve">/login</w:t>
            </w:r>
          </w:p>
        </w:tc>
        <w:tc>
          <w:tcPr>
            <w:tcW w:type="dxa" w:w="4400"/>
            <w:tcMar>
              <w:top w:type="dxa" w:w="80"/>
              <w:left w:type="dxa" w:w="100"/>
              <w:bottom w:type="dxa" w:w="80"/>
              <w:right w:type="dxa" w:w="100"/>
            </w:tcMar>
            <w:vAlign w:val="center"/>
          </w:tcPr>
          <w:p>
            <w:r>
              <w:rPr>
                <w:b w:val="false"/>
                <w:bCs w:val="false"/>
                <w:sz w:val="20"/>
                <w:szCs w:val="20"/>
              </w:rPr>
              <w:t xml:space="preserve">Login</w:t>
            </w:r>
          </w:p>
        </w:tc>
        <w:tc>
          <w:tcPr>
            <w:tcW w:type="dxa" w:w="2660"/>
            <w:tcMar>
              <w:top w:type="dxa" w:w="80"/>
              <w:left w:type="dxa" w:w="100"/>
              <w:bottom w:type="dxa" w:w="80"/>
              <w:right w:type="dxa" w:w="100"/>
            </w:tcMar>
            <w:vAlign w:val="center"/>
          </w:tcPr>
          <w:p>
            <w:r>
              <w:rPr>
                <w:b w:val="false"/>
                <w:bCs w:val="false"/>
                <w:sz w:val="20"/>
                <w:szCs w:val="20"/>
              </w:rPr>
              <w:t xml:space="preserve">Anonymous</w:t>
            </w:r>
          </w:p>
        </w:tc>
      </w:tr>
      <w:tr>
        <w:tc>
          <w:tcPr>
            <w:tcW w:type="dxa" w:w="2300"/>
            <w:tcMar>
              <w:top w:type="dxa" w:w="80"/>
              <w:left w:type="dxa" w:w="100"/>
              <w:bottom w:type="dxa" w:w="80"/>
              <w:right w:type="dxa" w:w="100"/>
            </w:tcMar>
            <w:vAlign w:val="center"/>
          </w:tcPr>
          <w:p>
            <w:r>
              <w:rPr>
                <w:b w:val="false"/>
                <w:bCs w:val="false"/>
                <w:sz w:val="20"/>
                <w:szCs w:val="20"/>
              </w:rPr>
              <w:t xml:space="preserve">/verify-email</w:t>
            </w:r>
          </w:p>
        </w:tc>
        <w:tc>
          <w:tcPr>
            <w:tcW w:type="dxa" w:w="4400"/>
            <w:tcMar>
              <w:top w:type="dxa" w:w="80"/>
              <w:left w:type="dxa" w:w="100"/>
              <w:bottom w:type="dxa" w:w="80"/>
              <w:right w:type="dxa" w:w="100"/>
            </w:tcMar>
            <w:vAlign w:val="center"/>
          </w:tcPr>
          <w:p>
            <w:r>
              <w:rPr>
                <w:b w:val="false"/>
                <w:bCs w:val="false"/>
                <w:sz w:val="20"/>
                <w:szCs w:val="20"/>
              </w:rPr>
              <w:t xml:space="preserve">Email verification landing</w:t>
            </w:r>
          </w:p>
        </w:tc>
        <w:tc>
          <w:tcPr>
            <w:tcW w:type="dxa" w:w="2660"/>
            <w:tcMar>
              <w:top w:type="dxa" w:w="80"/>
              <w:left w:type="dxa" w:w="100"/>
              <w:bottom w:type="dxa" w:w="80"/>
              <w:right w:type="dxa" w:w="100"/>
            </w:tcMar>
            <w:vAlign w:val="center"/>
          </w:tcPr>
          <w:p>
            <w:r>
              <w:rPr>
                <w:b w:val="false"/>
                <w:bCs w:val="false"/>
                <w:sz w:val="20"/>
                <w:szCs w:val="20"/>
              </w:rPr>
              <w:t xml:space="preserve">Anonymous (tokenized)</w:t>
            </w:r>
          </w:p>
        </w:tc>
      </w:tr>
      <w:tr>
        <w:tc>
          <w:tcPr>
            <w:tcW w:type="dxa" w:w="2300"/>
            <w:tcMar>
              <w:top w:type="dxa" w:w="80"/>
              <w:left w:type="dxa" w:w="100"/>
              <w:bottom w:type="dxa" w:w="80"/>
              <w:right w:type="dxa" w:w="100"/>
            </w:tcMar>
            <w:vAlign w:val="center"/>
          </w:tcPr>
          <w:p>
            <w:r>
              <w:rPr>
                <w:b w:val="false"/>
                <w:bCs w:val="false"/>
                <w:sz w:val="20"/>
                <w:szCs w:val="20"/>
              </w:rPr>
              <w:t xml:space="preserve">/forgot-password</w:t>
            </w:r>
          </w:p>
        </w:tc>
        <w:tc>
          <w:tcPr>
            <w:tcW w:type="dxa" w:w="4400"/>
            <w:tcMar>
              <w:top w:type="dxa" w:w="80"/>
              <w:left w:type="dxa" w:w="100"/>
              <w:bottom w:type="dxa" w:w="80"/>
              <w:right w:type="dxa" w:w="100"/>
            </w:tcMar>
            <w:vAlign w:val="center"/>
          </w:tcPr>
          <w:p>
            <w:r>
              <w:rPr>
                <w:b w:val="false"/>
                <w:bCs w:val="false"/>
                <w:sz w:val="20"/>
                <w:szCs w:val="20"/>
              </w:rPr>
              <w:t xml:space="preserve">Password reset request</w:t>
            </w:r>
          </w:p>
        </w:tc>
        <w:tc>
          <w:tcPr>
            <w:tcW w:type="dxa" w:w="2660"/>
            <w:tcMar>
              <w:top w:type="dxa" w:w="80"/>
              <w:left w:type="dxa" w:w="100"/>
              <w:bottom w:type="dxa" w:w="80"/>
              <w:right w:type="dxa" w:w="100"/>
            </w:tcMar>
            <w:vAlign w:val="center"/>
          </w:tcPr>
          <w:p>
            <w:r>
              <w:rPr>
                <w:b w:val="false"/>
                <w:bCs w:val="false"/>
                <w:sz w:val="20"/>
                <w:szCs w:val="20"/>
              </w:rPr>
              <w:t xml:space="preserve">Anonymous</w:t>
            </w:r>
          </w:p>
        </w:tc>
      </w:tr>
      <w:tr>
        <w:tc>
          <w:tcPr>
            <w:tcW w:type="dxa" w:w="2300"/>
            <w:tcMar>
              <w:top w:type="dxa" w:w="80"/>
              <w:left w:type="dxa" w:w="100"/>
              <w:bottom w:type="dxa" w:w="80"/>
              <w:right w:type="dxa" w:w="100"/>
            </w:tcMar>
            <w:vAlign w:val="center"/>
          </w:tcPr>
          <w:p>
            <w:r>
              <w:rPr>
                <w:b w:val="false"/>
                <w:bCs w:val="false"/>
                <w:sz w:val="20"/>
                <w:szCs w:val="20"/>
              </w:rPr>
              <w:t xml:space="preserve">/reset-password</w:t>
            </w:r>
          </w:p>
        </w:tc>
        <w:tc>
          <w:tcPr>
            <w:tcW w:type="dxa" w:w="4400"/>
            <w:tcMar>
              <w:top w:type="dxa" w:w="80"/>
              <w:left w:type="dxa" w:w="100"/>
              <w:bottom w:type="dxa" w:w="80"/>
              <w:right w:type="dxa" w:w="100"/>
            </w:tcMar>
            <w:vAlign w:val="center"/>
          </w:tcPr>
          <w:p>
            <w:r>
              <w:rPr>
                <w:b w:val="false"/>
                <w:bCs w:val="false"/>
                <w:sz w:val="20"/>
                <w:szCs w:val="20"/>
              </w:rPr>
              <w:t xml:space="preserve">Password reset form</w:t>
            </w:r>
          </w:p>
        </w:tc>
        <w:tc>
          <w:tcPr>
            <w:tcW w:type="dxa" w:w="2660"/>
            <w:tcMar>
              <w:top w:type="dxa" w:w="80"/>
              <w:left w:type="dxa" w:w="100"/>
              <w:bottom w:type="dxa" w:w="80"/>
              <w:right w:type="dxa" w:w="100"/>
            </w:tcMar>
            <w:vAlign w:val="center"/>
          </w:tcPr>
          <w:p>
            <w:r>
              <w:rPr>
                <w:b w:val="false"/>
                <w:bCs w:val="false"/>
                <w:sz w:val="20"/>
                <w:szCs w:val="20"/>
              </w:rPr>
              <w:t xml:space="preserve">Anonymous (tokenized)</w:t>
            </w:r>
          </w:p>
        </w:tc>
      </w:tr>
      <w:tr>
        <w:tc>
          <w:tcPr>
            <w:tcW w:type="dxa" w:w="2300"/>
            <w:tcMar>
              <w:top w:type="dxa" w:w="80"/>
              <w:left w:type="dxa" w:w="100"/>
              <w:bottom w:type="dxa" w:w="80"/>
              <w:right w:type="dxa" w:w="100"/>
            </w:tcMar>
            <w:vAlign w:val="center"/>
          </w:tcPr>
          <w:p>
            <w:r>
              <w:rPr>
                <w:b w:val="false"/>
                <w:bCs w:val="false"/>
                <w:sz w:val="20"/>
                <w:szCs w:val="20"/>
              </w:rPr>
              <w:t xml:space="preserve">/onboarding</w:t>
            </w:r>
          </w:p>
        </w:tc>
        <w:tc>
          <w:tcPr>
            <w:tcW w:type="dxa" w:w="4400"/>
            <w:tcMar>
              <w:top w:type="dxa" w:w="80"/>
              <w:left w:type="dxa" w:w="100"/>
              <w:bottom w:type="dxa" w:w="80"/>
              <w:right w:type="dxa" w:w="100"/>
            </w:tcMar>
            <w:vAlign w:val="center"/>
          </w:tcPr>
          <w:p>
            <w:r>
              <w:rPr>
                <w:b w:val="false"/>
                <w:bCs w:val="false"/>
                <w:sz w:val="20"/>
                <w:szCs w:val="20"/>
              </w:rPr>
              <w:t xml:space="preserve">First-run setup</w:t>
            </w:r>
          </w:p>
        </w:tc>
        <w:tc>
          <w:tcPr>
            <w:tcW w:type="dxa" w:w="2660"/>
            <w:tcMar>
              <w:top w:type="dxa" w:w="80"/>
              <w:left w:type="dxa" w:w="100"/>
              <w:bottom w:type="dxa" w:w="80"/>
              <w:right w:type="dxa" w:w="100"/>
            </w:tcMar>
            <w:vAlign w:val="center"/>
          </w:tcPr>
          <w:p>
            <w:r>
              <w:rPr>
                <w:b w:val="false"/>
                <w:bCs w:val="false"/>
                <w:sz w:val="20"/>
                <w:szCs w:val="20"/>
              </w:rPr>
              <w:t xml:space="preserve">Authenticated, first session</w:t>
            </w:r>
          </w:p>
        </w:tc>
      </w:tr>
      <w:tr>
        <w:tc>
          <w:tcPr>
            <w:tcW w:type="dxa" w:w="2300"/>
            <w:tcMar>
              <w:top w:type="dxa" w:w="80"/>
              <w:left w:type="dxa" w:w="100"/>
              <w:bottom w:type="dxa" w:w="80"/>
              <w:right w:type="dxa" w:w="100"/>
            </w:tcMar>
            <w:vAlign w:val="center"/>
          </w:tcPr>
          <w:p>
            <w:r>
              <w:rPr>
                <w:b w:val="false"/>
                <w:bCs w:val="false"/>
                <w:sz w:val="20"/>
                <w:szCs w:val="20"/>
              </w:rPr>
              <w:t xml:space="preserve">/</w:t>
            </w:r>
          </w:p>
        </w:tc>
        <w:tc>
          <w:tcPr>
            <w:tcW w:type="dxa" w:w="4400"/>
            <w:tcMar>
              <w:top w:type="dxa" w:w="80"/>
              <w:left w:type="dxa" w:w="100"/>
              <w:bottom w:type="dxa" w:w="80"/>
              <w:right w:type="dxa" w:w="100"/>
            </w:tcMar>
            <w:vAlign w:val="center"/>
          </w:tcPr>
          <w:p>
            <w:r>
              <w:rPr>
                <w:b w:val="false"/>
                <w:bCs w:val="false"/>
                <w:sz w:val="20"/>
                <w:szCs w:val="20"/>
              </w:rPr>
              <w:t xml:space="preserve">Dashboard</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/accounts</w:t>
            </w:r>
          </w:p>
        </w:tc>
        <w:tc>
          <w:tcPr>
            <w:tcW w:type="dxa" w:w="4400"/>
            <w:tcMar>
              <w:top w:type="dxa" w:w="80"/>
              <w:left w:type="dxa" w:w="100"/>
              <w:bottom w:type="dxa" w:w="80"/>
              <w:right w:type="dxa" w:w="100"/>
            </w:tcMar>
            <w:vAlign w:val="center"/>
          </w:tcPr>
          <w:p>
            <w:r>
              <w:rPr>
                <w:b w:val="false"/>
                <w:bCs w:val="false"/>
                <w:sz w:val="20"/>
                <w:szCs w:val="20"/>
              </w:rPr>
              <w:t xml:space="preserve">Accounts list / detail / edit</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/categories</w:t>
            </w:r>
          </w:p>
        </w:tc>
        <w:tc>
          <w:tcPr>
            <w:tcW w:type="dxa" w:w="4400"/>
            <w:tcMar>
              <w:top w:type="dxa" w:w="80"/>
              <w:left w:type="dxa" w:w="100"/>
              <w:bottom w:type="dxa" w:w="80"/>
              <w:right w:type="dxa" w:w="100"/>
            </w:tcMar>
            <w:vAlign w:val="center"/>
          </w:tcPr>
          <w:p>
            <w:r>
              <w:rPr>
                <w:b w:val="false"/>
                <w:bCs w:val="false"/>
                <w:sz w:val="20"/>
                <w:szCs w:val="20"/>
              </w:rPr>
              <w:t xml:space="preserve">Categories list / edit</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/transactions</w:t>
            </w:r>
          </w:p>
        </w:tc>
        <w:tc>
          <w:tcPr>
            <w:tcW w:type="dxa" w:w="4400"/>
            <w:tcMar>
              <w:top w:type="dxa" w:w="80"/>
              <w:left w:type="dxa" w:w="100"/>
              <w:bottom w:type="dxa" w:w="80"/>
              <w:right w:type="dxa" w:w="100"/>
            </w:tcMar>
            <w:vAlign w:val="center"/>
          </w:tcPr>
          <w:p>
            <w:r>
              <w:rPr>
                <w:b w:val="false"/>
                <w:bCs w:val="false"/>
                <w:sz w:val="20"/>
                <w:szCs w:val="20"/>
              </w:rPr>
              <w:t xml:space="preserve">Transactions list, entry, import</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/bills</w:t>
            </w:r>
          </w:p>
        </w:tc>
        <w:tc>
          <w:tcPr>
            <w:tcW w:type="dxa" w:w="4400"/>
            <w:tcMar>
              <w:top w:type="dxa" w:w="80"/>
              <w:left w:type="dxa" w:w="100"/>
              <w:bottom w:type="dxa" w:w="80"/>
              <w:right w:type="dxa" w:w="100"/>
            </w:tcMar>
            <w:vAlign w:val="center"/>
          </w:tcPr>
          <w:p>
            <w:r>
              <w:rPr>
                <w:b w:val="false"/>
                <w:bCs w:val="false"/>
                <w:sz w:val="20"/>
                <w:szCs w:val="20"/>
              </w:rPr>
              <w:t xml:space="preserve">Recurring bills</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/goals</w:t>
            </w:r>
          </w:p>
        </w:tc>
        <w:tc>
          <w:tcPr>
            <w:tcW w:type="dxa" w:w="4400"/>
            <w:tcMar>
              <w:top w:type="dxa" w:w="80"/>
              <w:left w:type="dxa" w:w="100"/>
              <w:bottom w:type="dxa" w:w="80"/>
              <w:right w:type="dxa" w:w="100"/>
            </w:tcMar>
            <w:vAlign w:val="center"/>
          </w:tcPr>
          <w:p>
            <w:r>
              <w:rPr>
                <w:b w:val="false"/>
                <w:bCs w:val="false"/>
                <w:sz w:val="20"/>
                <w:szCs w:val="20"/>
              </w:rPr>
              <w:t xml:space="preserve">Savings goals</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/reports</w:t>
            </w:r>
          </w:p>
        </w:tc>
        <w:tc>
          <w:tcPr>
            <w:tcW w:type="dxa" w:w="4400"/>
            <w:tcMar>
              <w:top w:type="dxa" w:w="80"/>
              <w:left w:type="dxa" w:w="100"/>
              <w:bottom w:type="dxa" w:w="80"/>
              <w:right w:type="dxa" w:w="100"/>
            </w:tcMar>
            <w:vAlign w:val="center"/>
          </w:tcPr>
          <w:p>
            <w:r>
              <w:rPr>
                <w:b w:val="false"/>
                <w:bCs w:val="false"/>
                <w:sz w:val="20"/>
                <w:szCs w:val="20"/>
              </w:rPr>
              <w:t xml:space="preserve">Reports suite</w:t>
            </w:r>
          </w:p>
        </w:tc>
        <w:tc>
          <w:tcPr>
            <w:tcW w:type="dxa" w:w="2660"/>
            <w:tcMar>
              <w:top w:type="dxa" w:w="80"/>
              <w:left w:type="dxa" w:w="100"/>
              <w:bottom w:type="dxa" w:w="80"/>
              <w:right w:type="dxa" w:w="100"/>
            </w:tcMar>
            <w:vAlign w:val="center"/>
          </w:tcPr>
          <w:p>
            <w:r>
              <w:rPr>
                <w:b w:val="false"/>
                <w:bCs w:val="false"/>
                <w:sz w:val="20"/>
                <w:szCs w:val="20"/>
              </w:rPr>
              <w:t xml:space="preserve">Authenticated (free)</w:t>
            </w:r>
          </w:p>
        </w:tc>
      </w:tr>
      <w:tr>
        <w:tc>
          <w:tcPr>
            <w:tcW w:type="dxa" w:w="2300"/>
            <w:tcMar>
              <w:top w:type="dxa" w:w="80"/>
              <w:left w:type="dxa" w:w="100"/>
              <w:bottom w:type="dxa" w:w="80"/>
              <w:right w:type="dxa" w:w="100"/>
            </w:tcMar>
            <w:vAlign w:val="center"/>
          </w:tcPr>
          <w:p>
            <w:r>
              <w:rPr>
                <w:b w:val="false"/>
                <w:bCs w:val="false"/>
                <w:sz w:val="20"/>
                <w:szCs w:val="20"/>
              </w:rPr>
              <w:t xml:space="preserve">/banking</w:t>
            </w:r>
          </w:p>
        </w:tc>
        <w:tc>
          <w:tcPr>
            <w:tcW w:type="dxa" w:w="4400"/>
            <w:tcMar>
              <w:top w:type="dxa" w:w="80"/>
              <w:left w:type="dxa" w:w="100"/>
              <w:bottom w:type="dxa" w:w="80"/>
              <w:right w:type="dxa" w:w="100"/>
            </w:tcMar>
            <w:vAlign w:val="center"/>
          </w:tcPr>
          <w:p>
            <w:r>
              <w:rPr>
                <w:b w:val="false"/>
                <w:bCs w:val="false"/>
                <w:sz w:val="20"/>
                <w:szCs w:val="20"/>
              </w:rPr>
              <w:t xml:space="preserve">Linked accounts &amp; Gross Balance</w:t>
            </w:r>
          </w:p>
        </w:tc>
        <w:tc>
          <w:tcPr>
            <w:tcW w:type="dxa" w:w="2660"/>
            <w:tcMar>
              <w:top w:type="dxa" w:w="80"/>
              <w:left w:type="dxa" w:w="100"/>
              <w:bottom w:type="dxa" w:w="80"/>
              <w:right w:type="dxa" w:w="100"/>
            </w:tcMar>
            <w:vAlign w:val="center"/>
          </w:tcPr>
          <w:p>
            <w:r>
              <w:rPr>
                <w:b w:val="false"/>
                <w:bCs w:val="false"/>
                <w:sz w:val="20"/>
                <w:szCs w:val="20"/>
              </w:rPr>
              <w:t xml:space="preserve">Authenticated (subscription-gated)</w:t>
            </w:r>
          </w:p>
        </w:tc>
      </w:tr>
      <w:tr>
        <w:tc>
          <w:tcPr>
            <w:tcW w:type="dxa" w:w="2300"/>
            <w:tcMar>
              <w:top w:type="dxa" w:w="80"/>
              <w:left w:type="dxa" w:w="100"/>
              <w:bottom w:type="dxa" w:w="80"/>
              <w:right w:type="dxa" w:w="100"/>
            </w:tcMar>
            <w:vAlign w:val="center"/>
          </w:tcPr>
          <w:p>
            <w:r>
              <w:rPr>
                <w:b w:val="false"/>
                <w:bCs w:val="false"/>
                <w:sz w:val="20"/>
                <w:szCs w:val="20"/>
              </w:rPr>
              <w:t xml:space="preserve">/banking/link</w:t>
            </w:r>
          </w:p>
        </w:tc>
        <w:tc>
          <w:tcPr>
            <w:tcW w:type="dxa" w:w="4400"/>
            <w:tcMar>
              <w:top w:type="dxa" w:w="80"/>
              <w:left w:type="dxa" w:w="100"/>
              <w:bottom w:type="dxa" w:w="80"/>
              <w:right w:type="dxa" w:w="100"/>
            </w:tcMar>
            <w:vAlign w:val="center"/>
          </w:tcPr>
          <w:p>
            <w:r>
              <w:rPr>
                <w:b w:val="false"/>
                <w:bCs w:val="false"/>
                <w:sz w:val="20"/>
                <w:szCs w:val="20"/>
              </w:rPr>
              <w:t xml:space="preserve">Institution selection &amp; consent</w:t>
            </w:r>
          </w:p>
        </w:tc>
        <w:tc>
          <w:tcPr>
            <w:tcW w:type="dxa" w:w="2660"/>
            <w:tcMar>
              <w:top w:type="dxa" w:w="80"/>
              <w:left w:type="dxa" w:w="100"/>
              <w:bottom w:type="dxa" w:w="80"/>
              <w:right w:type="dxa" w:w="100"/>
            </w:tcMar>
            <w:vAlign w:val="center"/>
          </w:tcPr>
          <w:p>
            <w:r>
              <w:rPr>
                <w:b w:val="false"/>
                <w:bCs w:val="false"/>
                <w:sz w:val="20"/>
                <w:szCs w:val="20"/>
              </w:rPr>
              <w:t xml:space="preserve">Authenticated (subscription-gated)</w:t>
            </w:r>
          </w:p>
        </w:tc>
      </w:tr>
      <w:tr>
        <w:tc>
          <w:tcPr>
            <w:tcW w:type="dxa" w:w="2300"/>
            <w:tcMar>
              <w:top w:type="dxa" w:w="80"/>
              <w:left w:type="dxa" w:w="100"/>
              <w:bottom w:type="dxa" w:w="80"/>
              <w:right w:type="dxa" w:w="100"/>
            </w:tcMar>
            <w:vAlign w:val="center"/>
          </w:tcPr>
          <w:p>
            <w:r>
              <w:rPr>
                <w:b w:val="false"/>
                <w:bCs w:val="false"/>
                <w:sz w:val="20"/>
                <w:szCs w:val="20"/>
              </w:rPr>
              <w:t xml:space="preserve">/subscription</w:t>
            </w:r>
          </w:p>
        </w:tc>
        <w:tc>
          <w:tcPr>
            <w:tcW w:type="dxa" w:w="4400"/>
            <w:tcMar>
              <w:top w:type="dxa" w:w="80"/>
              <w:left w:type="dxa" w:w="100"/>
              <w:bottom w:type="dxa" w:w="80"/>
              <w:right w:type="dxa" w:w="100"/>
            </w:tcMar>
            <w:vAlign w:val="center"/>
          </w:tcPr>
          <w:p>
            <w:r>
              <w:rPr>
                <w:b w:val="false"/>
                <w:bCs w:val="false"/>
                <w:sz w:val="20"/>
                <w:szCs w:val="20"/>
              </w:rPr>
              <w:t xml:space="preserve">Plan, billing history, cancellation</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/settings/profile</w:t>
            </w:r>
          </w:p>
        </w:tc>
        <w:tc>
          <w:tcPr>
            <w:tcW w:type="dxa" w:w="4400"/>
            <w:tcMar>
              <w:top w:type="dxa" w:w="80"/>
              <w:left w:type="dxa" w:w="100"/>
              <w:bottom w:type="dxa" w:w="80"/>
              <w:right w:type="dxa" w:w="100"/>
            </w:tcMar>
            <w:vAlign w:val="center"/>
          </w:tcPr>
          <w:p>
            <w:r>
              <w:rPr>
                <w:b w:val="false"/>
                <w:bCs w:val="false"/>
                <w:sz w:val="20"/>
                <w:szCs w:val="20"/>
              </w:rPr>
              <w:t xml:space="preserve">Profile &amp; preferences</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/settings/notifications</w:t>
            </w:r>
          </w:p>
        </w:tc>
        <w:tc>
          <w:tcPr>
            <w:tcW w:type="dxa" w:w="4400"/>
            <w:tcMar>
              <w:top w:type="dxa" w:w="80"/>
              <w:left w:type="dxa" w:w="100"/>
              <w:bottom w:type="dxa" w:w="80"/>
              <w:right w:type="dxa" w:w="100"/>
            </w:tcMar>
            <w:vAlign w:val="center"/>
          </w:tcPr>
          <w:p>
            <w:r>
              <w:rPr>
                <w:b w:val="false"/>
                <w:bCs w:val="false"/>
                <w:sz w:val="20"/>
                <w:szCs w:val="20"/>
              </w:rPr>
              <w:t xml:space="preserve">Notification preferences</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/settings/security</w:t>
            </w:r>
          </w:p>
        </w:tc>
        <w:tc>
          <w:tcPr>
            <w:tcW w:type="dxa" w:w="4400"/>
            <w:tcMar>
              <w:top w:type="dxa" w:w="80"/>
              <w:left w:type="dxa" w:w="100"/>
              <w:bottom w:type="dxa" w:w="80"/>
              <w:right w:type="dxa" w:w="100"/>
            </w:tcMar>
            <w:vAlign w:val="center"/>
          </w:tcPr>
          <w:p>
            <w:r>
              <w:rPr>
                <w:b w:val="false"/>
                <w:bCs w:val="false"/>
                <w:sz w:val="20"/>
                <w:szCs w:val="20"/>
              </w:rPr>
              <w:t xml:space="preserve">Password, sessions, MFA (Phase 2)</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/settings/data</w:t>
            </w:r>
          </w:p>
        </w:tc>
        <w:tc>
          <w:tcPr>
            <w:tcW w:type="dxa" w:w="4400"/>
            <w:tcMar>
              <w:top w:type="dxa" w:w="80"/>
              <w:left w:type="dxa" w:w="100"/>
              <w:bottom w:type="dxa" w:w="80"/>
              <w:right w:type="dxa" w:w="100"/>
            </w:tcMar>
            <w:vAlign w:val="center"/>
          </w:tcPr>
          <w:p>
            <w:r>
              <w:rPr>
                <w:b w:val="false"/>
                <w:bCs w:val="false"/>
                <w:sz w:val="20"/>
                <w:szCs w:val="20"/>
              </w:rPr>
              <w:t xml:space="preserve">Export &amp; account deletion</w:t>
            </w:r>
          </w:p>
        </w:tc>
        <w:tc>
          <w:tcPr>
            <w:tcW w:type="dxa" w:w="2660"/>
            <w:tcMar>
              <w:top w:type="dxa" w:w="80"/>
              <w:left w:type="dxa" w:w="100"/>
              <w:bottom w:type="dxa" w:w="80"/>
              <w:right w:type="dxa" w:w="100"/>
            </w:tcMar>
            <w:vAlign w:val="center"/>
          </w:tcPr>
          <w:p>
            <w:r>
              <w:rPr>
                <w:b w:val="false"/>
                <w:bCs w:val="false"/>
                <w:sz w:val="20"/>
                <w:szCs w:val="20"/>
              </w:rPr>
              <w:t xml:space="preserve">Authenticated</w:t>
            </w:r>
          </w:p>
        </w:tc>
      </w:tr>
      <w:tr>
        <w:tc>
          <w:tcPr>
            <w:tcW w:type="dxa" w:w="2300"/>
            <w:tcMar>
              <w:top w:type="dxa" w:w="80"/>
              <w:left w:type="dxa" w:w="100"/>
              <w:bottom w:type="dxa" w:w="80"/>
              <w:right w:type="dxa" w:w="100"/>
            </w:tcMar>
            <w:vAlign w:val="center"/>
          </w:tcPr>
          <w:p>
            <w:r>
              <w:rPr>
                <w:b w:val="false"/>
                <w:bCs w:val="false"/>
                <w:sz w:val="20"/>
                <w:szCs w:val="20"/>
              </w:rPr>
              <w:t xml:space="preserve">/admin/*</w:t>
            </w:r>
          </w:p>
        </w:tc>
        <w:tc>
          <w:tcPr>
            <w:tcW w:type="dxa" w:w="4400"/>
            <w:tcMar>
              <w:top w:type="dxa" w:w="80"/>
              <w:left w:type="dxa" w:w="100"/>
              <w:bottom w:type="dxa" w:w="80"/>
              <w:right w:type="dxa" w:w="100"/>
            </w:tcMar>
            <w:vAlign w:val="center"/>
          </w:tcPr>
          <w:p>
            <w:r>
              <w:rPr>
                <w:b w:val="false"/>
                <w:bCs w:val="false"/>
                <w:sz w:val="20"/>
                <w:szCs w:val="20"/>
              </w:rPr>
              <w:t xml:space="preserve">Support console (Chapter 9)</w:t>
            </w:r>
          </w:p>
        </w:tc>
        <w:tc>
          <w:tcPr>
            <w:tcW w:type="dxa" w:w="2660"/>
            <w:tcMar>
              <w:top w:type="dxa" w:w="80"/>
              <w:left w:type="dxa" w:w="100"/>
              <w:bottom w:type="dxa" w:w="80"/>
              <w:right w:type="dxa" w:w="100"/>
            </w:tcMar>
            <w:vAlign w:val="center"/>
          </w:tcPr>
          <w:p>
            <w:r>
              <w:rPr>
                <w:b w:val="false"/>
                <w:bCs w:val="false"/>
                <w:sz w:val="20"/>
                <w:szCs w:val="20"/>
              </w:rPr>
              <w:t xml:space="preserve">Staff only, separate auth</w:t>
            </w:r>
          </w:p>
        </w:tc>
      </w:tr>
    </w:tbl>
    <w:p>
      <w:pPr>
        <w:spacing w:after="120"/>
      </w:pPr>
    </w:p>
    <w:p>
      <w:pPr>
        <w:pStyle w:val="Heading2"/>
        <w:spacing w:after="120" w:before="300"/>
      </w:pPr>
      <w:r>
        <w:t xml:space="preserve">3.2 Navigation Model</w:t>
      </w:r>
    </w:p>
    <w:p>
      <w:pPr>
        <w:pStyle w:val="ListParagraph"/>
        <w:numPr>
          <w:ilvl w:val="0"/>
          <w:numId w:val="1"/>
        </w:numPr>
        <w:spacing w:after="60"/>
      </w:pPr>
      <w:r>
        <w:t xml:space="preserve">Primary navigation exposes: Dashboard, Transactions, Accounts, Reports, Banking, and Settings</w:t>
      </w:r>
    </w:p>
    <w:p>
      <w:pPr>
        <w:pStyle w:val="ListParagraph"/>
        <w:numPr>
          <w:ilvl w:val="0"/>
          <w:numId w:val="1"/>
        </w:numPr>
        <w:spacing w:after="60"/>
      </w:pPr>
      <w:r>
        <w:t xml:space="preserve">Banking appears in primary navigation for all users regardless of subscription status — gating occurs on entry, not by hiding the feature (supports discoverability without obstruction, SRS FR-12.1/12.2)</w:t>
      </w:r>
    </w:p>
    <w:p>
      <w:pPr>
        <w:pStyle w:val="ListParagraph"/>
        <w:numPr>
          <w:ilvl w:val="0"/>
          <w:numId w:val="1"/>
        </w:numPr>
        <w:spacing w:after="60"/>
      </w:pPr>
      <w:r>
        <w:t xml:space="preserve">Destructive or billing-affecting routes (cancel subscription, unlink account, delete account) are reachable within two interactions of Settings, never buried deeper</w:t>
      </w:r>
    </w:p>
    <w:p>
      <w:pPr>
        <w:pStyle w:val="Heading2"/>
        <w:spacing w:after="120" w:before="300"/>
      </w:pPr>
      <w:r>
        <w:t xml:space="preserve">3.3 Authentication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State</w:t>
            </w:r>
          </w:p>
        </w:tc>
        <w:tc>
          <w:tcPr>
            <w:tcW w:type="dxa" w:w="6960"/>
            <w:shd w:fill="D9D9D9" w:color="auto" w:val="clear"/>
            <w:tcMar>
              <w:top w:type="dxa" w:w="80"/>
              <w:left w:type="dxa" w:w="100"/>
              <w:bottom w:type="dxa" w:w="80"/>
              <w:right w:type="dxa" w:w="100"/>
            </w:tcMar>
            <w:vAlign w:val="center"/>
          </w:tcPr>
          <w:p>
            <w:r>
              <w:rPr>
                <w:b/>
                <w:bCs/>
                <w:sz w:val="20"/>
                <w:szCs w:val="20"/>
              </w:rPr>
              <w:t xml:space="preserve">Client Behavior</w:t>
            </w:r>
          </w:p>
        </w:tc>
      </w:tr>
      <w:tr>
        <w:tc>
          <w:tcPr>
            <w:tcW w:type="dxa" w:w="2400"/>
            <w:tcMar>
              <w:top w:type="dxa" w:w="80"/>
              <w:left w:type="dxa" w:w="100"/>
              <w:bottom w:type="dxa" w:w="80"/>
              <w:right w:type="dxa" w:w="100"/>
            </w:tcMar>
            <w:vAlign w:val="center"/>
          </w:tcPr>
          <w:p>
            <w:r>
              <w:rPr>
                <w:b w:val="false"/>
                <w:bCs w:val="false"/>
                <w:sz w:val="20"/>
                <w:szCs w:val="20"/>
              </w:rPr>
              <w:t xml:space="preserve">Unauthenticated</w:t>
            </w:r>
          </w:p>
        </w:tc>
        <w:tc>
          <w:tcPr>
            <w:tcW w:type="dxa" w:w="6960"/>
            <w:tcMar>
              <w:top w:type="dxa" w:w="80"/>
              <w:left w:type="dxa" w:w="100"/>
              <w:bottom w:type="dxa" w:w="80"/>
              <w:right w:type="dxa" w:w="100"/>
            </w:tcMar>
            <w:vAlign w:val="center"/>
          </w:tcPr>
          <w:p>
            <w:r>
              <w:rPr>
                <w:b w:val="false"/>
                <w:bCs w:val="false"/>
                <w:sz w:val="20"/>
                <w:szCs w:val="20"/>
              </w:rPr>
              <w:t xml:space="preserve">Redirect to /login, preserving intended destination for post-login return</w:t>
            </w:r>
          </w:p>
        </w:tc>
      </w:tr>
      <w:tr>
        <w:tc>
          <w:tcPr>
            <w:tcW w:type="dxa" w:w="2400"/>
            <w:tcMar>
              <w:top w:type="dxa" w:w="80"/>
              <w:left w:type="dxa" w:w="100"/>
              <w:bottom w:type="dxa" w:w="80"/>
              <w:right w:type="dxa" w:w="100"/>
            </w:tcMar>
            <w:vAlign w:val="center"/>
          </w:tcPr>
          <w:p>
            <w:r>
              <w:rPr>
                <w:b w:val="false"/>
                <w:bCs w:val="false"/>
                <w:sz w:val="20"/>
                <w:szCs w:val="20"/>
              </w:rPr>
              <w:t xml:space="preserve">Authenticated, unverified email</w:t>
            </w:r>
          </w:p>
        </w:tc>
        <w:tc>
          <w:tcPr>
            <w:tcW w:type="dxa" w:w="6960"/>
            <w:tcMar>
              <w:top w:type="dxa" w:w="80"/>
              <w:left w:type="dxa" w:w="100"/>
              <w:bottom w:type="dxa" w:w="80"/>
              <w:right w:type="dxa" w:w="100"/>
            </w:tcMar>
            <w:vAlign w:val="center"/>
          </w:tcPr>
          <w:p>
            <w:r>
              <w:rPr>
                <w:b w:val="false"/>
                <w:bCs w:val="false"/>
                <w:sz w:val="20"/>
                <w:szCs w:val="20"/>
              </w:rPr>
              <w:t xml:space="preserve">Full app accessible in a restricted mode per SRS FR-2.3; persistent banner offering resend</w:t>
            </w:r>
          </w:p>
        </w:tc>
      </w:tr>
      <w:tr>
        <w:tc>
          <w:tcPr>
            <w:tcW w:type="dxa" w:w="2400"/>
            <w:tcMar>
              <w:top w:type="dxa" w:w="80"/>
              <w:left w:type="dxa" w:w="100"/>
              <w:bottom w:type="dxa" w:w="80"/>
              <w:right w:type="dxa" w:w="100"/>
            </w:tcMar>
            <w:vAlign w:val="center"/>
          </w:tcPr>
          <w:p>
            <w:r>
              <w:rPr>
                <w:b w:val="false"/>
                <w:bCs w:val="false"/>
                <w:sz w:val="20"/>
                <w:szCs w:val="20"/>
              </w:rPr>
              <w:t xml:space="preserve">Authenticated, verified</w:t>
            </w:r>
          </w:p>
        </w:tc>
        <w:tc>
          <w:tcPr>
            <w:tcW w:type="dxa" w:w="6960"/>
            <w:tcMar>
              <w:top w:type="dxa" w:w="80"/>
              <w:left w:type="dxa" w:w="100"/>
              <w:bottom w:type="dxa" w:w="80"/>
              <w:right w:type="dxa" w:w="100"/>
            </w:tcMar>
            <w:vAlign w:val="center"/>
          </w:tcPr>
          <w:p>
            <w:r>
              <w:rPr>
                <w:b w:val="false"/>
                <w:bCs w:val="false"/>
                <w:sz w:val="20"/>
                <w:szCs w:val="20"/>
              </w:rPr>
              <w:t xml:space="preserve">Full free functionality</w:t>
            </w:r>
          </w:p>
        </w:tc>
      </w:tr>
      <w:tr>
        <w:tc>
          <w:tcPr>
            <w:tcW w:type="dxa" w:w="2400"/>
            <w:tcMar>
              <w:top w:type="dxa" w:w="80"/>
              <w:left w:type="dxa" w:w="100"/>
              <w:bottom w:type="dxa" w:w="80"/>
              <w:right w:type="dxa" w:w="100"/>
            </w:tcMar>
            <w:vAlign w:val="center"/>
          </w:tcPr>
          <w:p>
            <w:r>
              <w:rPr>
                <w:b w:val="false"/>
                <w:bCs w:val="false"/>
                <w:sz w:val="20"/>
                <w:szCs w:val="20"/>
              </w:rPr>
              <w:t xml:space="preserve">Access token expired</w:t>
            </w:r>
          </w:p>
        </w:tc>
        <w:tc>
          <w:tcPr>
            <w:tcW w:type="dxa" w:w="6960"/>
            <w:tcMar>
              <w:top w:type="dxa" w:w="80"/>
              <w:left w:type="dxa" w:w="100"/>
              <w:bottom w:type="dxa" w:w="80"/>
              <w:right w:type="dxa" w:w="100"/>
            </w:tcMar>
            <w:vAlign w:val="center"/>
          </w:tcPr>
          <w:p>
            <w:r>
              <w:rPr>
                <w:b w:val="false"/>
                <w:bCs w:val="false"/>
                <w:sz w:val="20"/>
                <w:szCs w:val="20"/>
              </w:rPr>
              <w:t xml:space="preserve">Transparent refresh attempt; only on refresh failure is the user returned to login</w:t>
            </w:r>
          </w:p>
        </w:tc>
      </w:tr>
      <w:tr>
        <w:tc>
          <w:tcPr>
            <w:tcW w:type="dxa" w:w="2400"/>
            <w:tcMar>
              <w:top w:type="dxa" w:w="80"/>
              <w:left w:type="dxa" w:w="100"/>
              <w:bottom w:type="dxa" w:w="80"/>
              <w:right w:type="dxa" w:w="100"/>
            </w:tcMar>
            <w:vAlign w:val="center"/>
          </w:tcPr>
          <w:p>
            <w:r>
              <w:rPr>
                <w:b w:val="false"/>
                <w:bCs w:val="false"/>
                <w:sz w:val="20"/>
                <w:szCs w:val="20"/>
              </w:rPr>
              <w:t xml:space="preserve">Refresh token revoked/expired</w:t>
            </w:r>
          </w:p>
        </w:tc>
        <w:tc>
          <w:tcPr>
            <w:tcW w:type="dxa" w:w="6960"/>
            <w:tcMar>
              <w:top w:type="dxa" w:w="80"/>
              <w:left w:type="dxa" w:w="100"/>
              <w:bottom w:type="dxa" w:w="80"/>
              <w:right w:type="dxa" w:w="100"/>
            </w:tcMar>
            <w:vAlign w:val="center"/>
          </w:tcPr>
          <w:p>
            <w:r>
              <w:rPr>
                <w:b w:val="false"/>
                <w:bCs w:val="false"/>
                <w:sz w:val="20"/>
                <w:szCs w:val="20"/>
              </w:rPr>
              <w:t xml:space="preserve">Immediate local session clear and redirect to login with explanatory message</w:t>
            </w:r>
          </w:p>
        </w:tc>
      </w:tr>
    </w:tbl>
    <w:p>
      <w:pPr>
        <w:pStyle w:val="Heading1"/>
        <w:pageBreakBefore/>
        <w:spacing w:after="200"/>
      </w:pPr>
      <w:r>
        <w:t xml:space="preserve">4. Screen Requirements — Core Application</w:t>
      </w:r>
    </w:p>
    <w:p>
      <w:pPr>
        <w:spacing w:after="160"/>
      </w:pPr>
      <w:r>
        <w:t xml:space="preserve">Frontend requirements are numbered to mirror the SRS module they serve. Every requirement below traces to one or more SRS requirements; the complete mapping is in Appendix A.</w:t>
      </w:r>
    </w:p>
    <w:p>
      <w:pPr>
        <w:pStyle w:val="Heading2"/>
        <w:spacing w:after="120" w:before="300"/>
      </w:pPr>
      <w:r>
        <w:t xml:space="preserve">4.1 Registration &amp; Account Provisioning (SRS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FE-1.1</w:t>
            </w:r>
          </w:p>
        </w:tc>
        <w:tc>
          <w:tcPr>
            <w:tcW w:type="dxa" w:w="6800"/>
            <w:tcMar>
              <w:top w:type="dxa" w:w="80"/>
              <w:left w:type="dxa" w:w="100"/>
              <w:bottom w:type="dxa" w:w="80"/>
              <w:right w:type="dxa" w:w="100"/>
            </w:tcMar>
            <w:vAlign w:val="center"/>
          </w:tcPr>
          <w:p>
            <w:r>
              <w:rPr>
                <w:b w:val="false"/>
                <w:bCs w:val="false"/>
                <w:sz w:val="20"/>
                <w:szCs w:val="20"/>
              </w:rPr>
              <w:t xml:space="preserve">Signup screen shall capture email and password, with inline validation and a clearly stated password policy shown before submission rather than only on failure.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w:t>
            </w:r>
          </w:p>
        </w:tc>
        <w:tc>
          <w:tcPr>
            <w:tcW w:type="dxa" w:w="6800"/>
            <w:tcMar>
              <w:top w:type="dxa" w:w="80"/>
              <w:left w:type="dxa" w:w="100"/>
              <w:bottom w:type="dxa" w:w="80"/>
              <w:right w:type="dxa" w:w="100"/>
            </w:tcMar>
            <w:vAlign w:val="center"/>
          </w:tcPr>
          <w:p>
            <w:r>
              <w:rPr>
                <w:b w:val="false"/>
                <w:bCs w:val="false"/>
                <w:sz w:val="20"/>
                <w:szCs w:val="20"/>
              </w:rPr>
              <w:t xml:space="preserve">Client shall never send, request, or expose any tenant identifier; tenancy is assigned server-side and is invisible to the interface (SRS FR-1.2).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w:t>
            </w:r>
          </w:p>
        </w:tc>
        <w:tc>
          <w:tcPr>
            <w:tcW w:type="dxa" w:w="6800"/>
            <w:tcMar>
              <w:top w:type="dxa" w:w="80"/>
              <w:left w:type="dxa" w:w="100"/>
              <w:bottom w:type="dxa" w:w="80"/>
              <w:right w:type="dxa" w:w="100"/>
            </w:tcMar>
            <w:vAlign w:val="center"/>
          </w:tcPr>
          <w:p>
            <w:r>
              <w:rPr>
                <w:b w:val="false"/>
                <w:bCs w:val="false"/>
                <w:sz w:val="20"/>
                <w:szCs w:val="20"/>
              </w:rPr>
              <w:t xml:space="preserve">Signup shall require explicit acceptance of Terms of Service and Privacy Policy via an unchecked-by-default control, with both documents linked and readable before acceptance (SRS Section 8.2).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w:t>
            </w:r>
          </w:p>
        </w:tc>
        <w:tc>
          <w:tcPr>
            <w:tcW w:type="dxa" w:w="6800"/>
            <w:tcMar>
              <w:top w:type="dxa" w:w="80"/>
              <w:left w:type="dxa" w:w="100"/>
              <w:bottom w:type="dxa" w:w="80"/>
              <w:right w:type="dxa" w:w="100"/>
            </w:tcMar>
            <w:vAlign w:val="center"/>
          </w:tcPr>
          <w:p>
            <w:r>
              <w:rPr>
                <w:b w:val="false"/>
                <w:bCs w:val="false"/>
                <w:sz w:val="20"/>
                <w:szCs w:val="20"/>
              </w:rPr>
              <w:t xml:space="preserve">On successful signup, client shall route to a confirmation state explaining that a verification email has been sent, including a resend control with rate-limit-aware feedback.</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4.2 Authentication (SRS 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FE-2.1</w:t>
            </w:r>
          </w:p>
        </w:tc>
        <w:tc>
          <w:tcPr>
            <w:tcW w:type="dxa" w:w="6800"/>
            <w:tcMar>
              <w:top w:type="dxa" w:w="80"/>
              <w:left w:type="dxa" w:w="100"/>
              <w:bottom w:type="dxa" w:w="80"/>
              <w:right w:type="dxa" w:w="100"/>
            </w:tcMar>
            <w:vAlign w:val="center"/>
          </w:tcPr>
          <w:p>
            <w:r>
              <w:rPr>
                <w:b w:val="false"/>
                <w:bCs w:val="false"/>
                <w:sz w:val="20"/>
                <w:szCs w:val="20"/>
              </w:rPr>
              <w:t xml:space="preserve">Login screen shall accept email and password and surface authentication failures without disclosing whether the email exists.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FE-2.2</w:t>
            </w:r>
          </w:p>
        </w:tc>
        <w:tc>
          <w:tcPr>
            <w:tcW w:type="dxa" w:w="6800"/>
            <w:tcMar>
              <w:top w:type="dxa" w:w="80"/>
              <w:left w:type="dxa" w:w="100"/>
              <w:bottom w:type="dxa" w:w="80"/>
              <w:right w:type="dxa" w:w="100"/>
            </w:tcMar>
            <w:vAlign w:val="center"/>
          </w:tcPr>
          <w:p>
            <w:r>
              <w:rPr>
                <w:b w:val="false"/>
                <w:bCs w:val="false"/>
                <w:sz w:val="20"/>
                <w:szCs w:val="20"/>
              </w:rPr>
              <w:t xml:space="preserve">Client shall store the access token in memory and never in localStorage or sessionStorage; refresh handling shall follow the mechanism defined by the API (SRS NFR-3.2).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FE-2.3</w:t>
            </w:r>
          </w:p>
        </w:tc>
        <w:tc>
          <w:tcPr>
            <w:tcW w:type="dxa" w:w="6800"/>
            <w:tcMar>
              <w:top w:type="dxa" w:w="80"/>
              <w:left w:type="dxa" w:w="100"/>
              <w:bottom w:type="dxa" w:w="80"/>
              <w:right w:type="dxa" w:w="100"/>
            </w:tcMar>
            <w:vAlign w:val="center"/>
          </w:tcPr>
          <w:p>
            <w:r>
              <w:rPr>
                <w:b w:val="false"/>
                <w:bCs w:val="false"/>
                <w:sz w:val="20"/>
                <w:szCs w:val="20"/>
              </w:rPr>
              <w:t xml:space="preserve">Client shall transparently refresh an expired access token and retry the original request once, without surfacing an error to the user for that first failure.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FE-2.4</w:t>
            </w:r>
          </w:p>
        </w:tc>
        <w:tc>
          <w:tcPr>
            <w:tcW w:type="dxa" w:w="6800"/>
            <w:tcMar>
              <w:top w:type="dxa" w:w="80"/>
              <w:left w:type="dxa" w:w="100"/>
              <w:bottom w:type="dxa" w:w="80"/>
              <w:right w:type="dxa" w:w="100"/>
            </w:tcMar>
            <w:vAlign w:val="center"/>
          </w:tcPr>
          <w:p>
            <w:r>
              <w:rPr>
                <w:b w:val="false"/>
                <w:bCs w:val="false"/>
                <w:sz w:val="20"/>
                <w:szCs w:val="20"/>
              </w:rPr>
              <w:t xml:space="preserve">Email verification landing shall handle three distinct outcomes — success, already-verified, and expired/invalid token — each with its own message and a clear next action.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FE-2.5</w:t>
            </w:r>
          </w:p>
        </w:tc>
        <w:tc>
          <w:tcPr>
            <w:tcW w:type="dxa" w:w="6800"/>
            <w:tcMar>
              <w:top w:type="dxa" w:w="80"/>
              <w:left w:type="dxa" w:w="100"/>
              <w:bottom w:type="dxa" w:w="80"/>
              <w:right w:type="dxa" w:w="100"/>
            </w:tcMar>
            <w:vAlign w:val="center"/>
          </w:tcPr>
          <w:p>
            <w:r>
              <w:rPr>
                <w:b w:val="false"/>
                <w:bCs w:val="false"/>
                <w:sz w:val="20"/>
                <w:szCs w:val="20"/>
              </w:rPr>
              <w:t xml:space="preserve">Forgot-password screen shall confirm submission with an identical message regardless of whether the account exists, avoiding account enumeration.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FE-2.6</w:t>
            </w:r>
          </w:p>
        </w:tc>
        <w:tc>
          <w:tcPr>
            <w:tcW w:type="dxa" w:w="6800"/>
            <w:tcMar>
              <w:top w:type="dxa" w:w="80"/>
              <w:left w:type="dxa" w:w="100"/>
              <w:bottom w:type="dxa" w:w="80"/>
              <w:right w:type="dxa" w:w="100"/>
            </w:tcMar>
            <w:vAlign w:val="center"/>
          </w:tcPr>
          <w:p>
            <w:r>
              <w:rPr>
                <w:b w:val="false"/>
                <w:bCs w:val="false"/>
                <w:sz w:val="20"/>
                <w:szCs w:val="20"/>
              </w:rPr>
              <w:t xml:space="preserve">Reset-password screen shall validate the token before presenting the form, and shall handle expired tokens by offering to restart the flow rather than failing on submit.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FE-2.7</w:t>
            </w:r>
          </w:p>
        </w:tc>
        <w:tc>
          <w:tcPr>
            <w:tcW w:type="dxa" w:w="6800"/>
            <w:tcMar>
              <w:top w:type="dxa" w:w="80"/>
              <w:left w:type="dxa" w:w="100"/>
              <w:bottom w:type="dxa" w:w="80"/>
              <w:right w:type="dxa" w:w="100"/>
            </w:tcMar>
            <w:vAlign w:val="center"/>
          </w:tcPr>
          <w:p>
            <w:r>
              <w:rPr>
                <w:b w:val="false"/>
                <w:bCs w:val="false"/>
                <w:sz w:val="20"/>
                <w:szCs w:val="20"/>
              </w:rPr>
              <w:t xml:space="preserve">When the API returns a rate-limit response on auth endpoints, client shall display remaining wait time and disable resubmission until it elapses (SRS FR-2.5, NFR-3.3).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FE-2.8</w:t>
            </w:r>
          </w:p>
        </w:tc>
        <w:tc>
          <w:tcPr>
            <w:tcW w:type="dxa" w:w="6800"/>
            <w:tcMar>
              <w:top w:type="dxa" w:w="80"/>
              <w:left w:type="dxa" w:w="100"/>
              <w:bottom w:type="dxa" w:w="80"/>
              <w:right w:type="dxa" w:w="100"/>
            </w:tcMar>
            <w:vAlign w:val="center"/>
          </w:tcPr>
          <w:p>
            <w:r>
              <w:rPr>
                <w:b w:val="false"/>
                <w:bCs w:val="false"/>
                <w:sz w:val="20"/>
                <w:szCs w:val="20"/>
              </w:rPr>
              <w:t xml:space="preserve">Client shall provide an explicit logout that clears in-memory tokens and any cached tenant data from client state.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FE-2.9</w:t>
            </w:r>
          </w:p>
        </w:tc>
        <w:tc>
          <w:tcPr>
            <w:tcW w:type="dxa" w:w="6800"/>
            <w:tcMar>
              <w:top w:type="dxa" w:w="80"/>
              <w:left w:type="dxa" w:w="100"/>
              <w:bottom w:type="dxa" w:w="80"/>
              <w:right w:type="dxa" w:w="100"/>
            </w:tcMar>
            <w:vAlign w:val="center"/>
          </w:tcPr>
          <w:p>
            <w:r>
              <w:rPr>
                <w:b w:val="false"/>
                <w:bCs w:val="false"/>
                <w:sz w:val="20"/>
                <w:szCs w:val="20"/>
              </w:rPr>
              <w:t xml:space="preserve">Security settings shall support enrolling and managing TOTP multi-factor authentication (SRS FR-2.6).</w:t>
            </w:r>
          </w:p>
        </w:tc>
        <w:tc>
          <w:tcPr>
            <w:tcW w:type="dxa" w:w="1160"/>
            <w:tcMar>
              <w:top w:type="dxa" w:w="80"/>
              <w:left w:type="dxa" w:w="100"/>
              <w:bottom w:type="dxa" w:w="80"/>
              <w:right w:type="dxa" w:w="100"/>
            </w:tcMar>
            <w:vAlign w:val="center"/>
          </w:tcPr>
          <w:p>
            <w:r>
              <w:rPr>
                <w:b w:val="false"/>
                <w:bCs w:val="false"/>
                <w:sz w:val="20"/>
                <w:szCs w:val="20"/>
              </w:rPr>
              <w:t xml:space="preserve">Should — Phase 2</w:t>
            </w:r>
          </w:p>
        </w:tc>
      </w:tr>
      <w:tr>
        <w:tc>
          <w:tcPr>
            <w:tcW w:type="dxa" w:w="1400"/>
            <w:tcMar>
              <w:top w:type="dxa" w:w="80"/>
              <w:left w:type="dxa" w:w="100"/>
              <w:bottom w:type="dxa" w:w="80"/>
              <w:right w:type="dxa" w:w="100"/>
            </w:tcMar>
            <w:vAlign w:val="center"/>
          </w:tcPr>
          <w:p>
            <w:r>
              <w:rPr>
                <w:b w:val="false"/>
                <w:bCs w:val="false"/>
                <w:sz w:val="20"/>
                <w:szCs w:val="20"/>
              </w:rPr>
              <w:t xml:space="preserve">FE-2.10</w:t>
            </w:r>
          </w:p>
        </w:tc>
        <w:tc>
          <w:tcPr>
            <w:tcW w:type="dxa" w:w="6800"/>
            <w:tcMar>
              <w:top w:type="dxa" w:w="80"/>
              <w:left w:type="dxa" w:w="100"/>
              <w:bottom w:type="dxa" w:w="80"/>
              <w:right w:type="dxa" w:w="100"/>
            </w:tcMar>
            <w:vAlign w:val="center"/>
          </w:tcPr>
          <w:p>
            <w:r>
              <w:rPr>
                <w:b w:val="false"/>
                <w:bCs w:val="false"/>
                <w:sz w:val="20"/>
                <w:szCs w:val="20"/>
              </w:rPr>
              <w:t xml:space="preserve">Login and signup shall support SSO providers as an alternative to password entry (SRS FR-2.7).</w:t>
            </w:r>
          </w:p>
        </w:tc>
        <w:tc>
          <w:tcPr>
            <w:tcW w:type="dxa" w:w="1160"/>
            <w:tcMar>
              <w:top w:type="dxa" w:w="80"/>
              <w:left w:type="dxa" w:w="100"/>
              <w:bottom w:type="dxa" w:w="80"/>
              <w:right w:type="dxa" w:w="100"/>
            </w:tcMar>
            <w:vAlign w:val="center"/>
          </w:tcPr>
          <w:p>
            <w:r>
              <w:rPr>
                <w:b w:val="false"/>
                <w:bCs w:val="false"/>
                <w:sz w:val="20"/>
                <w:szCs w:val="20"/>
              </w:rPr>
              <w:t xml:space="preserve">Could — Phase 2</w:t>
            </w:r>
          </w:p>
        </w:tc>
      </w:tr>
    </w:tbl>
    <w:p>
      <w:pPr>
        <w:spacing w:after="120"/>
      </w:pPr>
    </w:p>
    <w:p>
      <w:pPr>
        <w:pStyle w:val="Heading2"/>
        <w:spacing w:after="120" w:before="300"/>
      </w:pPr>
      <w:r>
        <w:t xml:space="preserve">4.3 Profile &amp; Preferences (SRS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FE-3.1</w:t>
            </w:r>
          </w:p>
        </w:tc>
        <w:tc>
          <w:tcPr>
            <w:tcW w:type="dxa" w:w="6800"/>
            <w:tcMar>
              <w:top w:type="dxa" w:w="80"/>
              <w:left w:type="dxa" w:w="100"/>
              <w:bottom w:type="dxa" w:w="80"/>
              <w:right w:type="dxa" w:w="100"/>
            </w:tcMar>
            <w:vAlign w:val="center"/>
          </w:tcPr>
          <w:p>
            <w:r>
              <w:rPr>
                <w:b w:val="false"/>
                <w:bCs w:val="false"/>
                <w:sz w:val="20"/>
                <w:szCs w:val="20"/>
              </w:rPr>
              <w:t xml:space="preserve">Profile screen shall allow viewing and editing name, email, timezone, and preferred display currency (SRS FR-3.1).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FE-3.2</w:t>
            </w:r>
          </w:p>
        </w:tc>
        <w:tc>
          <w:tcPr>
            <w:tcW w:type="dxa" w:w="6800"/>
            <w:tcMar>
              <w:top w:type="dxa" w:w="80"/>
              <w:left w:type="dxa" w:w="100"/>
              <w:bottom w:type="dxa" w:w="80"/>
              <w:right w:type="dxa" w:w="100"/>
            </w:tcMar>
            <w:vAlign w:val="center"/>
          </w:tcPr>
          <w:p>
            <w:r>
              <w:rPr>
                <w:b w:val="false"/>
                <w:bCs w:val="false"/>
                <w:sz w:val="20"/>
                <w:szCs w:val="20"/>
              </w:rPr>
              <w:t xml:space="preserve">Changing preferred display currency shall warn the user that aggregated views will be re-expressed in the new currency, and shall not alter any stored transaction or account native currency.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FE-3.3</w:t>
            </w:r>
          </w:p>
        </w:tc>
        <w:tc>
          <w:tcPr>
            <w:tcW w:type="dxa" w:w="6800"/>
            <w:tcMar>
              <w:top w:type="dxa" w:w="80"/>
              <w:left w:type="dxa" w:w="100"/>
              <w:bottom w:type="dxa" w:w="80"/>
              <w:right w:type="dxa" w:w="100"/>
            </w:tcMar>
            <w:vAlign w:val="center"/>
          </w:tcPr>
          <w:p>
            <w:r>
              <w:rPr>
                <w:b w:val="false"/>
                <w:bCs w:val="false"/>
                <w:sz w:val="20"/>
                <w:szCs w:val="20"/>
              </w:rPr>
              <w:t xml:space="preserve">Email change shall require re-verification and shall clearly state that the current address remains active until the new one is verified.</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FE-3.4</w:t>
            </w:r>
          </w:p>
        </w:tc>
        <w:tc>
          <w:tcPr>
            <w:tcW w:type="dxa" w:w="6800"/>
            <w:tcMar>
              <w:top w:type="dxa" w:w="80"/>
              <w:left w:type="dxa" w:w="100"/>
              <w:bottom w:type="dxa" w:w="80"/>
              <w:right w:type="dxa" w:w="100"/>
            </w:tcMar>
            <w:vAlign w:val="center"/>
          </w:tcPr>
          <w:p>
            <w:r>
              <w:rPr>
                <w:b w:val="false"/>
                <w:bCs w:val="false"/>
                <w:sz w:val="20"/>
                <w:szCs w:val="20"/>
              </w:rPr>
              <w:t xml:space="preserve">Notification preferences screen shall expose per-notification-type email toggles (SRS FR-3.2).</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4.4 Financial Accounts (SRS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FE-4.1</w:t>
            </w:r>
          </w:p>
        </w:tc>
        <w:tc>
          <w:tcPr>
            <w:tcW w:type="dxa" w:w="6800"/>
            <w:tcMar>
              <w:top w:type="dxa" w:w="80"/>
              <w:left w:type="dxa" w:w="100"/>
              <w:bottom w:type="dxa" w:w="80"/>
              <w:right w:type="dxa" w:w="100"/>
            </w:tcMar>
            <w:vAlign w:val="center"/>
          </w:tcPr>
          <w:p>
            <w:r>
              <w:rPr>
                <w:b w:val="false"/>
                <w:bCs w:val="false"/>
                <w:sz w:val="20"/>
                <w:szCs w:val="20"/>
              </w:rPr>
              <w:t xml:space="preserve">Accounts screen shall list all accounts with type, current balance, and native currency, plus an empty state guiding first account creation.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FE-4.2</w:t>
            </w:r>
          </w:p>
        </w:tc>
        <w:tc>
          <w:tcPr>
            <w:tcW w:type="dxa" w:w="6800"/>
            <w:tcMar>
              <w:top w:type="dxa" w:w="80"/>
              <w:left w:type="dxa" w:w="100"/>
              <w:bottom w:type="dxa" w:w="80"/>
              <w:right w:type="dxa" w:w="100"/>
            </w:tcMar>
            <w:vAlign w:val="center"/>
          </w:tcPr>
          <w:p>
            <w:r>
              <w:rPr>
                <w:b w:val="false"/>
                <w:bCs w:val="false"/>
                <w:sz w:val="20"/>
                <w:szCs w:val="20"/>
              </w:rPr>
              <w:t xml:space="preserve">Account creation shall capture type (checking/savings/credit) and native currency, defaulting to the user's preferred currency but freely changeable (SRS FR-4.4).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FE-4.3</w:t>
            </w:r>
          </w:p>
        </w:tc>
        <w:tc>
          <w:tcPr>
            <w:tcW w:type="dxa" w:w="6800"/>
            <w:tcMar>
              <w:top w:type="dxa" w:w="80"/>
              <w:left w:type="dxa" w:w="100"/>
              <w:bottom w:type="dxa" w:w="80"/>
              <w:right w:type="dxa" w:w="100"/>
            </w:tcMar>
            <w:vAlign w:val="center"/>
          </w:tcPr>
          <w:p>
            <w:r>
              <w:rPr>
                <w:b w:val="false"/>
                <w:bCs w:val="false"/>
                <w:sz w:val="20"/>
                <w:szCs w:val="20"/>
              </w:rPr>
              <w:t xml:space="preserve">Native currency shall be presented as fixed after creation, since changing it would invalidate historical balance math; changing currency requires creating a new account.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FE-4.4</w:t>
            </w:r>
          </w:p>
        </w:tc>
        <w:tc>
          <w:tcPr>
            <w:tcW w:type="dxa" w:w="6800"/>
            <w:tcMar>
              <w:top w:type="dxa" w:w="80"/>
              <w:left w:type="dxa" w:w="100"/>
              <w:bottom w:type="dxa" w:w="80"/>
              <w:right w:type="dxa" w:w="100"/>
            </w:tcMar>
            <w:vAlign w:val="center"/>
          </w:tcPr>
          <w:p>
            <w:r>
              <w:rPr>
                <w:b w:val="false"/>
                <w:bCs w:val="false"/>
                <w:sz w:val="20"/>
                <w:szCs w:val="20"/>
              </w:rPr>
              <w:t xml:space="preserve">Account deletion shall require confirmation that names the account and states the effect on its associated transactions.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FE-4.5</w:t>
            </w:r>
          </w:p>
        </w:tc>
        <w:tc>
          <w:tcPr>
            <w:tcW w:type="dxa" w:w="6800"/>
            <w:tcMar>
              <w:top w:type="dxa" w:w="80"/>
              <w:left w:type="dxa" w:w="100"/>
              <w:bottom w:type="dxa" w:w="80"/>
              <w:right w:type="dxa" w:w="100"/>
            </w:tcMar>
            <w:vAlign w:val="center"/>
          </w:tcPr>
          <w:p>
            <w:r>
              <w:rPr>
                <w:b w:val="false"/>
                <w:bCs w:val="false"/>
                <w:sz w:val="20"/>
                <w:szCs w:val="20"/>
              </w:rPr>
              <w:t xml:space="preserve">Account balances shall always display with an explicit currency indicator, never a bare number or an assumed symbol.</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4.5 Categories (SRS 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FE-5.1</w:t>
            </w:r>
          </w:p>
        </w:tc>
        <w:tc>
          <w:tcPr>
            <w:tcW w:type="dxa" w:w="6800"/>
            <w:tcMar>
              <w:top w:type="dxa" w:w="80"/>
              <w:left w:type="dxa" w:w="100"/>
              <w:bottom w:type="dxa" w:w="80"/>
              <w:right w:type="dxa" w:w="100"/>
            </w:tcMar>
            <w:vAlign w:val="center"/>
          </w:tcPr>
          <w:p>
            <w:r>
              <w:rPr>
                <w:b w:val="false"/>
                <w:bCs w:val="false"/>
                <w:sz w:val="20"/>
                <w:szCs w:val="20"/>
              </w:rPr>
              <w:t xml:space="preserve">Categories screen shall list categories with optional monthly limit and current-period spend against that limit.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FE-5.2</w:t>
            </w:r>
          </w:p>
        </w:tc>
        <w:tc>
          <w:tcPr>
            <w:tcW w:type="dxa" w:w="6800"/>
            <w:tcMar>
              <w:top w:type="dxa" w:w="80"/>
              <w:left w:type="dxa" w:w="100"/>
              <w:bottom w:type="dxa" w:w="80"/>
              <w:right w:type="dxa" w:w="100"/>
            </w:tcMar>
            <w:vAlign w:val="center"/>
          </w:tcPr>
          <w:p>
            <w:r>
              <w:rPr>
                <w:b w:val="false"/>
                <w:bCs w:val="false"/>
                <w:sz w:val="20"/>
                <w:szCs w:val="20"/>
              </w:rPr>
              <w:t xml:space="preserve">Category creation/edit shall allow setting or clearing a monthly limit, with limit expressed in the user's display currency.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FE-5.3</w:t>
            </w:r>
          </w:p>
        </w:tc>
        <w:tc>
          <w:tcPr>
            <w:tcW w:type="dxa" w:w="6800"/>
            <w:tcMar>
              <w:top w:type="dxa" w:w="80"/>
              <w:left w:type="dxa" w:w="100"/>
              <w:bottom w:type="dxa" w:w="80"/>
              <w:right w:type="dxa" w:w="100"/>
            </w:tcMar>
            <w:vAlign w:val="center"/>
          </w:tcPr>
          <w:p>
            <w:r>
              <w:rPr>
                <w:b w:val="false"/>
                <w:bCs w:val="false"/>
                <w:sz w:val="20"/>
                <w:szCs w:val="20"/>
              </w:rPr>
              <w:t xml:space="preserve">Client shall present the default starter categories after signup as editable and removable, never as fixed system values (SRS FR-5.3).</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FE-5.4</w:t>
            </w:r>
          </w:p>
        </w:tc>
        <w:tc>
          <w:tcPr>
            <w:tcW w:type="dxa" w:w="6800"/>
            <w:tcMar>
              <w:top w:type="dxa" w:w="80"/>
              <w:left w:type="dxa" w:w="100"/>
              <w:bottom w:type="dxa" w:w="80"/>
              <w:right w:type="dxa" w:w="100"/>
            </w:tcMar>
            <w:vAlign w:val="center"/>
          </w:tcPr>
          <w:p>
            <w:r>
              <w:rPr>
                <w:b w:val="false"/>
                <w:bCs w:val="false"/>
                <w:sz w:val="20"/>
                <w:szCs w:val="20"/>
              </w:rPr>
              <w:t xml:space="preserve">Deleting a category in use shall state how many transactions reference it and require explicit confirmation.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4.6 Transactions (SRS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FE-6.1</w:t>
            </w:r>
          </w:p>
        </w:tc>
        <w:tc>
          <w:tcPr>
            <w:tcW w:type="dxa" w:w="6800"/>
            <w:tcMar>
              <w:top w:type="dxa" w:w="80"/>
              <w:left w:type="dxa" w:w="100"/>
              <w:bottom w:type="dxa" w:w="80"/>
              <w:right w:type="dxa" w:w="100"/>
            </w:tcMar>
            <w:vAlign w:val="center"/>
          </w:tcPr>
          <w:p>
            <w:r>
              <w:rPr>
                <w:b w:val="false"/>
                <w:bCs w:val="false"/>
                <w:sz w:val="20"/>
                <w:szCs w:val="20"/>
              </w:rPr>
              <w:t xml:space="preserve">Transaction entry shall capture amount, currency, type, category, account, date, and note, with currency presented as an explicit user selection — never silently inherited or hidden (SRS FR-6.1).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FE-6.2</w:t>
            </w:r>
          </w:p>
        </w:tc>
        <w:tc>
          <w:tcPr>
            <w:tcW w:type="dxa" w:w="6800"/>
            <w:tcMar>
              <w:top w:type="dxa" w:w="80"/>
              <w:left w:type="dxa" w:w="100"/>
              <w:bottom w:type="dxa" w:w="80"/>
              <w:right w:type="dxa" w:w="100"/>
            </w:tcMar>
            <w:vAlign w:val="center"/>
          </w:tcPr>
          <w:p>
            <w:r>
              <w:rPr>
                <w:b w:val="false"/>
                <w:bCs w:val="false"/>
                <w:sz w:val="20"/>
                <w:szCs w:val="20"/>
              </w:rPr>
              <w:t xml:space="preserve">Transaction currency shall default to the selected account's native currency as a convenience, while remaining visibly and freely changeable.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FE-6.3</w:t>
            </w:r>
          </w:p>
        </w:tc>
        <w:tc>
          <w:tcPr>
            <w:tcW w:type="dxa" w:w="6800"/>
            <w:tcMar>
              <w:top w:type="dxa" w:w="80"/>
              <w:left w:type="dxa" w:w="100"/>
              <w:bottom w:type="dxa" w:w="80"/>
              <w:right w:type="dxa" w:w="100"/>
            </w:tcMar>
            <w:vAlign w:val="center"/>
          </w:tcPr>
          <w:p>
            <w:r>
              <w:rPr>
                <w:b w:val="false"/>
                <w:bCs w:val="false"/>
                <w:sz w:val="20"/>
                <w:szCs w:val="20"/>
              </w:rPr>
              <w:t xml:space="preserve">When the selected transaction currency differs from the account's native currency, the client shall display the converted amount, the exchange rate applied, and the rate's as-of date before submission is confirmed (SRS FR-6.2, FR-6.5).</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FE-6.4</w:t>
            </w:r>
          </w:p>
        </w:tc>
        <w:tc>
          <w:tcPr>
            <w:tcW w:type="dxa" w:w="6800"/>
            <w:tcMar>
              <w:top w:type="dxa" w:w="80"/>
              <w:left w:type="dxa" w:w="100"/>
              <w:bottom w:type="dxa" w:w="80"/>
              <w:right w:type="dxa" w:w="100"/>
            </w:tcMar>
            <w:vAlign w:val="center"/>
          </w:tcPr>
          <w:p>
            <w:r>
              <w:rPr>
                <w:b w:val="false"/>
                <w:bCs w:val="false"/>
                <w:sz w:val="20"/>
                <w:szCs w:val="20"/>
              </w:rPr>
              <w:t xml:space="preserve">Transaction list shall display each transaction in its originally entered currency, with the converted account-currency amount shown alongside wherever the two differ (SRS FR-6.5).</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FE-6.5</w:t>
            </w:r>
          </w:p>
        </w:tc>
        <w:tc>
          <w:tcPr>
            <w:tcW w:type="dxa" w:w="6800"/>
            <w:tcMar>
              <w:top w:type="dxa" w:w="80"/>
              <w:left w:type="dxa" w:w="100"/>
              <w:bottom w:type="dxa" w:w="80"/>
              <w:right w:type="dxa" w:w="100"/>
            </w:tcMar>
            <w:vAlign w:val="center"/>
          </w:tcPr>
          <w:p>
            <w:r>
              <w:rPr>
                <w:b w:val="false"/>
                <w:bCs w:val="false"/>
                <w:sz w:val="20"/>
                <w:szCs w:val="20"/>
              </w:rPr>
              <w:t xml:space="preserve">Transaction list shall support pagination and filtering by date range, category, and account, with active filters visibly indicated and individually clearable (SRS FR-6.3).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FE-6.6</w:t>
            </w:r>
          </w:p>
        </w:tc>
        <w:tc>
          <w:tcPr>
            <w:tcW w:type="dxa" w:w="6800"/>
            <w:tcMar>
              <w:top w:type="dxa" w:w="80"/>
              <w:left w:type="dxa" w:w="100"/>
              <w:bottom w:type="dxa" w:w="80"/>
              <w:right w:type="dxa" w:w="100"/>
            </w:tcMar>
            <w:vAlign w:val="center"/>
          </w:tcPr>
          <w:p>
            <w:r>
              <w:rPr>
                <w:b w:val="false"/>
                <w:bCs w:val="false"/>
                <w:sz w:val="20"/>
                <w:szCs w:val="20"/>
              </w:rPr>
              <w:t xml:space="preserve">CSV import shall provide column mapping, a pre-import preview of parsed rows, per-row validation errors, and a summary of accepted versus rejected rows (SRS FR-6.4).</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FE-6.7</w:t>
            </w:r>
          </w:p>
        </w:tc>
        <w:tc>
          <w:tcPr>
            <w:tcW w:type="dxa" w:w="6800"/>
            <w:tcMar>
              <w:top w:type="dxa" w:w="80"/>
              <w:left w:type="dxa" w:w="100"/>
              <w:bottom w:type="dxa" w:w="80"/>
              <w:right w:type="dxa" w:w="100"/>
            </w:tcMar>
            <w:vAlign w:val="center"/>
          </w:tcPr>
          <w:p>
            <w:r>
              <w:rPr>
                <w:b w:val="false"/>
                <w:bCs w:val="false"/>
                <w:sz w:val="20"/>
                <w:szCs w:val="20"/>
              </w:rPr>
              <w:t xml:space="preserve">Editing or deleting a transaction shall indicate that the associated account balance will change accordingly, so the effect is never a surprise.</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4.7 Recurring Bills (SRS 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FE-7.1</w:t>
            </w:r>
          </w:p>
        </w:tc>
        <w:tc>
          <w:tcPr>
            <w:tcW w:type="dxa" w:w="6800"/>
            <w:tcMar>
              <w:top w:type="dxa" w:w="80"/>
              <w:left w:type="dxa" w:w="100"/>
              <w:bottom w:type="dxa" w:w="80"/>
              <w:right w:type="dxa" w:w="100"/>
            </w:tcMar>
            <w:vAlign w:val="center"/>
          </w:tcPr>
          <w:p>
            <w:r>
              <w:rPr>
                <w:b w:val="false"/>
                <w:bCs w:val="false"/>
                <w:sz w:val="20"/>
                <w:szCs w:val="20"/>
              </w:rPr>
              <w:t xml:space="preserve">Bills screen shall list recurring bills with amount, category, account, frequency, and next due date.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FE-7.2</w:t>
            </w:r>
          </w:p>
        </w:tc>
        <w:tc>
          <w:tcPr>
            <w:tcW w:type="dxa" w:w="6800"/>
            <w:tcMar>
              <w:top w:type="dxa" w:w="80"/>
              <w:left w:type="dxa" w:w="100"/>
              <w:bottom w:type="dxa" w:w="80"/>
              <w:right w:type="dxa" w:w="100"/>
            </w:tcMar>
            <w:vAlign w:val="center"/>
          </w:tcPr>
          <w:p>
            <w:r>
              <w:rPr>
                <w:b w:val="false"/>
                <w:bCs w:val="false"/>
                <w:sz w:val="20"/>
                <w:szCs w:val="20"/>
              </w:rPr>
              <w:t xml:space="preserve">Bill creation shall capture amount, currency, category, account, frequency, and due day, with a plain-language restatement of the schedule shown before saving.</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FE-7.3</w:t>
            </w:r>
          </w:p>
        </w:tc>
        <w:tc>
          <w:tcPr>
            <w:tcW w:type="dxa" w:w="6800"/>
            <w:tcMar>
              <w:top w:type="dxa" w:w="80"/>
              <w:left w:type="dxa" w:w="100"/>
              <w:bottom w:type="dxa" w:w="80"/>
              <w:right w:type="dxa" w:w="100"/>
            </w:tcMar>
            <w:vAlign w:val="center"/>
          </w:tcPr>
          <w:p>
            <w:r>
              <w:rPr>
                <w:b w:val="false"/>
                <w:bCs w:val="false"/>
                <w:sz w:val="20"/>
                <w:szCs w:val="20"/>
              </w:rPr>
              <w:t xml:space="preserve">Transactions auto-generated from a recurring bill shall be visually distinguishable from manually entered ones in the transaction list (SRS FR-7.2).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FE-7.4</w:t>
            </w:r>
          </w:p>
        </w:tc>
        <w:tc>
          <w:tcPr>
            <w:tcW w:type="dxa" w:w="6800"/>
            <w:tcMar>
              <w:top w:type="dxa" w:w="80"/>
              <w:left w:type="dxa" w:w="100"/>
              <w:bottom w:type="dxa" w:w="80"/>
              <w:right w:type="dxa" w:w="100"/>
            </w:tcMar>
            <w:vAlign w:val="center"/>
          </w:tcPr>
          <w:p>
            <w:r>
              <w:rPr>
                <w:b w:val="false"/>
                <w:bCs w:val="false"/>
                <w:sz w:val="20"/>
                <w:szCs w:val="20"/>
              </w:rPr>
              <w:t xml:space="preserve">Client shall surface overdue and recently generated bill notifications in-app, complementing email delivery (SRS FR-7.3).</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4.8 Savings Goals (SRS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FE-8.1</w:t>
            </w:r>
          </w:p>
        </w:tc>
        <w:tc>
          <w:tcPr>
            <w:tcW w:type="dxa" w:w="6800"/>
            <w:tcMar>
              <w:top w:type="dxa" w:w="80"/>
              <w:left w:type="dxa" w:w="100"/>
              <w:bottom w:type="dxa" w:w="80"/>
              <w:right w:type="dxa" w:w="100"/>
            </w:tcMar>
            <w:vAlign w:val="center"/>
          </w:tcPr>
          <w:p>
            <w:r>
              <w:rPr>
                <w:b w:val="false"/>
                <w:bCs w:val="false"/>
                <w:sz w:val="20"/>
                <w:szCs w:val="20"/>
              </w:rPr>
              <w:t xml:space="preserve">Goals screen shall list each goal with target amount, optional target date, current progress, and a proportional progress indicator.</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FE-8.2</w:t>
            </w:r>
          </w:p>
        </w:tc>
        <w:tc>
          <w:tcPr>
            <w:tcW w:type="dxa" w:w="6800"/>
            <w:tcMar>
              <w:top w:type="dxa" w:w="80"/>
              <w:left w:type="dxa" w:w="100"/>
              <w:bottom w:type="dxa" w:w="80"/>
              <w:right w:type="dxa" w:w="100"/>
            </w:tcMar>
            <w:vAlign w:val="center"/>
          </w:tcPr>
          <w:p>
            <w:r>
              <w:rPr>
                <w:b w:val="false"/>
                <w:bCs w:val="false"/>
                <w:sz w:val="20"/>
                <w:szCs w:val="20"/>
              </w:rPr>
              <w:t xml:space="preserve">Goal detail shall show progress derived from linked account/transaction activity, with the derivation basis stated rather than presented as an unexplained figure (SRS FR-8.2).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FE-8.3</w:t>
            </w:r>
          </w:p>
        </w:tc>
        <w:tc>
          <w:tcPr>
            <w:tcW w:type="dxa" w:w="6800"/>
            <w:tcMar>
              <w:top w:type="dxa" w:w="80"/>
              <w:left w:type="dxa" w:w="100"/>
              <w:bottom w:type="dxa" w:w="80"/>
              <w:right w:type="dxa" w:w="100"/>
            </w:tcMar>
            <w:vAlign w:val="center"/>
          </w:tcPr>
          <w:p>
            <w:r>
              <w:rPr>
                <w:b w:val="false"/>
                <w:bCs w:val="false"/>
                <w:sz w:val="20"/>
                <w:szCs w:val="20"/>
              </w:rPr>
              <w:t xml:space="preserve">Goals with a target date shall indicate whether current progress is ahead of, on, or behind the pace required, without prescriptive or pressuring language.</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4.9 Reports (SRS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FE-9.1</w:t>
            </w:r>
          </w:p>
        </w:tc>
        <w:tc>
          <w:tcPr>
            <w:tcW w:type="dxa" w:w="6800"/>
            <w:tcMar>
              <w:top w:type="dxa" w:w="80"/>
              <w:left w:type="dxa" w:w="100"/>
              <w:bottom w:type="dxa" w:w="80"/>
              <w:right w:type="dxa" w:w="100"/>
            </w:tcMar>
            <w:vAlign w:val="center"/>
          </w:tcPr>
          <w:p>
            <w:r>
              <w:rPr>
                <w:b w:val="false"/>
                <w:bCs w:val="false"/>
                <w:sz w:val="20"/>
                <w:szCs w:val="20"/>
              </w:rPr>
              <w:t xml:space="preserve">Spending-by-category report shall render for a user-selected date range, with budget-versus-actual comparison where a category limit exists (SRS FR-9.1).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FE-9.2</w:t>
            </w:r>
          </w:p>
        </w:tc>
        <w:tc>
          <w:tcPr>
            <w:tcW w:type="dxa" w:w="6800"/>
            <w:tcMar>
              <w:top w:type="dxa" w:w="80"/>
              <w:left w:type="dxa" w:w="100"/>
              <w:bottom w:type="dxa" w:w="80"/>
              <w:right w:type="dxa" w:w="100"/>
            </w:tcMar>
            <w:vAlign w:val="center"/>
          </w:tcPr>
          <w:p>
            <w:r>
              <w:rPr>
                <w:b w:val="false"/>
                <w:bCs w:val="false"/>
                <w:sz w:val="20"/>
                <w:szCs w:val="20"/>
              </w:rPr>
              <w:t xml:space="preserve">Income-versus-expense report shall present period totals and the resulting net figure (SRS FR-9.2).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FE-9.3</w:t>
            </w:r>
          </w:p>
        </w:tc>
        <w:tc>
          <w:tcPr>
            <w:tcW w:type="dxa" w:w="6800"/>
            <w:tcMar>
              <w:top w:type="dxa" w:w="80"/>
              <w:left w:type="dxa" w:w="100"/>
              <w:bottom w:type="dxa" w:w="80"/>
              <w:right w:type="dxa" w:w="100"/>
            </w:tcMar>
            <w:vAlign w:val="center"/>
          </w:tcPr>
          <w:p>
            <w:r>
              <w:rPr>
                <w:b w:val="false"/>
                <w:bCs w:val="false"/>
                <w:sz w:val="20"/>
                <w:szCs w:val="20"/>
              </w:rPr>
              <w:t xml:space="preserve">Net-worth view shall aggregate across all accounts, converting to display currency and disclosing the conversion basis (SRS FR-9.3, FR-14.14).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FE-9.4</w:t>
            </w:r>
          </w:p>
        </w:tc>
        <w:tc>
          <w:tcPr>
            <w:tcW w:type="dxa" w:w="6800"/>
            <w:tcMar>
              <w:top w:type="dxa" w:w="80"/>
              <w:left w:type="dxa" w:w="100"/>
              <w:bottom w:type="dxa" w:w="80"/>
              <w:right w:type="dxa" w:w="100"/>
            </w:tcMar>
            <w:vAlign w:val="center"/>
          </w:tcPr>
          <w:p>
            <w:r>
              <w:rPr>
                <w:b w:val="false"/>
                <w:bCs w:val="false"/>
                <w:sz w:val="20"/>
                <w:szCs w:val="20"/>
              </w:rPr>
              <w:t xml:space="preserve">All reports shall present a loading state for aggregation queries and shall remain responsive during retrieval, consistent with the performance envelope in SRS NFR-1.2.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FE-9.5</w:t>
            </w:r>
          </w:p>
        </w:tc>
        <w:tc>
          <w:tcPr>
            <w:tcW w:type="dxa" w:w="6800"/>
            <w:tcMar>
              <w:top w:type="dxa" w:w="80"/>
              <w:left w:type="dxa" w:w="100"/>
              <w:bottom w:type="dxa" w:w="80"/>
              <w:right w:type="dxa" w:w="100"/>
            </w:tcMar>
            <w:vAlign w:val="center"/>
          </w:tcPr>
          <w:p>
            <w:r>
              <w:rPr>
                <w:b w:val="false"/>
                <w:bCs w:val="false"/>
                <w:sz w:val="20"/>
                <w:szCs w:val="20"/>
              </w:rPr>
              <w:t xml:space="preserve">Reports shall provide an empty state distinguishing 'no data in this period' from 'no data at all', since the appropriate user action differs.</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4.10 Notifications (SRS 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FE-10.1</w:t>
            </w:r>
          </w:p>
        </w:tc>
        <w:tc>
          <w:tcPr>
            <w:tcW w:type="dxa" w:w="6800"/>
            <w:tcMar>
              <w:top w:type="dxa" w:w="80"/>
              <w:left w:type="dxa" w:w="100"/>
              <w:bottom w:type="dxa" w:w="80"/>
              <w:right w:type="dxa" w:w="100"/>
            </w:tcMar>
            <w:vAlign w:val="center"/>
          </w:tcPr>
          <w:p>
            <w:r>
              <w:rPr>
                <w:b w:val="false"/>
                <w:bCs w:val="false"/>
                <w:sz w:val="20"/>
                <w:szCs w:val="20"/>
              </w:rPr>
              <w:t xml:space="preserve">Client shall present an in-app notification surface for events also delivered by email (verification prompts, bill reminders, payment failures), so email is never the sole channel (SRS FR-10.1).</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FE-10.2</w:t>
            </w:r>
          </w:p>
        </w:tc>
        <w:tc>
          <w:tcPr>
            <w:tcW w:type="dxa" w:w="6800"/>
            <w:tcMar>
              <w:top w:type="dxa" w:w="80"/>
              <w:left w:type="dxa" w:w="100"/>
              <w:bottom w:type="dxa" w:w="80"/>
              <w:right w:type="dxa" w:w="100"/>
            </w:tcMar>
            <w:vAlign w:val="center"/>
          </w:tcPr>
          <w:p>
            <w:r>
              <w:rPr>
                <w:b w:val="false"/>
                <w:bCs w:val="false"/>
                <w:sz w:val="20"/>
                <w:szCs w:val="20"/>
              </w:rPr>
              <w:t xml:space="preserve">Notification preferences shall be reachable directly from any in-app notification surface.</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pStyle w:val="Heading1"/>
        <w:pageBreakBefore/>
        <w:spacing w:after="200"/>
      </w:pPr>
      <w:r>
        <w:t xml:space="preserve">5. Screen Requirements — Banking &amp; Subscription</w:t>
      </w:r>
    </w:p>
    <w:p>
      <w:pPr>
        <w:spacing w:after="160"/>
      </w:pPr>
      <w:r>
        <w:t xml:space="preserve">These two modules are specified together because their behavior is interdependent: bank-linking is the subscription-gated capability, and subscription state directly determines what this surface presents.</w:t>
      </w:r>
    </w:p>
    <w:p>
      <w:pPr>
        <w:pStyle w:val="Heading2"/>
        <w:spacing w:after="120" w:before="300"/>
      </w:pPr>
      <w:r>
        <w:t xml:space="preserve">5.1 Subscription &amp; Billing (SRS 3.12)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FE-12.1</w:t>
            </w:r>
          </w:p>
        </w:tc>
        <w:tc>
          <w:tcPr>
            <w:tcW w:type="dxa" w:w="6800"/>
            <w:tcMar>
              <w:top w:type="dxa" w:w="80"/>
              <w:left w:type="dxa" w:w="100"/>
              <w:bottom w:type="dxa" w:w="80"/>
              <w:right w:type="dxa" w:w="100"/>
            </w:tcMar>
            <w:vAlign w:val="center"/>
          </w:tcPr>
          <w:p>
            <w:r>
              <w:rPr>
                <w:b w:val="false"/>
                <w:bCs w:val="false"/>
                <w:sz w:val="20"/>
                <w:szCs w:val="20"/>
              </w:rPr>
              <w:t xml:space="preserve">Client shall never gate, obscure, degrade, or interrupt manual-tracking functionality on the basis of subscription status (SRS FR-12.1). No upgrade prompt may block a free workflow.</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FE-12.2</w:t>
            </w:r>
          </w:p>
        </w:tc>
        <w:tc>
          <w:tcPr>
            <w:tcW w:type="dxa" w:w="6800"/>
            <w:tcMar>
              <w:top w:type="dxa" w:w="80"/>
              <w:left w:type="dxa" w:w="100"/>
              <w:bottom w:type="dxa" w:w="80"/>
              <w:right w:type="dxa" w:w="100"/>
            </w:tcMar>
            <w:vAlign w:val="center"/>
          </w:tcPr>
          <w:p>
            <w:r>
              <w:rPr>
                <w:b w:val="false"/>
                <w:bCs w:val="false"/>
                <w:sz w:val="20"/>
                <w:szCs w:val="20"/>
              </w:rPr>
              <w:t xml:space="preserve">Subscription is required only for bank-linking; the client shall present the paywall at the point of entry to that feature, not at signup or on the dashboard (SRS FR-12.2).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FE-12.3</w:t>
            </w:r>
          </w:p>
        </w:tc>
        <w:tc>
          <w:tcPr>
            <w:tcW w:type="dxa" w:w="6800"/>
            <w:tcMar>
              <w:top w:type="dxa" w:w="80"/>
              <w:left w:type="dxa" w:w="100"/>
              <w:bottom w:type="dxa" w:w="80"/>
              <w:right w:type="dxa" w:w="100"/>
            </w:tcMar>
            <w:vAlign w:val="center"/>
          </w:tcPr>
          <w:p>
            <w:r>
              <w:rPr>
                <w:b w:val="false"/>
                <w:bCs w:val="false"/>
                <w:sz w:val="20"/>
                <w:szCs w:val="20"/>
              </w:rPr>
              <w:t xml:space="preserve">Card entry shall use a processor-hosted element; the client shall never render its own card-number input nor transmit card data through application code (SRS FR-12.3).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FE-12.4</w:t>
            </w:r>
          </w:p>
        </w:tc>
        <w:tc>
          <w:tcPr>
            <w:tcW w:type="dxa" w:w="6800"/>
            <w:tcMar>
              <w:top w:type="dxa" w:w="80"/>
              <w:left w:type="dxa" w:w="100"/>
              <w:bottom w:type="dxa" w:w="80"/>
              <w:right w:type="dxa" w:w="100"/>
            </w:tcMar>
            <w:vAlign w:val="center"/>
          </w:tcPr>
          <w:p>
            <w:r>
              <w:rPr>
                <w:b w:val="false"/>
                <w:bCs w:val="false"/>
                <w:sz w:val="20"/>
                <w:szCs w:val="20"/>
              </w:rPr>
              <w:t xml:space="preserve">Subscription screen shall display current status, next billing date, and full billing history with downloadable receipts (SRS FR-12.7).</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FE-12.5</w:t>
            </w:r>
          </w:p>
        </w:tc>
        <w:tc>
          <w:tcPr>
            <w:tcW w:type="dxa" w:w="6800"/>
            <w:tcMar>
              <w:top w:type="dxa" w:w="80"/>
              <w:left w:type="dxa" w:w="100"/>
              <w:bottom w:type="dxa" w:w="80"/>
              <w:right w:type="dxa" w:w="100"/>
            </w:tcMar>
            <w:vAlign w:val="center"/>
          </w:tcPr>
          <w:p>
            <w:r>
              <w:rPr>
                <w:b w:val="false"/>
                <w:bCs w:val="false"/>
                <w:sz w:val="20"/>
                <w:szCs w:val="20"/>
              </w:rPr>
              <w:t xml:space="preserve">During free trial, client shall display days remaining and the date of first charge, without countdown pressure tactics (SRS FR-12.5).</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FE-12.6</w:t>
            </w:r>
          </w:p>
        </w:tc>
        <w:tc>
          <w:tcPr>
            <w:tcW w:type="dxa" w:w="6800"/>
            <w:tcMar>
              <w:top w:type="dxa" w:w="80"/>
              <w:left w:type="dxa" w:w="100"/>
              <w:bottom w:type="dxa" w:w="80"/>
              <w:right w:type="dxa" w:w="100"/>
            </w:tcMar>
            <w:vAlign w:val="center"/>
          </w:tcPr>
          <w:p>
            <w:r>
              <w:rPr>
                <w:b w:val="false"/>
                <w:bCs w:val="false"/>
                <w:sz w:val="20"/>
                <w:szCs w:val="20"/>
              </w:rPr>
              <w:t xml:space="preserve">On past-due status, client shall display a non-blocking banner explaining the retry schedule and grace period, and shall not restrict bank features until the API reports access as actually restricted (SRS FR-12.6).</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FE-12.7</w:t>
            </w:r>
          </w:p>
        </w:tc>
        <w:tc>
          <w:tcPr>
            <w:tcW w:type="dxa" w:w="6800"/>
            <w:tcMar>
              <w:top w:type="dxa" w:w="80"/>
              <w:left w:type="dxa" w:w="100"/>
              <w:bottom w:type="dxa" w:w="80"/>
              <w:right w:type="dxa" w:w="100"/>
            </w:tcMar>
            <w:vAlign w:val="center"/>
          </w:tcPr>
          <w:p>
            <w:r>
              <w:rPr>
                <w:b w:val="false"/>
                <w:bCs w:val="false"/>
                <w:sz w:val="20"/>
                <w:szCs w:val="20"/>
              </w:rPr>
              <w:t xml:space="preserve">Cancellation shall be self-service, reachable within two interactions from Settings, and shall state plainly that access continues to the paid-period end and that the account then reverts to free manual tracking rather than being locked (SRS FR-12.8).</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FE-12.8</w:t>
            </w:r>
          </w:p>
        </w:tc>
        <w:tc>
          <w:tcPr>
            <w:tcW w:type="dxa" w:w="6800"/>
            <w:tcMar>
              <w:top w:type="dxa" w:w="80"/>
              <w:left w:type="dxa" w:w="100"/>
              <w:bottom w:type="dxa" w:w="80"/>
              <w:right w:type="dxa" w:w="100"/>
            </w:tcMar>
            <w:vAlign w:val="center"/>
          </w:tcPr>
          <w:p>
            <w:r>
              <w:rPr>
                <w:b w:val="false"/>
                <w:bCs w:val="false"/>
                <w:sz w:val="20"/>
                <w:szCs w:val="20"/>
              </w:rPr>
              <w:t xml:space="preserve">Cancellation flow shall not require contacting support, completing a survey, or navigating retention offers as a condition of proceeding.</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FE-12.9</w:t>
            </w:r>
          </w:p>
        </w:tc>
        <w:tc>
          <w:tcPr>
            <w:tcW w:type="dxa" w:w="6800"/>
            <w:tcMar>
              <w:top w:type="dxa" w:w="80"/>
              <w:left w:type="dxa" w:w="100"/>
              <w:bottom w:type="dxa" w:w="80"/>
              <w:right w:type="dxa" w:w="100"/>
            </w:tcMar>
            <w:vAlign w:val="center"/>
          </w:tcPr>
          <w:p>
            <w:r>
              <w:rPr>
                <w:b w:val="false"/>
                <w:bCs w:val="false"/>
                <w:sz w:val="20"/>
                <w:szCs w:val="20"/>
              </w:rPr>
              <w:t xml:space="preserve">Client shall derive gating from live API-reported subscription state on each session and relevant navigation, never from a cached or client-computed entitlement (SRS FR-12.9).</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FE-12.10</w:t>
            </w:r>
          </w:p>
        </w:tc>
        <w:tc>
          <w:tcPr>
            <w:tcW w:type="dxa" w:w="6800"/>
            <w:tcMar>
              <w:top w:type="dxa" w:w="80"/>
              <w:left w:type="dxa" w:w="100"/>
              <w:bottom w:type="dxa" w:w="80"/>
              <w:right w:type="dxa" w:w="100"/>
            </w:tcMar>
            <w:vAlign w:val="center"/>
          </w:tcPr>
          <w:p>
            <w:r>
              <w:rPr>
                <w:b w:val="false"/>
                <w:bCs w:val="false"/>
                <w:sz w:val="20"/>
                <w:szCs w:val="20"/>
              </w:rPr>
              <w:t xml:space="preserve">Post-cancellation, previously linked bank accounts shall be presented as inactive with a clear explanation, and the client shall not imply that historical manual data has been lost.</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5.2 Bank Linking &amp; Gross Balance (SRS 3.14)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FE-14.1</w:t>
            </w:r>
          </w:p>
        </w:tc>
        <w:tc>
          <w:tcPr>
            <w:tcW w:type="dxa" w:w="6800"/>
            <w:tcMar>
              <w:top w:type="dxa" w:w="80"/>
              <w:left w:type="dxa" w:w="100"/>
              <w:bottom w:type="dxa" w:w="80"/>
              <w:right w:type="dxa" w:w="100"/>
            </w:tcMar>
            <w:vAlign w:val="center"/>
          </w:tcPr>
          <w:p>
            <w:r>
              <w:rPr>
                <w:b w:val="false"/>
                <w:bCs w:val="false"/>
                <w:sz w:val="20"/>
                <w:szCs w:val="20"/>
              </w:rPr>
              <w:t xml:space="preserve">Banking screen shall support linking multiple accounts across multiple institutions, listing all linked accounts grouped by institution (SRS FR-14.1).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FE-14.2</w:t>
            </w:r>
          </w:p>
        </w:tc>
        <w:tc>
          <w:tcPr>
            <w:tcW w:type="dxa" w:w="6800"/>
            <w:tcMar>
              <w:top w:type="dxa" w:w="80"/>
              <w:left w:type="dxa" w:w="100"/>
              <w:bottom w:type="dxa" w:w="80"/>
              <w:right w:type="dxa" w:w="100"/>
            </w:tcMar>
            <w:vAlign w:val="center"/>
          </w:tcPr>
          <w:p>
            <w:r>
              <w:rPr>
                <w:b w:val="false"/>
                <w:bCs w:val="false"/>
                <w:sz w:val="20"/>
                <w:szCs w:val="20"/>
              </w:rPr>
              <w:t xml:space="preserve">Client shall never render, proxy, or capture bank credentials; linking shall hand off to the bank-hosted or provider-hosted flow (SRS FR-14.2).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FE-14.3</w:t>
            </w:r>
          </w:p>
        </w:tc>
        <w:tc>
          <w:tcPr>
            <w:tcW w:type="dxa" w:w="6800"/>
            <w:tcMar>
              <w:top w:type="dxa" w:w="80"/>
              <w:left w:type="dxa" w:w="100"/>
              <w:bottom w:type="dxa" w:w="80"/>
              <w:right w:type="dxa" w:w="100"/>
            </w:tcMar>
            <w:vAlign w:val="center"/>
          </w:tcPr>
          <w:p>
            <w:r>
              <w:rPr>
                <w:b w:val="false"/>
                <w:bCs w:val="false"/>
                <w:sz w:val="20"/>
                <w:szCs w:val="20"/>
              </w:rPr>
              <w:t xml:space="preserve">No screen, modal, or component in this client shall be styled, branded, or worded to resemble any financial institution's own login interface (SRS NFR-9.7). The handoff shall make clear the user is leaving this application.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FE-14.4</w:t>
            </w:r>
          </w:p>
        </w:tc>
        <w:tc>
          <w:tcPr>
            <w:tcW w:type="dxa" w:w="6800"/>
            <w:tcMar>
              <w:top w:type="dxa" w:w="80"/>
              <w:left w:type="dxa" w:w="100"/>
              <w:bottom w:type="dxa" w:w="80"/>
              <w:right w:type="dxa" w:w="100"/>
            </w:tcMar>
            <w:vAlign w:val="center"/>
          </w:tcPr>
          <w:p>
            <w:r>
              <w:rPr>
                <w:b w:val="false"/>
                <w:bCs w:val="false"/>
                <w:sz w:val="20"/>
                <w:szCs w:val="20"/>
              </w:rPr>
              <w:t xml:space="preserve">Before linking, client shall present an explicit consent screen naming the connection channel in use — the bank directly, or the named fallback provider — and stating that access is read-only (SRS FR-14.10, Section 8.4).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FE-14.5</w:t>
            </w:r>
          </w:p>
        </w:tc>
        <w:tc>
          <w:tcPr>
            <w:tcW w:type="dxa" w:w="6800"/>
            <w:tcMar>
              <w:top w:type="dxa" w:w="80"/>
              <w:left w:type="dxa" w:w="100"/>
              <w:bottom w:type="dxa" w:w="80"/>
              <w:right w:type="dxa" w:w="100"/>
            </w:tcMar>
            <w:vAlign w:val="center"/>
          </w:tcPr>
          <w:p>
            <w:r>
              <w:rPr>
                <w:b w:val="false"/>
                <w:bCs w:val="false"/>
                <w:sz w:val="20"/>
                <w:szCs w:val="20"/>
              </w:rPr>
              <w:t xml:space="preserve">Where a third-party aggregation provider is used as fallback, the client shall name that provider visibly at the point of linking; disclosure shall not be relegated to a policy document (SRS FR-14.10).</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FE-14.6</w:t>
            </w:r>
          </w:p>
        </w:tc>
        <w:tc>
          <w:tcPr>
            <w:tcW w:type="dxa" w:w="6800"/>
            <w:tcMar>
              <w:top w:type="dxa" w:w="80"/>
              <w:left w:type="dxa" w:w="100"/>
              <w:bottom w:type="dxa" w:w="80"/>
              <w:right w:type="dxa" w:w="100"/>
            </w:tcMar>
            <w:vAlign w:val="center"/>
          </w:tcPr>
          <w:p>
            <w:r>
              <w:rPr>
                <w:b w:val="false"/>
                <w:bCs w:val="false"/>
                <w:sz w:val="20"/>
                <w:szCs w:val="20"/>
              </w:rPr>
              <w:t xml:space="preserve">Consent screen shall require an affirmative, unchecked-by-default action; consent shall not be bundled into Terms of Service acceptance (SRS Section 8.4).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FE-14.7</w:t>
            </w:r>
          </w:p>
        </w:tc>
        <w:tc>
          <w:tcPr>
            <w:tcW w:type="dxa" w:w="6800"/>
            <w:tcMar>
              <w:top w:type="dxa" w:w="80"/>
              <w:left w:type="dxa" w:w="100"/>
              <w:bottom w:type="dxa" w:w="80"/>
              <w:right w:type="dxa" w:w="100"/>
            </w:tcMar>
            <w:vAlign w:val="center"/>
          </w:tcPr>
          <w:p>
            <w:r>
              <w:rPr>
                <w:b w:val="false"/>
                <w:bCs w:val="false"/>
                <w:sz w:val="20"/>
                <w:szCs w:val="20"/>
              </w:rPr>
              <w:t xml:space="preserve">Gross Balance view shall display the consolidated total in the user's display currency, and shall list each linked account's balance in its own native currency alongside (SRS FR-14.4, FR-14.14).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FE-14.8</w:t>
            </w:r>
          </w:p>
        </w:tc>
        <w:tc>
          <w:tcPr>
            <w:tcW w:type="dxa" w:w="6800"/>
            <w:tcMar>
              <w:top w:type="dxa" w:w="80"/>
              <w:left w:type="dxa" w:w="100"/>
              <w:bottom w:type="dxa" w:w="80"/>
              <w:right w:type="dxa" w:w="100"/>
            </w:tcMar>
            <w:vAlign w:val="center"/>
          </w:tcPr>
          <w:p>
            <w:r>
              <w:rPr>
                <w:b w:val="false"/>
                <w:bCs w:val="false"/>
                <w:sz w:val="20"/>
                <w:szCs w:val="20"/>
              </w:rPr>
              <w:t xml:space="preserve">Gross Balance shall display the exchange rate used and its as-of timestamp, with converted totals labeled as approximate (SRS FR-14.14, NFR-10.2, NFR-10.3).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FE-14.9</w:t>
            </w:r>
          </w:p>
        </w:tc>
        <w:tc>
          <w:tcPr>
            <w:tcW w:type="dxa" w:w="6800"/>
            <w:tcMar>
              <w:top w:type="dxa" w:w="80"/>
              <w:left w:type="dxa" w:w="100"/>
              <w:bottom w:type="dxa" w:w="80"/>
              <w:right w:type="dxa" w:w="100"/>
            </w:tcMar>
            <w:vAlign w:val="center"/>
          </w:tcPr>
          <w:p>
            <w:r>
              <w:rPr>
                <w:b w:val="false"/>
                <w:bCs w:val="false"/>
                <w:sz w:val="20"/>
                <w:szCs w:val="20"/>
              </w:rPr>
              <w:t xml:space="preserve">Linked account detail shall show institution name, account type, masked account number limited to the last four digits, current balance, and recent transactions (SRS FR-14.6).</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FE-14.10</w:t>
            </w:r>
          </w:p>
        </w:tc>
        <w:tc>
          <w:tcPr>
            <w:tcW w:type="dxa" w:w="6800"/>
            <w:tcMar>
              <w:top w:type="dxa" w:w="80"/>
              <w:left w:type="dxa" w:w="100"/>
              <w:bottom w:type="dxa" w:w="80"/>
              <w:right w:type="dxa" w:w="100"/>
            </w:tcMar>
            <w:vAlign w:val="center"/>
          </w:tcPr>
          <w:p>
            <w:r>
              <w:rPr>
                <w:b w:val="false"/>
                <w:bCs w:val="false"/>
                <w:sz w:val="20"/>
                <w:szCs w:val="20"/>
              </w:rPr>
              <w:t xml:space="preserve">Client shall never display, log, or expose an access token or any credential material in the interface, in developer tooling output, or in error messages (SRS NFR-9.2).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FE-14.11</w:t>
            </w:r>
          </w:p>
        </w:tc>
        <w:tc>
          <w:tcPr>
            <w:tcW w:type="dxa" w:w="6800"/>
            <w:tcMar>
              <w:top w:type="dxa" w:w="80"/>
              <w:left w:type="dxa" w:w="100"/>
              <w:bottom w:type="dxa" w:w="80"/>
              <w:right w:type="dxa" w:w="100"/>
            </w:tcMar>
            <w:vAlign w:val="center"/>
          </w:tcPr>
          <w:p>
            <w:r>
              <w:rPr>
                <w:b w:val="false"/>
                <w:bCs w:val="false"/>
                <w:sz w:val="20"/>
                <w:szCs w:val="20"/>
              </w:rPr>
              <w:t xml:space="preserve">All linked-account surfaces shall carry a persistent, unambiguous read-only indication, and shall present no control that could be mistaken for initiating a payment or transfer (SRS FR-14.9, FR-14.3).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FE-14.12</w:t>
            </w:r>
          </w:p>
        </w:tc>
        <w:tc>
          <w:tcPr>
            <w:tcW w:type="dxa" w:w="6800"/>
            <w:tcMar>
              <w:top w:type="dxa" w:w="80"/>
              <w:left w:type="dxa" w:w="100"/>
              <w:bottom w:type="dxa" w:w="80"/>
              <w:right w:type="dxa" w:w="100"/>
            </w:tcMar>
            <w:vAlign w:val="center"/>
          </w:tcPr>
          <w:p>
            <w:r>
              <w:rPr>
                <w:b w:val="false"/>
                <w:bCs w:val="false"/>
                <w:sz w:val="20"/>
                <w:szCs w:val="20"/>
              </w:rPr>
              <w:t xml:space="preserve">Unlinking shall be available from each linked account, require confirmation, and state plainly that access is revoked and cached transaction detail purged (SRS FR-14.7).</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FE-14.13</w:t>
            </w:r>
          </w:p>
        </w:tc>
        <w:tc>
          <w:tcPr>
            <w:tcW w:type="dxa" w:w="6800"/>
            <w:tcMar>
              <w:top w:type="dxa" w:w="80"/>
              <w:left w:type="dxa" w:w="100"/>
              <w:bottom w:type="dxa" w:w="80"/>
              <w:right w:type="dxa" w:w="100"/>
            </w:tcMar>
            <w:vAlign w:val="center"/>
          </w:tcPr>
          <w:p>
            <w:r>
              <w:rPr>
                <w:b w:val="false"/>
                <w:bCs w:val="false"/>
                <w:sz w:val="20"/>
                <w:szCs w:val="20"/>
              </w:rPr>
              <w:t xml:space="preserve">When consent lapses, client shall present a clear re-authorization prompt on the affected account, indicate that syncing is suspended, and continue displaying last-known data marked with its as-of date (SRS FR-14.8).</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FE-14.14</w:t>
            </w:r>
          </w:p>
        </w:tc>
        <w:tc>
          <w:tcPr>
            <w:tcW w:type="dxa" w:w="6800"/>
            <w:tcMar>
              <w:top w:type="dxa" w:w="80"/>
              <w:left w:type="dxa" w:w="100"/>
              <w:bottom w:type="dxa" w:w="80"/>
              <w:right w:type="dxa" w:w="100"/>
            </w:tcMar>
            <w:vAlign w:val="center"/>
          </w:tcPr>
          <w:p>
            <w:r>
              <w:rPr>
                <w:b w:val="false"/>
                <w:bCs w:val="false"/>
                <w:sz w:val="20"/>
                <w:szCs w:val="20"/>
              </w:rPr>
              <w:t xml:space="preserve">Client shall display the last successful sync time per linked account, and surface sync failures without implying the underlying bank balance has changed (SRS FR-14.5).</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FE-14.15</w:t>
            </w:r>
          </w:p>
        </w:tc>
        <w:tc>
          <w:tcPr>
            <w:tcW w:type="dxa" w:w="6800"/>
            <w:tcMar>
              <w:top w:type="dxa" w:w="80"/>
              <w:left w:type="dxa" w:w="100"/>
              <w:bottom w:type="dxa" w:w="80"/>
              <w:right w:type="dxa" w:w="100"/>
            </w:tcMar>
            <w:vAlign w:val="center"/>
          </w:tcPr>
          <w:p>
            <w:r>
              <w:rPr>
                <w:b w:val="false"/>
                <w:bCs w:val="false"/>
                <w:sz w:val="20"/>
                <w:szCs w:val="20"/>
              </w:rPr>
              <w:t xml:space="preserve">Client shall distinguish linked-account data from manually entered data throughout the interface, so the two are never conflated (SRS FR-14.5).</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spacing w:after="120"/>
      </w:pPr>
      <w:r>
        <w:rPr>
          <w:b/>
          <w:bCs/>
        </w:rPr>
        <w:t xml:space="preserve">Interface Prohibition — Payment Initiation</w:t>
      </w:r>
    </w:p>
    <w:p>
      <w:pPr>
        <w:spacing w:after="160"/>
      </w:pPr>
      <w:r>
        <w:t xml:space="preserve">No screen, control, label, or affordance in this client may suggest, imply, or provide a path to moving money into or out of a linked bank account. This is not merely an omission of a feature but an active design constraint: per SRS FR-14.3 and the SRS's Explicit Out-of-Scope Statement, the platform holds no such capability, and the interface must not create a user expectation that one exists.</w:t>
      </w:r>
    </w:p>
    <w:p>
      <w:pPr>
        <w:pStyle w:val="Heading1"/>
        <w:pageBreakBefore/>
        <w:spacing w:after="200"/>
      </w:pPr>
      <w:r>
        <w:t xml:space="preserve">6. Data Rights, Export &amp; Deletion</w:t>
      </w:r>
    </w:p>
    <w:p>
      <w:pPr>
        <w:pStyle w:val="Heading2"/>
        <w:spacing w:after="120" w:before="300"/>
      </w:pPr>
      <w:r>
        <w:t xml:space="preserve">6.1 Export &amp; Portability (SRS 3.13)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FE-13.1</w:t>
            </w:r>
          </w:p>
        </w:tc>
        <w:tc>
          <w:tcPr>
            <w:tcW w:type="dxa" w:w="6800"/>
            <w:tcMar>
              <w:top w:type="dxa" w:w="80"/>
              <w:left w:type="dxa" w:w="100"/>
              <w:bottom w:type="dxa" w:w="80"/>
              <w:right w:type="dxa" w:w="100"/>
            </w:tcMar>
            <w:vAlign w:val="center"/>
          </w:tcPr>
          <w:p>
            <w:r>
              <w:rPr>
                <w:b w:val="false"/>
                <w:bCs w:val="false"/>
                <w:sz w:val="20"/>
                <w:szCs w:val="20"/>
              </w:rPr>
              <w:t xml:space="preserve">Settings shall provide self-service export of all tenant data — accounts, transactions, categories, goals, and profile — in a machine-readable format (SRS FR-13.1, FR-3.3).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FE-13.2</w:t>
            </w:r>
          </w:p>
        </w:tc>
        <w:tc>
          <w:tcPr>
            <w:tcW w:type="dxa" w:w="6800"/>
            <w:tcMar>
              <w:top w:type="dxa" w:w="80"/>
              <w:left w:type="dxa" w:w="100"/>
              <w:bottom w:type="dxa" w:w="80"/>
              <w:right w:type="dxa" w:w="100"/>
            </w:tcMar>
            <w:vAlign w:val="center"/>
          </w:tcPr>
          <w:p>
            <w:r>
              <w:rPr>
                <w:b w:val="false"/>
                <w:bCs w:val="false"/>
                <w:sz w:val="20"/>
                <w:szCs w:val="20"/>
              </w:rPr>
              <w:t xml:space="preserve">Where export is asynchronous, client shall confirm the request, state the expected fulfillment window, and deliver the result without requiring the user to remain on the page (SRS FR-13.2).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FE-13.3</w:t>
            </w:r>
          </w:p>
        </w:tc>
        <w:tc>
          <w:tcPr>
            <w:tcW w:type="dxa" w:w="6800"/>
            <w:tcMar>
              <w:top w:type="dxa" w:w="80"/>
              <w:left w:type="dxa" w:w="100"/>
              <w:bottom w:type="dxa" w:w="80"/>
              <w:right w:type="dxa" w:w="100"/>
            </w:tcMar>
            <w:vAlign w:val="center"/>
          </w:tcPr>
          <w:p>
            <w:r>
              <w:rPr>
                <w:b w:val="false"/>
                <w:bCs w:val="false"/>
                <w:sz w:val="20"/>
                <w:szCs w:val="20"/>
              </w:rPr>
              <w:t xml:space="preserve">Export shall include linked-account data held by the platform, clearly distinguished from manually entered records.</w:t>
            </w:r>
          </w:p>
        </w:tc>
        <w:tc>
          <w:tcPr>
            <w:tcW w:type="dxa" w:w="1160"/>
            <w:tcMar>
              <w:top w:type="dxa" w:w="80"/>
              <w:left w:type="dxa" w:w="100"/>
              <w:bottom w:type="dxa" w:w="80"/>
              <w:right w:type="dxa" w:w="100"/>
            </w:tcMar>
            <w:vAlign w:val="center"/>
          </w:tcPr>
          <w:p>
            <w:r>
              <w:rPr>
                <w:b w:val="false"/>
                <w:bCs w:val="false"/>
                <w:sz w:val="20"/>
                <w:szCs w:val="20"/>
              </w:rPr>
              <w:t xml:space="preserve">Should</w:t>
            </w:r>
          </w:p>
        </w:tc>
      </w:tr>
    </w:tbl>
    <w:p>
      <w:pPr>
        <w:spacing w:after="120"/>
      </w:pPr>
    </w:p>
    <w:p>
      <w:pPr>
        <w:pStyle w:val="Heading2"/>
        <w:spacing w:after="120" w:before="300"/>
      </w:pPr>
      <w:r>
        <w:t xml:space="preserve">6.2 Account Deletion (SRS 3.1, 6.3, 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FE-13.4</w:t>
            </w:r>
          </w:p>
        </w:tc>
        <w:tc>
          <w:tcPr>
            <w:tcW w:type="dxa" w:w="6800"/>
            <w:tcMar>
              <w:top w:type="dxa" w:w="80"/>
              <w:left w:type="dxa" w:w="100"/>
              <w:bottom w:type="dxa" w:w="80"/>
              <w:right w:type="dxa" w:w="100"/>
            </w:tcMar>
            <w:vAlign w:val="center"/>
          </w:tcPr>
          <w:p>
            <w:r>
              <w:rPr>
                <w:b w:val="false"/>
                <w:bCs w:val="false"/>
                <w:sz w:val="20"/>
                <w:szCs w:val="20"/>
              </w:rPr>
              <w:t xml:space="preserve">Account deletion shall be self-service and reachable from Settings without contacting support (SRS FR-13.3, FR-1.3).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FE-13.5</w:t>
            </w:r>
          </w:p>
        </w:tc>
        <w:tc>
          <w:tcPr>
            <w:tcW w:type="dxa" w:w="6800"/>
            <w:tcMar>
              <w:top w:type="dxa" w:w="80"/>
              <w:left w:type="dxa" w:w="100"/>
              <w:bottom w:type="dxa" w:w="80"/>
              <w:right w:type="dxa" w:w="100"/>
            </w:tcMar>
            <w:vAlign w:val="center"/>
          </w:tcPr>
          <w:p>
            <w:r>
              <w:rPr>
                <w:b w:val="false"/>
                <w:bCs w:val="false"/>
                <w:sz w:val="20"/>
                <w:szCs w:val="20"/>
              </w:rPr>
              <w:t xml:space="preserve">Deletion confirmation shall state what is removed, that a recovery window applies before permanent purge, and that billing records are retained separately for financial record-keeping (SRS NFR-8.1, NFR-8.4).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FE-13.6</w:t>
            </w:r>
          </w:p>
        </w:tc>
        <w:tc>
          <w:tcPr>
            <w:tcW w:type="dxa" w:w="6800"/>
            <w:tcMar>
              <w:top w:type="dxa" w:w="80"/>
              <w:left w:type="dxa" w:w="100"/>
              <w:bottom w:type="dxa" w:w="80"/>
              <w:right w:type="dxa" w:w="100"/>
            </w:tcMar>
            <w:vAlign w:val="center"/>
          </w:tcPr>
          <w:p>
            <w:r>
              <w:rPr>
                <w:b w:val="false"/>
                <w:bCs w:val="false"/>
                <w:sz w:val="20"/>
                <w:szCs w:val="20"/>
              </w:rPr>
              <w:t xml:space="preserve">Deletion flow shall offer data export beforehand, presented as a suggestion rather than an obstacle to proceeding.</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FE-13.7</w:t>
            </w:r>
          </w:p>
        </w:tc>
        <w:tc>
          <w:tcPr>
            <w:tcW w:type="dxa" w:w="6800"/>
            <w:tcMar>
              <w:top w:type="dxa" w:w="80"/>
              <w:left w:type="dxa" w:w="100"/>
              <w:bottom w:type="dxa" w:w="80"/>
              <w:right w:type="dxa" w:w="100"/>
            </w:tcMar>
            <w:vAlign w:val="center"/>
          </w:tcPr>
          <w:p>
            <w:r>
              <w:rPr>
                <w:b w:val="false"/>
                <w:bCs w:val="false"/>
                <w:sz w:val="20"/>
                <w:szCs w:val="20"/>
              </w:rPr>
              <w:t xml:space="preserve">Deletion shall require typed confirmation or equivalent deliberate action, proportionate to irreversibility.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FE-13.8</w:t>
            </w:r>
          </w:p>
        </w:tc>
        <w:tc>
          <w:tcPr>
            <w:tcW w:type="dxa" w:w="6800"/>
            <w:tcMar>
              <w:top w:type="dxa" w:w="80"/>
              <w:left w:type="dxa" w:w="100"/>
              <w:bottom w:type="dxa" w:w="80"/>
              <w:right w:type="dxa" w:w="100"/>
            </w:tcMar>
            <w:vAlign w:val="center"/>
          </w:tcPr>
          <w:p>
            <w:r>
              <w:rPr>
                <w:b w:val="false"/>
                <w:bCs w:val="false"/>
                <w:sz w:val="20"/>
                <w:szCs w:val="20"/>
              </w:rPr>
              <w:t xml:space="preserve">If an active subscription exists, the deletion flow shall state how it will be handled rather than leaving billing status ambiguous (SRS FR-12.8).</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pStyle w:val="Heading1"/>
        <w:pageBreakBefore/>
        <w:spacing w:after="200"/>
      </w:pPr>
      <w:r>
        <w:t xml:space="preserve">7. Cross-Cutting Interface Requirements</w:t>
      </w:r>
    </w:p>
    <w:p>
      <w:pPr>
        <w:pStyle w:val="Heading2"/>
        <w:spacing w:after="120" w:before="300"/>
      </w:pPr>
      <w:r>
        <w:t xml:space="preserve">7.1 Currency Presentation</w:t>
      </w:r>
    </w:p>
    <w:p>
      <w:pPr>
        <w:spacing w:after="160"/>
      </w:pPr>
      <w:r>
        <w:t xml:space="preserve">The SRS defines three distinct currency layers (account native, transaction, display). The client must keep them visually distinct rather than collapsing them into a single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FE-X.1</w:t>
            </w:r>
          </w:p>
        </w:tc>
        <w:tc>
          <w:tcPr>
            <w:tcW w:type="dxa" w:w="6800"/>
            <w:tcMar>
              <w:top w:type="dxa" w:w="80"/>
              <w:left w:type="dxa" w:w="100"/>
              <w:bottom w:type="dxa" w:w="80"/>
              <w:right w:type="dxa" w:w="100"/>
            </w:tcMar>
            <w:vAlign w:val="center"/>
          </w:tcPr>
          <w:p>
            <w:r>
              <w:rPr>
                <w:b w:val="false"/>
                <w:bCs w:val="false"/>
                <w:sz w:val="20"/>
                <w:szCs w:val="20"/>
              </w:rPr>
              <w:t xml:space="preserve">Every monetary figure shall render with an unambiguous currency indicator; no figure may rely on an assumed default currency.</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FE-X.2</w:t>
            </w:r>
          </w:p>
        </w:tc>
        <w:tc>
          <w:tcPr>
            <w:tcW w:type="dxa" w:w="6800"/>
            <w:tcMar>
              <w:top w:type="dxa" w:w="80"/>
              <w:left w:type="dxa" w:w="100"/>
              <w:bottom w:type="dxa" w:w="80"/>
              <w:right w:type="dxa" w:w="100"/>
            </w:tcMar>
            <w:vAlign w:val="center"/>
          </w:tcPr>
          <w:p>
            <w:r>
              <w:rPr>
                <w:b w:val="false"/>
                <w:bCs w:val="false"/>
                <w:sz w:val="20"/>
                <w:szCs w:val="20"/>
              </w:rPr>
              <w:t xml:space="preserve">Any converted figure shall be visually distinguishable from a figure in its original currency, with the original accessible alongside or on interaction (SRS FR-6.5, FR-14.14).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FE-X.3</w:t>
            </w:r>
          </w:p>
        </w:tc>
        <w:tc>
          <w:tcPr>
            <w:tcW w:type="dxa" w:w="6800"/>
            <w:tcMar>
              <w:top w:type="dxa" w:w="80"/>
              <w:left w:type="dxa" w:w="100"/>
              <w:bottom w:type="dxa" w:w="80"/>
              <w:right w:type="dxa" w:w="100"/>
            </w:tcMar>
            <w:vAlign w:val="center"/>
          </w:tcPr>
          <w:p>
            <w:r>
              <w:rPr>
                <w:b w:val="false"/>
                <w:bCs w:val="false"/>
                <w:sz w:val="20"/>
                <w:szCs w:val="20"/>
              </w:rPr>
              <w:t xml:space="preserve">Client shall never round or reformat monetary values in a way that alters the precision returned by the API.</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FE-X.4</w:t>
            </w:r>
          </w:p>
        </w:tc>
        <w:tc>
          <w:tcPr>
            <w:tcW w:type="dxa" w:w="6800"/>
            <w:tcMar>
              <w:top w:type="dxa" w:w="80"/>
              <w:left w:type="dxa" w:w="100"/>
              <w:bottom w:type="dxa" w:w="80"/>
              <w:right w:type="dxa" w:w="100"/>
            </w:tcMar>
            <w:vAlign w:val="center"/>
          </w:tcPr>
          <w:p>
            <w:r>
              <w:rPr>
                <w:b w:val="false"/>
                <w:bCs w:val="false"/>
                <w:sz w:val="20"/>
                <w:szCs w:val="20"/>
              </w:rPr>
              <w:t xml:space="preserve">Where a historical rate was used for a past-dated transaction, the client shall present the rate date rather than implying a current rate (SRS NFR-10.4).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FE-X.5</w:t>
            </w:r>
          </w:p>
        </w:tc>
        <w:tc>
          <w:tcPr>
            <w:tcW w:type="dxa" w:w="6800"/>
            <w:tcMar>
              <w:top w:type="dxa" w:w="80"/>
              <w:left w:type="dxa" w:w="100"/>
              <w:bottom w:type="dxa" w:w="80"/>
              <w:right w:type="dxa" w:w="100"/>
            </w:tcMar>
            <w:vAlign w:val="center"/>
          </w:tcPr>
          <w:p>
            <w:r>
              <w:rPr>
                <w:b w:val="false"/>
                <w:bCs w:val="false"/>
                <w:sz w:val="20"/>
                <w:szCs w:val="20"/>
              </w:rPr>
              <w:t xml:space="preserve">Where a rate is unavailable and an approximation was applied, the client shall label the figure as approximate rather than presenting it as exact (SRS NFR-10.4).</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7.2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FE-X.6</w:t>
            </w:r>
          </w:p>
        </w:tc>
        <w:tc>
          <w:tcPr>
            <w:tcW w:type="dxa" w:w="6800"/>
            <w:tcMar>
              <w:top w:type="dxa" w:w="80"/>
              <w:left w:type="dxa" w:w="100"/>
              <w:bottom w:type="dxa" w:w="80"/>
              <w:right w:type="dxa" w:w="100"/>
            </w:tcMar>
            <w:vAlign w:val="center"/>
          </w:tcPr>
          <w:p>
            <w:r>
              <w:rPr>
                <w:b w:val="false"/>
                <w:bCs w:val="false"/>
                <w:sz w:val="20"/>
                <w:szCs w:val="20"/>
              </w:rPr>
              <w:t xml:space="preserve">Client shall consume the consistent API error schema (code, message, field) and map field-level errors to their corresponding inputs (SRS NFR-6.2).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FE-X.7</w:t>
            </w:r>
          </w:p>
        </w:tc>
        <w:tc>
          <w:tcPr>
            <w:tcW w:type="dxa" w:w="6800"/>
            <w:tcMar>
              <w:top w:type="dxa" w:w="80"/>
              <w:left w:type="dxa" w:w="100"/>
              <w:bottom w:type="dxa" w:w="80"/>
              <w:right w:type="dxa" w:w="100"/>
            </w:tcMar>
            <w:vAlign w:val="center"/>
          </w:tcPr>
          <w:p>
            <w:r>
              <w:rPr>
                <w:b w:val="false"/>
                <w:bCs w:val="false"/>
                <w:sz w:val="20"/>
                <w:szCs w:val="20"/>
              </w:rPr>
              <w:t xml:space="preserve">Client shall never surface raw stack traces, internal identifiers, or database errors to the user.</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FE-X.8</w:t>
            </w:r>
          </w:p>
        </w:tc>
        <w:tc>
          <w:tcPr>
            <w:tcW w:type="dxa" w:w="6800"/>
            <w:tcMar>
              <w:top w:type="dxa" w:w="80"/>
              <w:left w:type="dxa" w:w="100"/>
              <w:bottom w:type="dxa" w:w="80"/>
              <w:right w:type="dxa" w:w="100"/>
            </w:tcMar>
            <w:vAlign w:val="center"/>
          </w:tcPr>
          <w:p>
            <w:r>
              <w:rPr>
                <w:b w:val="false"/>
                <w:bCs w:val="false"/>
                <w:sz w:val="20"/>
                <w:szCs w:val="20"/>
              </w:rPr>
              <w:t xml:space="preserve">Where email, monitoring, or rate services degrade, the client shall continue presenting core functionality rather than failing wholesale, consistent with SRS NFR-4.3.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FE-X.9</w:t>
            </w:r>
          </w:p>
        </w:tc>
        <w:tc>
          <w:tcPr>
            <w:tcW w:type="dxa" w:w="6800"/>
            <w:tcMar>
              <w:top w:type="dxa" w:w="80"/>
              <w:left w:type="dxa" w:w="100"/>
              <w:bottom w:type="dxa" w:w="80"/>
              <w:right w:type="dxa" w:w="100"/>
            </w:tcMar>
            <w:vAlign w:val="center"/>
          </w:tcPr>
          <w:p>
            <w:r>
              <w:rPr>
                <w:b w:val="false"/>
                <w:bCs w:val="false"/>
                <w:sz w:val="20"/>
                <w:szCs w:val="20"/>
              </w:rPr>
              <w:t xml:space="preserve">Network failures shall be distinguished from validation failures and from server errors, since the appropriate user response differs in each case.</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FE-X.10</w:t>
            </w:r>
          </w:p>
        </w:tc>
        <w:tc>
          <w:tcPr>
            <w:tcW w:type="dxa" w:w="6800"/>
            <w:tcMar>
              <w:top w:type="dxa" w:w="80"/>
              <w:left w:type="dxa" w:w="100"/>
              <w:bottom w:type="dxa" w:w="80"/>
              <w:right w:type="dxa" w:w="100"/>
            </w:tcMar>
            <w:vAlign w:val="center"/>
          </w:tcPr>
          <w:p>
            <w:r>
              <w:rPr>
                <w:b w:val="false"/>
                <w:bCs w:val="false"/>
                <w:sz w:val="20"/>
                <w:szCs w:val="20"/>
              </w:rPr>
              <w:t xml:space="preserve">Destructive actions that fail shall state explicitly that nothing was changed.</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7.3 Loading, Empty &amp; Partial States</w:t>
      </w:r>
    </w:p>
    <w:p>
      <w:pPr>
        <w:pStyle w:val="ListParagraph"/>
        <w:numPr>
          <w:ilvl w:val="0"/>
          <w:numId w:val="1"/>
        </w:numPr>
        <w:spacing w:after="60"/>
      </w:pPr>
      <w:r>
        <w:t xml:space="preserve">Every data-backed view shall define a loading state, an empty state, an error state, and a populated state — none may be left undesigned</w:t>
      </w:r>
    </w:p>
    <w:p>
      <w:pPr>
        <w:pStyle w:val="ListParagraph"/>
        <w:numPr>
          <w:ilvl w:val="0"/>
          <w:numId w:val="1"/>
        </w:numPr>
        <w:spacing w:after="60"/>
      </w:pPr>
      <w:r>
        <w:t xml:space="preserve">Empty states shall guide the next useful action rather than merely reporting absence</w:t>
      </w:r>
    </w:p>
    <w:p>
      <w:pPr>
        <w:pStyle w:val="ListParagraph"/>
        <w:numPr>
          <w:ilvl w:val="0"/>
          <w:numId w:val="1"/>
        </w:numPr>
        <w:spacing w:after="60"/>
      </w:pPr>
      <w:r>
        <w:t xml:space="preserve">Partial failure (e.g., one linked account failing to sync) shall degrade only that element, never the entire view</w:t>
      </w:r>
    </w:p>
    <w:p>
      <w:pPr>
        <w:pStyle w:val="Heading2"/>
        <w:spacing w:after="120" w:before="300"/>
      </w:pPr>
      <w:r>
        <w:t xml:space="preserve">7.4 Forms &amp; Validation</w:t>
      </w:r>
    </w:p>
    <w:p>
      <w:pPr>
        <w:pStyle w:val="ListParagraph"/>
        <w:numPr>
          <w:ilvl w:val="0"/>
          <w:numId w:val="1"/>
        </w:numPr>
        <w:spacing w:after="60"/>
      </w:pPr>
      <w:r>
        <w:t xml:space="preserve">Validation rules shall mirror server-side rules; client validation is a convenience layer and never the authority</w:t>
      </w:r>
    </w:p>
    <w:p>
      <w:pPr>
        <w:pStyle w:val="ListParagraph"/>
        <w:numPr>
          <w:ilvl w:val="0"/>
          <w:numId w:val="1"/>
        </w:numPr>
        <w:spacing w:after="60"/>
      </w:pPr>
      <w:r>
        <w:t xml:space="preserve">Requirements (e.g., password policy) shall be stated before submission, not revealed only through failure</w:t>
      </w:r>
    </w:p>
    <w:p>
      <w:pPr>
        <w:pStyle w:val="ListParagraph"/>
        <w:numPr>
          <w:ilvl w:val="0"/>
          <w:numId w:val="1"/>
        </w:numPr>
        <w:spacing w:after="60"/>
      </w:pPr>
      <w:r>
        <w:t xml:space="preserve">Unsaved changes shall be protected against accidental navigation away</w:t>
      </w:r>
    </w:p>
    <w:p>
      <w:pPr>
        <w:pStyle w:val="Heading2"/>
        <w:spacing w:after="120" w:before="300"/>
      </w:pPr>
      <w:r>
        <w:t xml:space="preserve">7.5 Confirmation of Consequential Actions</w:t>
      </w:r>
    </w:p>
    <w:p>
      <w:pPr>
        <w:spacing w:after="160"/>
      </w:pPr>
      <w:r>
        <w:t xml:space="preserve">Actions requiring explicit confirmation, each naming the specific object affected: account deletion, category deletion with dependent transactions, transaction deletion, bank account unlinking (FE-14.12), subscription cancellation (FE-12.7), and account deletion (FE-13.7).</w:t>
      </w:r>
    </w:p>
    <w:p>
      <w:pPr>
        <w:pStyle w:val="Heading1"/>
        <w:pageBreakBefore/>
        <w:spacing w:after="200"/>
      </w:pPr>
      <w:r>
        <w:t xml:space="preserve">8. Non-Functional Frontend Requirements</w:t>
      </w:r>
    </w:p>
    <w:p>
      <w:pPr>
        <w:pStyle w:val="Heading2"/>
        <w:spacing w:after="120" w:before="300"/>
      </w:pPr>
      <w:r>
        <w:t xml:space="preserve">8.1 Client-Side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FE-N.1</w:t>
            </w:r>
          </w:p>
        </w:tc>
        <w:tc>
          <w:tcPr>
            <w:tcW w:type="dxa" w:w="6800"/>
            <w:tcMar>
              <w:top w:type="dxa" w:w="80"/>
              <w:left w:type="dxa" w:w="100"/>
              <w:bottom w:type="dxa" w:w="80"/>
              <w:right w:type="dxa" w:w="100"/>
            </w:tcMar>
            <w:vAlign w:val="center"/>
          </w:tcPr>
          <w:p>
            <w:r>
              <w:rPr>
                <w:b w:val="false"/>
                <w:bCs w:val="false"/>
                <w:sz w:val="20"/>
                <w:szCs w:val="20"/>
              </w:rPr>
              <w:t xml:space="preserve">Access tokens shall be held in memory only, never in localStorage or sessionStorage (SRS NFR-3.2).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FE-N.2</w:t>
            </w:r>
          </w:p>
        </w:tc>
        <w:tc>
          <w:tcPr>
            <w:tcW w:type="dxa" w:w="6800"/>
            <w:tcMar>
              <w:top w:type="dxa" w:w="80"/>
              <w:left w:type="dxa" w:w="100"/>
              <w:bottom w:type="dxa" w:w="80"/>
              <w:right w:type="dxa" w:w="100"/>
            </w:tcMar>
            <w:vAlign w:val="center"/>
          </w:tcPr>
          <w:p>
            <w:r>
              <w:rPr>
                <w:b w:val="false"/>
                <w:bCs w:val="false"/>
                <w:sz w:val="20"/>
                <w:szCs w:val="20"/>
              </w:rPr>
              <w:t xml:space="preserve">Bank connection tokens shall never reach the client in any form (SRS NFR-9.2); the client shall have no code path expecting them.</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FE-N.3</w:t>
            </w:r>
          </w:p>
        </w:tc>
        <w:tc>
          <w:tcPr>
            <w:tcW w:type="dxa" w:w="6800"/>
            <w:tcMar>
              <w:top w:type="dxa" w:w="80"/>
              <w:left w:type="dxa" w:w="100"/>
              <w:bottom w:type="dxa" w:w="80"/>
              <w:right w:type="dxa" w:w="100"/>
            </w:tcMar>
            <w:vAlign w:val="center"/>
          </w:tcPr>
          <w:p>
            <w:r>
              <w:rPr>
                <w:b w:val="false"/>
                <w:bCs w:val="false"/>
                <w:sz w:val="20"/>
                <w:szCs w:val="20"/>
              </w:rPr>
              <w:t xml:space="preserve">No financial values or personally identifying data shall be written to client-side logs or analytics events (SRS NFR-7.2).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FE-N.4</w:t>
            </w:r>
          </w:p>
        </w:tc>
        <w:tc>
          <w:tcPr>
            <w:tcW w:type="dxa" w:w="6800"/>
            <w:tcMar>
              <w:top w:type="dxa" w:w="80"/>
              <w:left w:type="dxa" w:w="100"/>
              <w:bottom w:type="dxa" w:w="80"/>
              <w:right w:type="dxa" w:w="100"/>
            </w:tcMar>
            <w:vAlign w:val="center"/>
          </w:tcPr>
          <w:p>
            <w:r>
              <w:rPr>
                <w:b w:val="false"/>
                <w:bCs w:val="false"/>
                <w:sz w:val="20"/>
                <w:szCs w:val="20"/>
              </w:rPr>
              <w:t xml:space="preserve">Client shall enforce HTTPS-only API communication and shall fail closed rather than downgrade (SRS Section 4.4).</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FE-N.5</w:t>
            </w:r>
          </w:p>
        </w:tc>
        <w:tc>
          <w:tcPr>
            <w:tcW w:type="dxa" w:w="6800"/>
            <w:tcMar>
              <w:top w:type="dxa" w:w="80"/>
              <w:left w:type="dxa" w:w="100"/>
              <w:bottom w:type="dxa" w:w="80"/>
              <w:right w:type="dxa" w:w="100"/>
            </w:tcMar>
            <w:vAlign w:val="center"/>
          </w:tcPr>
          <w:p>
            <w:r>
              <w:rPr>
                <w:b w:val="false"/>
                <w:bCs w:val="false"/>
                <w:sz w:val="20"/>
                <w:szCs w:val="20"/>
              </w:rPr>
              <w:t xml:space="preserve">Account numbers shall be rendered masked to the final four digits in all contexts, with no reveal control (SRS FR-14.6).</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FE-N.6</w:t>
            </w:r>
          </w:p>
        </w:tc>
        <w:tc>
          <w:tcPr>
            <w:tcW w:type="dxa" w:w="6800"/>
            <w:tcMar>
              <w:top w:type="dxa" w:w="80"/>
              <w:left w:type="dxa" w:w="100"/>
              <w:bottom w:type="dxa" w:w="80"/>
              <w:right w:type="dxa" w:w="100"/>
            </w:tcMar>
            <w:vAlign w:val="center"/>
          </w:tcPr>
          <w:p>
            <w:r>
              <w:rPr>
                <w:b w:val="false"/>
                <w:bCs w:val="false"/>
                <w:sz w:val="20"/>
                <w:szCs w:val="20"/>
              </w:rPr>
              <w:t xml:space="preserve">Session termination shall clear all tenant-derived state from memory and any client caches.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FE-N.7</w:t>
            </w:r>
          </w:p>
        </w:tc>
        <w:tc>
          <w:tcPr>
            <w:tcW w:type="dxa" w:w="6800"/>
            <w:tcMar>
              <w:top w:type="dxa" w:w="80"/>
              <w:left w:type="dxa" w:w="100"/>
              <w:bottom w:type="dxa" w:w="80"/>
              <w:right w:type="dxa" w:w="100"/>
            </w:tcMar>
            <w:vAlign w:val="center"/>
          </w:tcPr>
          <w:p>
            <w:r>
              <w:rPr>
                <w:b w:val="false"/>
                <w:bCs w:val="false"/>
                <w:sz w:val="20"/>
                <w:szCs w:val="20"/>
              </w:rPr>
              <w:t xml:space="preserve">Third-party client-side scripts shall not be permitted on any screen rendering financial data, consistent with the SRS third-party data boundary (SRS FR-14.11).</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8.2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FE-N.8</w:t>
            </w:r>
          </w:p>
        </w:tc>
        <w:tc>
          <w:tcPr>
            <w:tcW w:type="dxa" w:w="6800"/>
            <w:tcMar>
              <w:top w:type="dxa" w:w="80"/>
              <w:left w:type="dxa" w:w="100"/>
              <w:bottom w:type="dxa" w:w="80"/>
              <w:right w:type="dxa" w:w="100"/>
            </w:tcMar>
            <w:vAlign w:val="center"/>
          </w:tcPr>
          <w:p>
            <w:r>
              <w:rPr>
                <w:b w:val="false"/>
                <w:bCs w:val="false"/>
                <w:sz w:val="20"/>
                <w:szCs w:val="20"/>
              </w:rPr>
              <w:t xml:space="preserve">Client shall conform to WCAG 2.1 Level AA.</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FE-N.9</w:t>
            </w:r>
          </w:p>
        </w:tc>
        <w:tc>
          <w:tcPr>
            <w:tcW w:type="dxa" w:w="6800"/>
            <w:tcMar>
              <w:top w:type="dxa" w:w="80"/>
              <w:left w:type="dxa" w:w="100"/>
              <w:bottom w:type="dxa" w:w="80"/>
              <w:right w:type="dxa" w:w="100"/>
            </w:tcMar>
            <w:vAlign w:val="center"/>
          </w:tcPr>
          <w:p>
            <w:r>
              <w:rPr>
                <w:b w:val="false"/>
                <w:bCs w:val="false"/>
                <w:sz w:val="20"/>
                <w:szCs w:val="20"/>
              </w:rPr>
              <w:t xml:space="preserve">All functionality shall be operable by keyboard alone, with visible focus indication.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FE-N.10</w:t>
            </w:r>
          </w:p>
        </w:tc>
        <w:tc>
          <w:tcPr>
            <w:tcW w:type="dxa" w:w="6800"/>
            <w:tcMar>
              <w:top w:type="dxa" w:w="80"/>
              <w:left w:type="dxa" w:w="100"/>
              <w:bottom w:type="dxa" w:w="80"/>
              <w:right w:type="dxa" w:w="100"/>
            </w:tcMar>
            <w:vAlign w:val="center"/>
          </w:tcPr>
          <w:p>
            <w:r>
              <w:rPr>
                <w:b w:val="false"/>
                <w:bCs w:val="false"/>
                <w:sz w:val="20"/>
                <w:szCs w:val="20"/>
              </w:rPr>
              <w:t xml:space="preserve">Financial information shall never be conveyed by color alone (e.g., income versus expense, over-budget status).</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FE-N.11</w:t>
            </w:r>
          </w:p>
        </w:tc>
        <w:tc>
          <w:tcPr>
            <w:tcW w:type="dxa" w:w="6800"/>
            <w:tcMar>
              <w:top w:type="dxa" w:w="80"/>
              <w:left w:type="dxa" w:w="100"/>
              <w:bottom w:type="dxa" w:w="80"/>
              <w:right w:type="dxa" w:w="100"/>
            </w:tcMar>
            <w:vAlign w:val="center"/>
          </w:tcPr>
          <w:p>
            <w:r>
              <w:rPr>
                <w:b w:val="false"/>
                <w:bCs w:val="false"/>
                <w:sz w:val="20"/>
                <w:szCs w:val="20"/>
              </w:rPr>
              <w:t xml:space="preserve">Charts and visualizations shall have an accessible tabular or textual equivalent.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FE-N.12</w:t>
            </w:r>
          </w:p>
        </w:tc>
        <w:tc>
          <w:tcPr>
            <w:tcW w:type="dxa" w:w="6800"/>
            <w:tcMar>
              <w:top w:type="dxa" w:w="80"/>
              <w:left w:type="dxa" w:w="100"/>
              <w:bottom w:type="dxa" w:w="80"/>
              <w:right w:type="dxa" w:w="100"/>
            </w:tcMar>
            <w:vAlign w:val="center"/>
          </w:tcPr>
          <w:p>
            <w:r>
              <w:rPr>
                <w:b w:val="false"/>
                <w:bCs w:val="false"/>
                <w:sz w:val="20"/>
                <w:szCs w:val="20"/>
              </w:rPr>
              <w:t xml:space="preserve">Form inputs shall have programmatically associated labels and error messaging.</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8.3 Performance &amp;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FE-N.13</w:t>
            </w:r>
          </w:p>
        </w:tc>
        <w:tc>
          <w:tcPr>
            <w:tcW w:type="dxa" w:w="6800"/>
            <w:tcMar>
              <w:top w:type="dxa" w:w="80"/>
              <w:left w:type="dxa" w:w="100"/>
              <w:bottom w:type="dxa" w:w="80"/>
              <w:right w:type="dxa" w:w="100"/>
            </w:tcMar>
            <w:vAlign w:val="center"/>
          </w:tcPr>
          <w:p>
            <w:r>
              <w:rPr>
                <w:b w:val="false"/>
                <w:bCs w:val="false"/>
                <w:sz w:val="20"/>
                <w:szCs w:val="20"/>
              </w:rPr>
              <w:t xml:space="preserve">Client shall render a meaningful first view within 2 seconds on a typical broadband connection.</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FE-N.14</w:t>
            </w:r>
          </w:p>
        </w:tc>
        <w:tc>
          <w:tcPr>
            <w:tcW w:type="dxa" w:w="6800"/>
            <w:tcMar>
              <w:top w:type="dxa" w:w="80"/>
              <w:left w:type="dxa" w:w="100"/>
              <w:bottom w:type="dxa" w:w="80"/>
              <w:right w:type="dxa" w:w="100"/>
            </w:tcMar>
            <w:vAlign w:val="center"/>
          </w:tcPr>
          <w:p>
            <w:r>
              <w:rPr>
                <w:b w:val="false"/>
                <w:bCs w:val="false"/>
                <w:sz w:val="20"/>
                <w:szCs w:val="20"/>
              </w:rPr>
              <w:t xml:space="preserve">Transaction lists shall paginate rather than loading unbounded history, aligned with the API's pagination contract (SRS FR-6.3).</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FE-N.15</w:t>
            </w:r>
          </w:p>
        </w:tc>
        <w:tc>
          <w:tcPr>
            <w:tcW w:type="dxa" w:w="6800"/>
            <w:tcMar>
              <w:top w:type="dxa" w:w="80"/>
              <w:left w:type="dxa" w:w="100"/>
              <w:bottom w:type="dxa" w:w="80"/>
              <w:right w:type="dxa" w:w="100"/>
            </w:tcMar>
            <w:vAlign w:val="center"/>
          </w:tcPr>
          <w:p>
            <w:r>
              <w:rPr>
                <w:b w:val="false"/>
                <w:bCs w:val="false"/>
                <w:sz w:val="20"/>
                <w:szCs w:val="20"/>
              </w:rPr>
              <w:t xml:space="preserve">Client shall remain interactive during report aggregation, consistent with the backend envelope in SRS NFR-1.2.</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spacing w:after="120"/>
      </w:pPr>
    </w:p>
    <w:p>
      <w:pPr>
        <w:pStyle w:val="Heading2"/>
        <w:spacing w:after="120" w:before="300"/>
      </w:pPr>
      <w:r>
        <w:t xml:space="preserve">8.4 Internationalization Readiness</w:t>
      </w:r>
    </w:p>
    <w:p>
      <w:pPr>
        <w:pStyle w:val="ListParagraph"/>
        <w:numPr>
          <w:ilvl w:val="0"/>
          <w:numId w:val="1"/>
        </w:numPr>
        <w:spacing w:after="60"/>
      </w:pPr>
      <w:r>
        <w:t xml:space="preserve">All user-facing strings shall be externalized rather than hard-coded, to support future localization</w:t>
      </w:r>
    </w:p>
    <w:p>
      <w:pPr>
        <w:pStyle w:val="ListParagraph"/>
        <w:numPr>
          <w:ilvl w:val="0"/>
          <w:numId w:val="1"/>
        </w:numPr>
        <w:spacing w:after="60"/>
      </w:pPr>
      <w:r>
        <w:t xml:space="preserve">Date, number, and currency formatting shall respect the user's locale and configured timezone (SRS FR-3.1)</w:t>
      </w:r>
    </w:p>
    <w:p>
      <w:pPr>
        <w:pStyle w:val="ListParagraph"/>
        <w:numPr>
          <w:ilvl w:val="0"/>
          <w:numId w:val="1"/>
        </w:numPr>
        <w:spacing w:after="60"/>
      </w:pPr>
      <w:r>
        <w:t xml:space="preserve">Layouts shall accommodate variable string length without breaking</w:t>
      </w:r>
    </w:p>
    <w:p>
      <w:pPr>
        <w:pStyle w:val="Heading1"/>
        <w:pageBreakBefore/>
        <w:spacing w:after="200"/>
      </w:pPr>
      <w:r>
        <w:t xml:space="preserve">9. Admin &amp; Support Console</w:t>
      </w:r>
    </w:p>
    <w:p>
      <w:pPr>
        <w:spacing w:after="160"/>
      </w:pPr>
      <w:r>
        <w:t xml:space="preserve">The support console is a separate frontend surface with its own authentication, deployed independently of the consumer client. It is specified here for completeness because SRS Section 3.11 defines its backend but no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800"/>
        <w:gridCol w:w="11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ID</w:t>
            </w:r>
          </w:p>
        </w:tc>
        <w:tc>
          <w:tcPr>
            <w:tcW w:type="dxa" w:w="6800"/>
            <w:shd w:fill="D9D9D9" w:color="auto" w:val="clear"/>
            <w:tcMar>
              <w:top w:type="dxa" w:w="80"/>
              <w:left w:type="dxa" w:w="100"/>
              <w:bottom w:type="dxa" w:w="80"/>
              <w:right w:type="dxa" w:w="100"/>
            </w:tcMar>
            <w:vAlign w:val="center"/>
          </w:tcPr>
          <w:p>
            <w:r>
              <w:rPr>
                <w:b/>
                <w:bCs/>
                <w:sz w:val="20"/>
                <w:szCs w:val="20"/>
              </w:rPr>
              <w:t xml:space="preserve">Requirement</w:t>
            </w:r>
          </w:p>
        </w:tc>
        <w:tc>
          <w:tcPr>
            <w:tcW w:type="dxa" w:w="1160"/>
            <w:shd w:fill="D9D9D9" w:color="auto" w:val="clear"/>
            <w:tcMar>
              <w:top w:type="dxa" w:w="80"/>
              <w:left w:type="dxa" w:w="100"/>
              <w:bottom w:type="dxa" w:w="80"/>
              <w:right w:type="dxa" w:w="100"/>
            </w:tcMar>
            <w:vAlign w:val="center"/>
          </w:tcPr>
          <w:p>
            <w:r>
              <w:rPr>
                <w:b/>
                <w:bCs/>
                <w:sz w:val="20"/>
                <w:szCs w:val="20"/>
              </w:rPr>
              <w:t xml:space="preserve">Priority</w:t>
            </w:r>
          </w:p>
        </w:tc>
      </w:tr>
      <w:tr>
        <w:tc>
          <w:tcPr>
            <w:tcW w:type="dxa" w:w="1400"/>
            <w:tcMar>
              <w:top w:type="dxa" w:w="80"/>
              <w:left w:type="dxa" w:w="100"/>
              <w:bottom w:type="dxa" w:w="80"/>
              <w:right w:type="dxa" w:w="100"/>
            </w:tcMar>
            <w:vAlign w:val="center"/>
          </w:tcPr>
          <w:p>
            <w:r>
              <w:rPr>
                <w:b w:val="false"/>
                <w:bCs w:val="false"/>
                <w:sz w:val="20"/>
                <w:szCs w:val="20"/>
              </w:rPr>
              <w:t xml:space="preserve">FE-11.1</w:t>
            </w:r>
          </w:p>
        </w:tc>
        <w:tc>
          <w:tcPr>
            <w:tcW w:type="dxa" w:w="6800"/>
            <w:tcMar>
              <w:top w:type="dxa" w:w="80"/>
              <w:left w:type="dxa" w:w="100"/>
              <w:bottom w:type="dxa" w:w="80"/>
              <w:right w:type="dxa" w:w="100"/>
            </w:tcMar>
            <w:vAlign w:val="center"/>
          </w:tcPr>
          <w:p>
            <w:r>
              <w:rPr>
                <w:b w:val="false"/>
                <w:bCs w:val="false"/>
                <w:sz w:val="20"/>
                <w:szCs w:val="20"/>
              </w:rPr>
              <w:t xml:space="preserve">Console shall allow support staff to look up a tenant by email, presenting account status in read-only form (SRS FR-11.1).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FE-11.2</w:t>
            </w:r>
          </w:p>
        </w:tc>
        <w:tc>
          <w:tcPr>
            <w:tcW w:type="dxa" w:w="6800"/>
            <w:tcMar>
              <w:top w:type="dxa" w:w="80"/>
              <w:left w:type="dxa" w:w="100"/>
              <w:bottom w:type="dxa" w:w="80"/>
              <w:right w:type="dxa" w:w="100"/>
            </w:tcMar>
            <w:vAlign w:val="center"/>
          </w:tcPr>
          <w:p>
            <w:r>
              <w:rPr>
                <w:b w:val="false"/>
                <w:bCs w:val="false"/>
                <w:sz w:val="20"/>
                <w:szCs w:val="20"/>
              </w:rPr>
              <w:t xml:space="preserve">Console shall present no control capable of modifying tenant financial data; it is a read-only surface by construction (SRS FR-11.1).</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FE-11.3</w:t>
            </w:r>
          </w:p>
        </w:tc>
        <w:tc>
          <w:tcPr>
            <w:tcW w:type="dxa" w:w="6800"/>
            <w:tcMar>
              <w:top w:type="dxa" w:w="80"/>
              <w:left w:type="dxa" w:w="100"/>
              <w:bottom w:type="dxa" w:w="80"/>
              <w:right w:type="dxa" w:w="100"/>
            </w:tcMar>
            <w:vAlign w:val="center"/>
          </w:tcPr>
          <w:p>
            <w:r>
              <w:rPr>
                <w:b w:val="false"/>
                <w:bCs w:val="false"/>
                <w:sz w:val="20"/>
                <w:szCs w:val="20"/>
              </w:rPr>
              <w:t xml:space="preserve">Accessing tenant data shall require the staff member to enter a reason, captured and submitted with the access request for audit (SRS FR-11.2).</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FE-11.4</w:t>
            </w:r>
          </w:p>
        </w:tc>
        <w:tc>
          <w:tcPr>
            <w:tcW w:type="dxa" w:w="6800"/>
            <w:tcMar>
              <w:top w:type="dxa" w:w="80"/>
              <w:left w:type="dxa" w:w="100"/>
              <w:bottom w:type="dxa" w:w="80"/>
              <w:right w:type="dxa" w:w="100"/>
            </w:tcMar>
            <w:vAlign w:val="center"/>
          </w:tcPr>
          <w:p>
            <w:r>
              <w:rPr>
                <w:b w:val="false"/>
                <w:bCs w:val="false"/>
                <w:sz w:val="20"/>
                <w:szCs w:val="20"/>
              </w:rPr>
              <w:t xml:space="preserve">Console shall display the active elevation window and remaining duration when time-boxed access is granted (SRS FR-11.3).</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FE-11.5</w:t>
            </w:r>
          </w:p>
        </w:tc>
        <w:tc>
          <w:tcPr>
            <w:tcW w:type="dxa" w:w="6800"/>
            <w:tcMar>
              <w:top w:type="dxa" w:w="80"/>
              <w:left w:type="dxa" w:w="100"/>
              <w:bottom w:type="dxa" w:w="80"/>
              <w:right w:type="dxa" w:w="100"/>
            </w:tcMar>
            <w:vAlign w:val="center"/>
          </w:tcPr>
          <w:p>
            <w:r>
              <w:rPr>
                <w:b w:val="false"/>
                <w:bCs w:val="false"/>
                <w:sz w:val="20"/>
                <w:szCs w:val="20"/>
              </w:rPr>
              <w:t xml:space="preserve">Console shall provide a system health dashboard covering error rates and background job queue status (SRS FR-11.4).</w:t>
            </w:r>
          </w:p>
        </w:tc>
        <w:tc>
          <w:tcPr>
            <w:tcW w:type="dxa" w:w="1160"/>
            <w:tcMar>
              <w:top w:type="dxa" w:w="80"/>
              <w:left w:type="dxa" w:w="100"/>
              <w:bottom w:type="dxa" w:w="80"/>
              <w:right w:type="dxa" w:w="100"/>
            </w:tcMar>
            <w:vAlign w:val="center"/>
          </w:tcPr>
          <w:p>
            <w:r>
              <w:rPr>
                <w:b w:val="false"/>
                <w:bCs w:val="false"/>
                <w:sz w:val="20"/>
                <w:szCs w:val="20"/>
              </w:rPr>
              <w:t xml:space="preserve">Should</w:t>
            </w:r>
          </w:p>
        </w:tc>
      </w:tr>
      <w:tr>
        <w:tc>
          <w:tcPr>
            <w:tcW w:type="dxa" w:w="1400"/>
            <w:tcMar>
              <w:top w:type="dxa" w:w="80"/>
              <w:left w:type="dxa" w:w="100"/>
              <w:bottom w:type="dxa" w:w="80"/>
              <w:right w:type="dxa" w:w="100"/>
            </w:tcMar>
            <w:vAlign w:val="center"/>
          </w:tcPr>
          <w:p>
            <w:r>
              <w:rPr>
                <w:b w:val="false"/>
                <w:bCs w:val="false"/>
                <w:sz w:val="20"/>
                <w:szCs w:val="20"/>
              </w:rPr>
              <w:t xml:space="preserve">FE-11.6</w:t>
            </w:r>
          </w:p>
        </w:tc>
        <w:tc>
          <w:tcPr>
            <w:tcW w:type="dxa" w:w="6800"/>
            <w:tcMar>
              <w:top w:type="dxa" w:w="80"/>
              <w:left w:type="dxa" w:w="100"/>
              <w:bottom w:type="dxa" w:w="80"/>
              <w:right w:type="dxa" w:w="100"/>
            </w:tcMar>
            <w:vAlign w:val="center"/>
          </w:tcPr>
          <w:p>
            <w:r>
              <w:rPr>
                <w:b w:val="false"/>
                <w:bCs w:val="false"/>
                <w:sz w:val="20"/>
                <w:szCs w:val="20"/>
              </w:rPr>
              <w:t xml:space="preserve">Console shall render financial values only where necessary for the stated support purpose, and shall mask account identifiers consistently with the consumer client.</w:t>
            </w:r>
          </w:p>
        </w:tc>
        <w:tc>
          <w:tcPr>
            <w:tcW w:type="dxa" w:w="1160"/>
            <w:tcMar>
              <w:top w:type="dxa" w:w="80"/>
              <w:left w:type="dxa" w:w="100"/>
              <w:bottom w:type="dxa" w:w="80"/>
              <w:right w:type="dxa" w:w="100"/>
            </w:tcMar>
            <w:vAlign w:val="center"/>
          </w:tcPr>
          <w:p>
            <w:r>
              <w:rPr>
                <w:b w:val="false"/>
                <w:bCs w:val="false"/>
                <w:sz w:val="20"/>
                <w:szCs w:val="20"/>
              </w:rPr>
              <w:t xml:space="preserve">Must</w:t>
            </w:r>
          </w:p>
        </w:tc>
      </w:tr>
      <w:tr>
        <w:tc>
          <w:tcPr>
            <w:tcW w:type="dxa" w:w="1400"/>
            <w:tcMar>
              <w:top w:type="dxa" w:w="80"/>
              <w:left w:type="dxa" w:w="100"/>
              <w:bottom w:type="dxa" w:w="80"/>
              <w:right w:type="dxa" w:w="100"/>
            </w:tcMar>
            <w:vAlign w:val="center"/>
          </w:tcPr>
          <w:p>
            <w:r>
              <w:rPr>
                <w:b w:val="false"/>
                <w:bCs w:val="false"/>
                <w:sz w:val="20"/>
                <w:szCs w:val="20"/>
              </w:rPr>
              <w:t xml:space="preserve">FE-11.7</w:t>
            </w:r>
          </w:p>
        </w:tc>
        <w:tc>
          <w:tcPr>
            <w:tcW w:type="dxa" w:w="6800"/>
            <w:tcMar>
              <w:top w:type="dxa" w:w="80"/>
              <w:left w:type="dxa" w:w="100"/>
              <w:bottom w:type="dxa" w:w="80"/>
              <w:right w:type="dxa" w:w="100"/>
            </w:tcMar>
            <w:vAlign w:val="center"/>
          </w:tcPr>
          <w:p>
            <w:r>
              <w:rPr>
                <w:b w:val="false"/>
                <w:bCs w:val="false"/>
                <w:sz w:val="20"/>
                <w:szCs w:val="20"/>
              </w:rPr>
              <w:t xml:space="preserve">Console shall be served on a separate origin from the consumer client, with independent authentication and no shared session.</w:t>
            </w:r>
          </w:p>
        </w:tc>
        <w:tc>
          <w:tcPr>
            <w:tcW w:type="dxa" w:w="1160"/>
            <w:tcMar>
              <w:top w:type="dxa" w:w="80"/>
              <w:left w:type="dxa" w:w="100"/>
              <w:bottom w:type="dxa" w:w="80"/>
              <w:right w:type="dxa" w:w="100"/>
            </w:tcMar>
            <w:vAlign w:val="center"/>
          </w:tcPr>
          <w:p>
            <w:r>
              <w:rPr>
                <w:b w:val="false"/>
                <w:bCs w:val="false"/>
                <w:sz w:val="20"/>
                <w:szCs w:val="20"/>
              </w:rPr>
              <w:t xml:space="preserve">Must</w:t>
            </w:r>
          </w:p>
        </w:tc>
      </w:tr>
    </w:tbl>
    <w:p>
      <w:pPr>
        <w:pStyle w:val="Heading1"/>
        <w:pageBreakBefore/>
        <w:spacing w:after="200"/>
      </w:pPr>
      <w:r>
        <w:t xml:space="preserve">10. Quality Assurance &amp; Acceptance</w:t>
      </w:r>
    </w:p>
    <w:p>
      <w:pPr>
        <w:pStyle w:val="Heading2"/>
        <w:spacing w:after="120" w:before="300"/>
      </w:pPr>
      <w:r>
        <w:t xml:space="preserve">10.1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color="auto" w:val="clear"/>
            <w:tcMar>
              <w:top w:type="dxa" w:w="80"/>
              <w:left w:type="dxa" w:w="100"/>
              <w:bottom w:type="dxa" w:w="80"/>
              <w:right w:type="dxa" w:w="100"/>
            </w:tcMar>
            <w:vAlign w:val="center"/>
          </w:tcPr>
          <w:p>
            <w:r>
              <w:rPr>
                <w:b/>
                <w:bCs/>
                <w:sz w:val="20"/>
                <w:szCs w:val="20"/>
              </w:rPr>
              <w:t xml:space="preserve">Area</w:t>
            </w:r>
          </w:p>
        </w:tc>
        <w:tc>
          <w:tcPr>
            <w:tcW w:type="dxa" w:w="6960"/>
            <w:shd w:fill="D9D9D9" w:color="auto" w:val="clear"/>
            <w:tcMar>
              <w:top w:type="dxa" w:w="80"/>
              <w:left w:type="dxa" w:w="100"/>
              <w:bottom w:type="dxa" w:w="80"/>
              <w:right w:type="dxa" w:w="100"/>
            </w:tcMar>
            <w:vAlign w:val="center"/>
          </w:tcPr>
          <w:p>
            <w:r>
              <w:rPr>
                <w:b/>
                <w:bCs/>
                <w:sz w:val="20"/>
                <w:szCs w:val="20"/>
              </w:rPr>
              <w:t xml:space="preserve">Coverage Requirement</w:t>
            </w:r>
          </w:p>
        </w:tc>
      </w:tr>
      <w:tr>
        <w:tc>
          <w:tcPr>
            <w:tcW w:type="dxa" w:w="2400"/>
            <w:tcMar>
              <w:top w:type="dxa" w:w="80"/>
              <w:left w:type="dxa" w:w="100"/>
              <w:bottom w:type="dxa" w:w="80"/>
              <w:right w:type="dxa" w:w="100"/>
            </w:tcMar>
            <w:vAlign w:val="center"/>
          </w:tcPr>
          <w:p>
            <w:r>
              <w:rPr>
                <w:b w:val="false"/>
                <w:bCs w:val="false"/>
                <w:sz w:val="20"/>
                <w:szCs w:val="20"/>
              </w:rPr>
              <w:t xml:space="preserve">Component</w:t>
            </w:r>
          </w:p>
        </w:tc>
        <w:tc>
          <w:tcPr>
            <w:tcW w:type="dxa" w:w="6960"/>
            <w:tcMar>
              <w:top w:type="dxa" w:w="80"/>
              <w:left w:type="dxa" w:w="100"/>
              <w:bottom w:type="dxa" w:w="80"/>
              <w:right w:type="dxa" w:w="100"/>
            </w:tcMar>
            <w:vAlign w:val="center"/>
          </w:tcPr>
          <w:p>
            <w:r>
              <w:rPr>
                <w:b w:val="false"/>
                <w:bCs w:val="false"/>
                <w:sz w:val="20"/>
                <w:szCs w:val="20"/>
              </w:rPr>
              <w:t xml:space="preserve">All interactive components tested across loading, empty, error, and populated states</w:t>
            </w:r>
          </w:p>
        </w:tc>
      </w:tr>
      <w:tr>
        <w:tc>
          <w:tcPr>
            <w:tcW w:type="dxa" w:w="2400"/>
            <w:tcMar>
              <w:top w:type="dxa" w:w="80"/>
              <w:left w:type="dxa" w:w="100"/>
              <w:bottom w:type="dxa" w:w="80"/>
              <w:right w:type="dxa" w:w="100"/>
            </w:tcMar>
            <w:vAlign w:val="center"/>
          </w:tcPr>
          <w:p>
            <w:r>
              <w:rPr>
                <w:b w:val="false"/>
                <w:bCs w:val="false"/>
                <w:sz w:val="20"/>
                <w:szCs w:val="20"/>
              </w:rPr>
              <w:t xml:space="preserve">Flow</w:t>
            </w:r>
          </w:p>
        </w:tc>
        <w:tc>
          <w:tcPr>
            <w:tcW w:type="dxa" w:w="6960"/>
            <w:tcMar>
              <w:top w:type="dxa" w:w="80"/>
              <w:left w:type="dxa" w:w="100"/>
              <w:bottom w:type="dxa" w:w="80"/>
              <w:right w:type="dxa" w:w="100"/>
            </w:tcMar>
            <w:vAlign w:val="center"/>
          </w:tcPr>
          <w:p>
            <w:r>
              <w:rPr>
                <w:b w:val="false"/>
                <w:bCs w:val="false"/>
                <w:sz w:val="20"/>
                <w:szCs w:val="20"/>
              </w:rPr>
              <w:t xml:space="preserve">End-to-end coverage of signup/verification, transaction entry with currency mismatch, bank linking with consent, subscription purchase, cancellation, and account deletion</w:t>
            </w:r>
          </w:p>
        </w:tc>
      </w:tr>
      <w:tr>
        <w:tc>
          <w:tcPr>
            <w:tcW w:type="dxa" w:w="2400"/>
            <w:tcMar>
              <w:top w:type="dxa" w:w="80"/>
              <w:left w:type="dxa" w:w="100"/>
              <w:bottom w:type="dxa" w:w="80"/>
              <w:right w:type="dxa" w:w="100"/>
            </w:tcMar>
            <w:vAlign w:val="center"/>
          </w:tcPr>
          <w:p>
            <w:r>
              <w:rPr>
                <w:b w:val="false"/>
                <w:bCs w:val="false"/>
                <w:sz w:val="20"/>
                <w:szCs w:val="20"/>
              </w:rPr>
              <w:t xml:space="preserve">Subscription gating</w:t>
            </w:r>
          </w:p>
        </w:tc>
        <w:tc>
          <w:tcPr>
            <w:tcW w:type="dxa" w:w="6960"/>
            <w:tcMar>
              <w:top w:type="dxa" w:w="80"/>
              <w:left w:type="dxa" w:w="100"/>
              <w:bottom w:type="dxa" w:w="80"/>
              <w:right w:type="dxa" w:w="100"/>
            </w:tcMar>
            <w:vAlign w:val="center"/>
          </w:tcPr>
          <w:p>
            <w:r>
              <w:rPr>
                <w:b w:val="false"/>
                <w:bCs w:val="false"/>
                <w:sz w:val="20"/>
                <w:szCs w:val="20"/>
              </w:rPr>
              <w:t xml:space="preserve">Verified that no manual-tracking capability is ever blocked by subscription state, in any status (trialing, active, past due, canceled)</w:t>
            </w:r>
          </w:p>
        </w:tc>
      </w:tr>
      <w:tr>
        <w:tc>
          <w:tcPr>
            <w:tcW w:type="dxa" w:w="2400"/>
            <w:tcMar>
              <w:top w:type="dxa" w:w="80"/>
              <w:left w:type="dxa" w:w="100"/>
              <w:bottom w:type="dxa" w:w="80"/>
              <w:right w:type="dxa" w:w="100"/>
            </w:tcMar>
            <w:vAlign w:val="center"/>
          </w:tcPr>
          <w:p>
            <w:r>
              <w:rPr>
                <w:b w:val="false"/>
                <w:bCs w:val="false"/>
                <w:sz w:val="20"/>
                <w:szCs w:val="20"/>
              </w:rPr>
              <w:t xml:space="preserve">Bank read-only</w:t>
            </w:r>
          </w:p>
        </w:tc>
        <w:tc>
          <w:tcPr>
            <w:tcW w:type="dxa" w:w="6960"/>
            <w:tcMar>
              <w:top w:type="dxa" w:w="80"/>
              <w:left w:type="dxa" w:w="100"/>
              <w:bottom w:type="dxa" w:w="80"/>
              <w:right w:type="dxa" w:w="100"/>
            </w:tcMar>
            <w:vAlign w:val="center"/>
          </w:tcPr>
          <w:p>
            <w:r>
              <w:rPr>
                <w:b w:val="false"/>
                <w:bCs w:val="false"/>
                <w:sz w:val="20"/>
                <w:szCs w:val="20"/>
              </w:rPr>
              <w:t xml:space="preserve">Verified that no control anywhere in the client can initiate a payment or transfer, and no credential or token is ever rendered</w:t>
            </w:r>
          </w:p>
        </w:tc>
      </w:tr>
      <w:tr>
        <w:tc>
          <w:tcPr>
            <w:tcW w:type="dxa" w:w="2400"/>
            <w:tcMar>
              <w:top w:type="dxa" w:w="80"/>
              <w:left w:type="dxa" w:w="100"/>
              <w:bottom w:type="dxa" w:w="80"/>
              <w:right w:type="dxa" w:w="100"/>
            </w:tcMar>
            <w:vAlign w:val="center"/>
          </w:tcPr>
          <w:p>
            <w:r>
              <w:rPr>
                <w:b w:val="false"/>
                <w:bCs w:val="false"/>
                <w:sz w:val="20"/>
                <w:szCs w:val="20"/>
              </w:rPr>
              <w:t xml:space="preserve">Currency correctness</w:t>
            </w:r>
          </w:p>
        </w:tc>
        <w:tc>
          <w:tcPr>
            <w:tcW w:type="dxa" w:w="6960"/>
            <w:tcMar>
              <w:top w:type="dxa" w:w="80"/>
              <w:left w:type="dxa" w:w="100"/>
              <w:bottom w:type="dxa" w:w="80"/>
              <w:right w:type="dxa" w:w="100"/>
            </w:tcMar>
            <w:vAlign w:val="center"/>
          </w:tcPr>
          <w:p>
            <w:r>
              <w:rPr>
                <w:b w:val="false"/>
                <w:bCs w:val="false"/>
                <w:sz w:val="20"/>
                <w:szCs w:val="20"/>
              </w:rPr>
              <w:t xml:space="preserve">Verified that original and converted values are both presented, with rate and as-of date, wherever currencies differ</w:t>
            </w:r>
          </w:p>
        </w:tc>
      </w:tr>
      <w:tr>
        <w:tc>
          <w:tcPr>
            <w:tcW w:type="dxa" w:w="2400"/>
            <w:tcMar>
              <w:top w:type="dxa" w:w="80"/>
              <w:left w:type="dxa" w:w="100"/>
              <w:bottom w:type="dxa" w:w="80"/>
              <w:right w:type="dxa" w:w="100"/>
            </w:tcMar>
            <w:vAlign w:val="center"/>
          </w:tcPr>
          <w:p>
            <w:r>
              <w:rPr>
                <w:b w:val="false"/>
                <w:bCs w:val="false"/>
                <w:sz w:val="20"/>
                <w:szCs w:val="20"/>
              </w:rPr>
              <w:t xml:space="preserve">Accessibility</w:t>
            </w:r>
          </w:p>
        </w:tc>
        <w:tc>
          <w:tcPr>
            <w:tcW w:type="dxa" w:w="6960"/>
            <w:tcMar>
              <w:top w:type="dxa" w:w="80"/>
              <w:left w:type="dxa" w:w="100"/>
              <w:bottom w:type="dxa" w:w="80"/>
              <w:right w:type="dxa" w:w="100"/>
            </w:tcMar>
            <w:vAlign w:val="center"/>
          </w:tcPr>
          <w:p>
            <w:r>
              <w:rPr>
                <w:b w:val="false"/>
                <w:bCs w:val="false"/>
                <w:sz w:val="20"/>
                <w:szCs w:val="20"/>
              </w:rPr>
              <w:t xml:space="preserve">Automated WCAG 2.1 AA scanning per build, plus manual keyboard and screen-reader validation of core flows</w:t>
            </w:r>
          </w:p>
        </w:tc>
      </w:tr>
      <w:tr>
        <w:tc>
          <w:tcPr>
            <w:tcW w:type="dxa" w:w="2400"/>
            <w:tcMar>
              <w:top w:type="dxa" w:w="80"/>
              <w:left w:type="dxa" w:w="100"/>
              <w:bottom w:type="dxa" w:w="80"/>
              <w:right w:type="dxa" w:w="100"/>
            </w:tcMar>
            <w:vAlign w:val="center"/>
          </w:tcPr>
          <w:p>
            <w:r>
              <w:rPr>
                <w:b w:val="false"/>
                <w:bCs w:val="false"/>
                <w:sz w:val="20"/>
                <w:szCs w:val="20"/>
              </w:rPr>
              <w:t xml:space="preserve">Cross-tenant</w:t>
            </w:r>
          </w:p>
        </w:tc>
        <w:tc>
          <w:tcPr>
            <w:tcW w:type="dxa" w:w="6960"/>
            <w:tcMar>
              <w:top w:type="dxa" w:w="80"/>
              <w:left w:type="dxa" w:w="100"/>
              <w:bottom w:type="dxa" w:w="80"/>
              <w:right w:type="dxa" w:w="100"/>
            </w:tcMar>
            <w:vAlign w:val="center"/>
          </w:tcPr>
          <w:p>
            <w:r>
              <w:rPr>
                <w:b w:val="false"/>
                <w:bCs w:val="false"/>
                <w:sz w:val="20"/>
                <w:szCs w:val="20"/>
              </w:rPr>
              <w:t xml:space="preserve">Verified that the client surfaces only server-scoped data and constructs no request capable of requesting another tenant's records</w:t>
            </w:r>
          </w:p>
        </w:tc>
      </w:tr>
    </w:tbl>
    <w:p>
      <w:pPr>
        <w:spacing w:after="120"/>
      </w:pPr>
    </w:p>
    <w:p>
      <w:pPr>
        <w:pStyle w:val="Heading2"/>
        <w:spacing w:after="120" w:before="300"/>
      </w:pPr>
      <w:r>
        <w:t xml:space="preserve">10.2 Acceptance Criteria</w:t>
      </w:r>
    </w:p>
    <w:p>
      <w:pPr>
        <w:pStyle w:val="ListParagraph"/>
        <w:numPr>
          <w:ilvl w:val="0"/>
          <w:numId w:val="1"/>
        </w:numPr>
        <w:spacing w:after="60"/>
      </w:pPr>
      <w:r>
        <w:t xml:space="preserve">Every Must-priority requirement in this document implemented and covered by automated tests</w:t>
      </w:r>
    </w:p>
    <w:p>
      <w:pPr>
        <w:pStyle w:val="ListParagraph"/>
        <w:numPr>
          <w:ilvl w:val="0"/>
          <w:numId w:val="1"/>
        </w:numPr>
        <w:spacing w:after="60"/>
      </w:pPr>
      <w:r>
        <w:t xml:space="preserve">Every SRS functional requirement traced to either a frontend requirement or an explicit, justified 'no interface required' entry (Appendix A)</w:t>
      </w:r>
    </w:p>
    <w:p>
      <w:pPr>
        <w:pStyle w:val="ListParagraph"/>
        <w:numPr>
          <w:ilvl w:val="0"/>
          <w:numId w:val="1"/>
        </w:numPr>
        <w:spacing w:after="60"/>
      </w:pPr>
      <w:r>
        <w:t xml:space="preserve">Zero screens capable of implying payment capability over linked bank accounts</w:t>
      </w:r>
    </w:p>
    <w:p>
      <w:pPr>
        <w:pStyle w:val="ListParagraph"/>
        <w:numPr>
          <w:ilvl w:val="0"/>
          <w:numId w:val="1"/>
        </w:numPr>
        <w:spacing w:after="60"/>
      </w:pPr>
      <w:r>
        <w:t xml:space="preserve">Zero paths where subscription state obstructs a free-tier workflow</w:t>
      </w:r>
    </w:p>
    <w:p>
      <w:pPr>
        <w:pStyle w:val="ListParagraph"/>
        <w:numPr>
          <w:ilvl w:val="0"/>
          <w:numId w:val="1"/>
        </w:numPr>
        <w:spacing w:after="60"/>
      </w:pPr>
      <w:r>
        <w:t xml:space="preserve">WCAG 2.1 AA conformance verified before public launch</w:t>
      </w:r>
    </w:p>
    <w:p>
      <w:pPr>
        <w:pStyle w:val="Heading1"/>
        <w:pageBreakBefore/>
        <w:spacing w:after="200"/>
      </w:pPr>
      <w:r>
        <w:t xml:space="preserve">11. Appendices</w:t>
      </w:r>
    </w:p>
    <w:p>
      <w:pPr>
        <w:pStyle w:val="Heading2"/>
        <w:spacing w:after="120" w:before="300"/>
      </w:pPr>
      <w:r>
        <w:t xml:space="preserve">Appendix A — SRS Traceability Matrix</w:t>
      </w:r>
    </w:p>
    <w:p>
      <w:pPr>
        <w:spacing w:after="160"/>
      </w:pPr>
      <w:r>
        <w:t xml:space="preserve">Every functional requirement in SRS v3.5 is listed below with its frontend coverage. Requirements with no user interface are marked explicitly rather than omitted, so absence of coverage is always a deliberate, visible decision rather than an oversight.</w:t>
      </w:r>
    </w:p>
    <w:p>
      <w:pPr>
        <w:pStyle w:val="Heading3"/>
        <w:spacing w:after="100" w:before="200"/>
      </w:pPr>
      <w:r>
        <w:t xml:space="preserve">A.1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760"/>
      </w:tblGrid>
      <w:tr>
        <w:trPr>
          <w:tblHeader/>
        </w:trPr>
        <w:tc>
          <w:tcPr>
            <w:tcW w:type="dxa" w:w="1300"/>
            <w:shd w:fill="D9D9D9" w:color="auto" w:val="clear"/>
            <w:tcMar>
              <w:top w:type="dxa" w:w="80"/>
              <w:left w:type="dxa" w:w="100"/>
              <w:bottom w:type="dxa" w:w="80"/>
              <w:right w:type="dxa" w:w="100"/>
            </w:tcMar>
            <w:vAlign w:val="center"/>
          </w:tcPr>
          <w:p>
            <w:r>
              <w:rPr>
                <w:b/>
                <w:bCs/>
                <w:sz w:val="20"/>
                <w:szCs w:val="20"/>
              </w:rPr>
              <w:t xml:space="preserve">SRS Req</w:t>
            </w:r>
          </w:p>
        </w:tc>
        <w:tc>
          <w:tcPr>
            <w:tcW w:type="dxa" w:w="5300"/>
            <w:shd w:fill="D9D9D9" w:color="auto" w:val="clear"/>
            <w:tcMar>
              <w:top w:type="dxa" w:w="80"/>
              <w:left w:type="dxa" w:w="100"/>
              <w:bottom w:type="dxa" w:w="80"/>
              <w:right w:type="dxa" w:w="100"/>
            </w:tcMar>
            <w:vAlign w:val="center"/>
          </w:tcPr>
          <w:p>
            <w:r>
              <w:rPr>
                <w:b/>
                <w:bCs/>
                <w:sz w:val="20"/>
                <w:szCs w:val="20"/>
              </w:rPr>
              <w:t xml:space="preserve">Frontend Coverage</w:t>
            </w:r>
          </w:p>
        </w:tc>
        <w:tc>
          <w:tcPr>
            <w:tcW w:type="dxa" w:w="2760"/>
            <w:shd w:fill="D9D9D9" w:color="auto" w:val="clear"/>
            <w:tcMar>
              <w:top w:type="dxa" w:w="80"/>
              <w:left w:type="dxa" w:w="100"/>
              <w:bottom w:type="dxa" w:w="80"/>
              <w:right w:type="dxa" w:w="100"/>
            </w:tcMar>
            <w:vAlign w:val="center"/>
          </w:tcPr>
          <w:p>
            <w:r>
              <w:rPr>
                <w:b/>
                <w:bCs/>
                <w:sz w:val="20"/>
                <w:szCs w:val="20"/>
              </w:rPr>
              <w:t xml:space="preserve">FRS Reference</w:t>
            </w:r>
          </w:p>
        </w:tc>
      </w:tr>
      <w:tr>
        <w:tc>
          <w:tcPr>
            <w:tcW w:type="dxa" w:w="1300"/>
            <w:tcMar>
              <w:top w:type="dxa" w:w="80"/>
              <w:left w:type="dxa" w:w="100"/>
              <w:bottom w:type="dxa" w:w="80"/>
              <w:right w:type="dxa" w:w="100"/>
            </w:tcMar>
            <w:vAlign w:val="center"/>
          </w:tcPr>
          <w:p>
            <w:r>
              <w:rPr>
                <w:b w:val="false"/>
                <w:bCs w:val="false"/>
                <w:sz w:val="20"/>
                <w:szCs w:val="20"/>
              </w:rPr>
              <w:t xml:space="preserve">FR-1.1</w:t>
            </w:r>
          </w:p>
        </w:tc>
        <w:tc>
          <w:tcPr>
            <w:tcW w:type="dxa" w:w="5300"/>
            <w:tcMar>
              <w:top w:type="dxa" w:w="80"/>
              <w:left w:type="dxa" w:w="100"/>
              <w:bottom w:type="dxa" w:w="80"/>
              <w:right w:type="dxa" w:w="100"/>
            </w:tcMar>
            <w:vAlign w:val="center"/>
          </w:tcPr>
          <w:p>
            <w:r>
              <w:rPr>
                <w:b w:val="false"/>
                <w:bCs w:val="false"/>
                <w:sz w:val="20"/>
                <w:szCs w:val="20"/>
              </w:rPr>
              <w:t xml:space="preserve">Signup creates account; client confirms and routes to verification state</w:t>
            </w:r>
          </w:p>
        </w:tc>
        <w:tc>
          <w:tcPr>
            <w:tcW w:type="dxa" w:w="2760"/>
            <w:tcMar>
              <w:top w:type="dxa" w:w="80"/>
              <w:left w:type="dxa" w:w="100"/>
              <w:bottom w:type="dxa" w:w="80"/>
              <w:right w:type="dxa" w:w="100"/>
            </w:tcMar>
            <w:vAlign w:val="center"/>
          </w:tcPr>
          <w:p>
            <w:r>
              <w:rPr>
                <w:b w:val="false"/>
                <w:bCs w:val="false"/>
                <w:sz w:val="20"/>
                <w:szCs w:val="20"/>
              </w:rPr>
              <w:t xml:space="preserve">FE-1.1, FE-1.4</w:t>
            </w:r>
          </w:p>
        </w:tc>
      </w:tr>
      <w:tr>
        <w:tc>
          <w:tcPr>
            <w:tcW w:type="dxa" w:w="1300"/>
            <w:tcMar>
              <w:top w:type="dxa" w:w="80"/>
              <w:left w:type="dxa" w:w="100"/>
              <w:bottom w:type="dxa" w:w="80"/>
              <w:right w:type="dxa" w:w="100"/>
            </w:tcMar>
            <w:vAlign w:val="center"/>
          </w:tcPr>
          <w:p>
            <w:r>
              <w:rPr>
                <w:b w:val="false"/>
                <w:bCs w:val="false"/>
                <w:sz w:val="20"/>
                <w:szCs w:val="20"/>
              </w:rPr>
              <w:t xml:space="preserve">FR-1.2</w:t>
            </w:r>
          </w:p>
        </w:tc>
        <w:tc>
          <w:tcPr>
            <w:tcW w:type="dxa" w:w="5300"/>
            <w:tcMar>
              <w:top w:type="dxa" w:w="80"/>
              <w:left w:type="dxa" w:w="100"/>
              <w:bottom w:type="dxa" w:w="80"/>
              <w:right w:type="dxa" w:w="100"/>
            </w:tcMar>
            <w:vAlign w:val="center"/>
          </w:tcPr>
          <w:p>
            <w:r>
              <w:rPr>
                <w:b w:val="false"/>
                <w:bCs w:val="false"/>
                <w:sz w:val="20"/>
                <w:szCs w:val="20"/>
              </w:rPr>
              <w:t xml:space="preserve">Backend-only — tenant assignment is invisible to the client by design</w:t>
            </w:r>
          </w:p>
        </w:tc>
        <w:tc>
          <w:tcPr>
            <w:tcW w:type="dxa" w:w="2760"/>
            <w:tcMar>
              <w:top w:type="dxa" w:w="80"/>
              <w:left w:type="dxa" w:w="100"/>
              <w:bottom w:type="dxa" w:w="80"/>
              <w:right w:type="dxa" w:w="100"/>
            </w:tcMar>
            <w:vAlign w:val="center"/>
          </w:tcPr>
          <w:p>
            <w:r>
              <w:rPr>
                <w:b w:val="false"/>
                <w:bCs w:val="false"/>
                <w:sz w:val="20"/>
                <w:szCs w:val="20"/>
              </w:rPr>
              <w:t xml:space="preserve">FE-1.2 (prohibition)</w:t>
            </w:r>
          </w:p>
        </w:tc>
      </w:tr>
      <w:tr>
        <w:tc>
          <w:tcPr>
            <w:tcW w:type="dxa" w:w="1300"/>
            <w:tcMar>
              <w:top w:type="dxa" w:w="80"/>
              <w:left w:type="dxa" w:w="100"/>
              <w:bottom w:type="dxa" w:w="80"/>
              <w:right w:type="dxa" w:w="100"/>
            </w:tcMar>
            <w:vAlign w:val="center"/>
          </w:tcPr>
          <w:p>
            <w:r>
              <w:rPr>
                <w:b w:val="false"/>
                <w:bCs w:val="false"/>
                <w:sz w:val="20"/>
                <w:szCs w:val="20"/>
              </w:rPr>
              <w:t xml:space="preserve">FR-1.3</w:t>
            </w:r>
          </w:p>
        </w:tc>
        <w:tc>
          <w:tcPr>
            <w:tcW w:type="dxa" w:w="5300"/>
            <w:tcMar>
              <w:top w:type="dxa" w:w="80"/>
              <w:left w:type="dxa" w:w="100"/>
              <w:bottom w:type="dxa" w:w="80"/>
              <w:right w:type="dxa" w:w="100"/>
            </w:tcMar>
            <w:vAlign w:val="center"/>
          </w:tcPr>
          <w:p>
            <w:r>
              <w:rPr>
                <w:b w:val="false"/>
                <w:bCs w:val="false"/>
                <w:sz w:val="20"/>
                <w:szCs w:val="20"/>
              </w:rPr>
              <w:t xml:space="preserve">Self-service account deletion with recovery-window disclosure</w:t>
            </w:r>
          </w:p>
        </w:tc>
        <w:tc>
          <w:tcPr>
            <w:tcW w:type="dxa" w:w="2760"/>
            <w:tcMar>
              <w:top w:type="dxa" w:w="80"/>
              <w:left w:type="dxa" w:w="100"/>
              <w:bottom w:type="dxa" w:w="80"/>
              <w:right w:type="dxa" w:w="100"/>
            </w:tcMar>
            <w:vAlign w:val="center"/>
          </w:tcPr>
          <w:p>
            <w:r>
              <w:rPr>
                <w:b w:val="false"/>
                <w:bCs w:val="false"/>
                <w:sz w:val="20"/>
                <w:szCs w:val="20"/>
              </w:rPr>
              <w:t xml:space="preserve">FE-13.4, FE-13.5</w:t>
            </w:r>
          </w:p>
        </w:tc>
      </w:tr>
      <w:tr>
        <w:tc>
          <w:tcPr>
            <w:tcW w:type="dxa" w:w="1300"/>
            <w:tcMar>
              <w:top w:type="dxa" w:w="80"/>
              <w:left w:type="dxa" w:w="100"/>
              <w:bottom w:type="dxa" w:w="80"/>
              <w:right w:type="dxa" w:w="100"/>
            </w:tcMar>
            <w:vAlign w:val="center"/>
          </w:tcPr>
          <w:p>
            <w:r>
              <w:rPr>
                <w:b w:val="false"/>
                <w:bCs w:val="false"/>
                <w:sz w:val="20"/>
                <w:szCs w:val="20"/>
              </w:rPr>
              <w:t xml:space="preserve">FR-1.4</w:t>
            </w:r>
          </w:p>
        </w:tc>
        <w:tc>
          <w:tcPr>
            <w:tcW w:type="dxa" w:w="5300"/>
            <w:tcMar>
              <w:top w:type="dxa" w:w="80"/>
              <w:left w:type="dxa" w:w="100"/>
              <w:bottom w:type="dxa" w:w="80"/>
              <w:right w:type="dxa" w:w="100"/>
            </w:tcMar>
            <w:vAlign w:val="center"/>
          </w:tcPr>
          <w:p>
            <w:r>
              <w:rPr>
                <w:b w:val="false"/>
                <w:bCs w:val="false"/>
                <w:sz w:val="20"/>
                <w:szCs w:val="20"/>
              </w:rPr>
              <w:t xml:space="preserve">No interface required — reserved schema field for Phase 2 household tenancy</w:t>
            </w:r>
          </w:p>
        </w:tc>
        <w:tc>
          <w:tcPr>
            <w:tcW w:type="dxa" w:w="2760"/>
            <w:tcMar>
              <w:top w:type="dxa" w:w="80"/>
              <w:left w:type="dxa" w:w="100"/>
              <w:bottom w:type="dxa" w:w="80"/>
              <w:right w:type="dxa" w:w="100"/>
            </w:tcMar>
            <w:vAlign w:val="center"/>
          </w:tcPr>
          <w:p>
            <w:r>
              <w:rPr>
                <w:b w:val="false"/>
                <w:bCs w:val="false"/>
                <w:sz w:val="20"/>
                <w:szCs w:val="20"/>
              </w:rPr>
              <w:t xml:space="preserve">Not applicable (Phase 2)</w:t>
            </w:r>
          </w:p>
        </w:tc>
      </w:tr>
      <w:tr>
        <w:tc>
          <w:tcPr>
            <w:tcW w:type="dxa" w:w="1300"/>
            <w:tcMar>
              <w:top w:type="dxa" w:w="80"/>
              <w:left w:type="dxa" w:w="100"/>
              <w:bottom w:type="dxa" w:w="80"/>
              <w:right w:type="dxa" w:w="100"/>
            </w:tcMar>
            <w:vAlign w:val="center"/>
          </w:tcPr>
          <w:p>
            <w:r>
              <w:rPr>
                <w:b w:val="false"/>
                <w:bCs w:val="false"/>
                <w:sz w:val="20"/>
                <w:szCs w:val="20"/>
              </w:rPr>
              <w:t xml:space="preserve">FR-2.1</w:t>
            </w:r>
          </w:p>
        </w:tc>
        <w:tc>
          <w:tcPr>
            <w:tcW w:type="dxa" w:w="5300"/>
            <w:tcMar>
              <w:top w:type="dxa" w:w="80"/>
              <w:left w:type="dxa" w:w="100"/>
              <w:bottom w:type="dxa" w:w="80"/>
              <w:right w:type="dxa" w:w="100"/>
            </w:tcMar>
            <w:vAlign w:val="center"/>
          </w:tcPr>
          <w:p>
            <w:r>
              <w:rPr>
                <w:b w:val="false"/>
                <w:bCs w:val="false"/>
                <w:sz w:val="20"/>
                <w:szCs w:val="20"/>
              </w:rPr>
              <w:t xml:space="preserve">Signup form with password policy stated upfront</w:t>
            </w:r>
          </w:p>
        </w:tc>
        <w:tc>
          <w:tcPr>
            <w:tcW w:type="dxa" w:w="2760"/>
            <w:tcMar>
              <w:top w:type="dxa" w:w="80"/>
              <w:left w:type="dxa" w:w="100"/>
              <w:bottom w:type="dxa" w:w="80"/>
              <w:right w:type="dxa" w:w="100"/>
            </w:tcMar>
            <w:vAlign w:val="center"/>
          </w:tcPr>
          <w:p>
            <w:r>
              <w:rPr>
                <w:b w:val="false"/>
                <w:bCs w:val="false"/>
                <w:sz w:val="20"/>
                <w:szCs w:val="20"/>
              </w:rPr>
              <w:t xml:space="preserve">FE-1.1</w:t>
            </w:r>
          </w:p>
        </w:tc>
      </w:tr>
      <w:tr>
        <w:tc>
          <w:tcPr>
            <w:tcW w:type="dxa" w:w="1300"/>
            <w:tcMar>
              <w:top w:type="dxa" w:w="80"/>
              <w:left w:type="dxa" w:w="100"/>
              <w:bottom w:type="dxa" w:w="80"/>
              <w:right w:type="dxa" w:w="100"/>
            </w:tcMar>
            <w:vAlign w:val="center"/>
          </w:tcPr>
          <w:p>
            <w:r>
              <w:rPr>
                <w:b w:val="false"/>
                <w:bCs w:val="false"/>
                <w:sz w:val="20"/>
                <w:szCs w:val="20"/>
              </w:rPr>
              <w:t xml:space="preserve">FR-2.2</w:t>
            </w:r>
          </w:p>
        </w:tc>
        <w:tc>
          <w:tcPr>
            <w:tcW w:type="dxa" w:w="5300"/>
            <w:tcMar>
              <w:top w:type="dxa" w:w="80"/>
              <w:left w:type="dxa" w:w="100"/>
              <w:bottom w:type="dxa" w:w="80"/>
              <w:right w:type="dxa" w:w="100"/>
            </w:tcMar>
            <w:vAlign w:val="center"/>
          </w:tcPr>
          <w:p>
            <w:r>
              <w:rPr>
                <w:b w:val="false"/>
                <w:bCs w:val="false"/>
                <w:sz w:val="20"/>
                <w:szCs w:val="20"/>
              </w:rPr>
              <w:t xml:space="preserve">In-memory token handling with transparent refresh</w:t>
            </w:r>
          </w:p>
        </w:tc>
        <w:tc>
          <w:tcPr>
            <w:tcW w:type="dxa" w:w="2760"/>
            <w:tcMar>
              <w:top w:type="dxa" w:w="80"/>
              <w:left w:type="dxa" w:w="100"/>
              <w:bottom w:type="dxa" w:w="80"/>
              <w:right w:type="dxa" w:w="100"/>
            </w:tcMar>
            <w:vAlign w:val="center"/>
          </w:tcPr>
          <w:p>
            <w:r>
              <w:rPr>
                <w:b w:val="false"/>
                <w:bCs w:val="false"/>
                <w:sz w:val="20"/>
                <w:szCs w:val="20"/>
              </w:rPr>
              <w:t xml:space="preserve">FE-2.2, FE-2.3, FE-N.1</w:t>
            </w:r>
          </w:p>
        </w:tc>
      </w:tr>
      <w:tr>
        <w:tc>
          <w:tcPr>
            <w:tcW w:type="dxa" w:w="1300"/>
            <w:tcMar>
              <w:top w:type="dxa" w:w="80"/>
              <w:left w:type="dxa" w:w="100"/>
              <w:bottom w:type="dxa" w:w="80"/>
              <w:right w:type="dxa" w:w="100"/>
            </w:tcMar>
            <w:vAlign w:val="center"/>
          </w:tcPr>
          <w:p>
            <w:r>
              <w:rPr>
                <w:b w:val="false"/>
                <w:bCs w:val="false"/>
                <w:sz w:val="20"/>
                <w:szCs w:val="20"/>
              </w:rPr>
              <w:t xml:space="preserve">FR-2.3</w:t>
            </w:r>
          </w:p>
        </w:tc>
        <w:tc>
          <w:tcPr>
            <w:tcW w:type="dxa" w:w="5300"/>
            <w:tcMar>
              <w:top w:type="dxa" w:w="80"/>
              <w:left w:type="dxa" w:w="100"/>
              <w:bottom w:type="dxa" w:w="80"/>
              <w:right w:type="dxa" w:w="100"/>
            </w:tcMar>
            <w:vAlign w:val="center"/>
          </w:tcPr>
          <w:p>
            <w:r>
              <w:rPr>
                <w:b w:val="false"/>
                <w:bCs w:val="false"/>
                <w:sz w:val="20"/>
                <w:szCs w:val="20"/>
              </w:rPr>
              <w:t xml:space="preserve">Verification landing states; restricted-mode banner</w:t>
            </w:r>
          </w:p>
        </w:tc>
        <w:tc>
          <w:tcPr>
            <w:tcW w:type="dxa" w:w="2760"/>
            <w:tcMar>
              <w:top w:type="dxa" w:w="80"/>
              <w:left w:type="dxa" w:w="100"/>
              <w:bottom w:type="dxa" w:w="80"/>
              <w:right w:type="dxa" w:w="100"/>
            </w:tcMar>
            <w:vAlign w:val="center"/>
          </w:tcPr>
          <w:p>
            <w:r>
              <w:rPr>
                <w:b w:val="false"/>
                <w:bCs w:val="false"/>
                <w:sz w:val="20"/>
                <w:szCs w:val="20"/>
              </w:rPr>
              <w:t xml:space="preserve">FE-2.4, Section 3.3</w:t>
            </w:r>
          </w:p>
        </w:tc>
      </w:tr>
      <w:tr>
        <w:tc>
          <w:tcPr>
            <w:tcW w:type="dxa" w:w="1300"/>
            <w:tcMar>
              <w:top w:type="dxa" w:w="80"/>
              <w:left w:type="dxa" w:w="100"/>
              <w:bottom w:type="dxa" w:w="80"/>
              <w:right w:type="dxa" w:w="100"/>
            </w:tcMar>
            <w:vAlign w:val="center"/>
          </w:tcPr>
          <w:p>
            <w:r>
              <w:rPr>
                <w:b w:val="false"/>
                <w:bCs w:val="false"/>
                <w:sz w:val="20"/>
                <w:szCs w:val="20"/>
              </w:rPr>
              <w:t xml:space="preserve">FR-2.4</w:t>
            </w:r>
          </w:p>
        </w:tc>
        <w:tc>
          <w:tcPr>
            <w:tcW w:type="dxa" w:w="5300"/>
            <w:tcMar>
              <w:top w:type="dxa" w:w="80"/>
              <w:left w:type="dxa" w:w="100"/>
              <w:bottom w:type="dxa" w:w="80"/>
              <w:right w:type="dxa" w:w="100"/>
            </w:tcMar>
            <w:vAlign w:val="center"/>
          </w:tcPr>
          <w:p>
            <w:r>
              <w:rPr>
                <w:b w:val="false"/>
                <w:bCs w:val="false"/>
                <w:sz w:val="20"/>
                <w:szCs w:val="20"/>
              </w:rPr>
              <w:t xml:space="preserve">Forgot/reset password flows with token pre-validation</w:t>
            </w:r>
          </w:p>
        </w:tc>
        <w:tc>
          <w:tcPr>
            <w:tcW w:type="dxa" w:w="2760"/>
            <w:tcMar>
              <w:top w:type="dxa" w:w="80"/>
              <w:left w:type="dxa" w:w="100"/>
              <w:bottom w:type="dxa" w:w="80"/>
              <w:right w:type="dxa" w:w="100"/>
            </w:tcMar>
            <w:vAlign w:val="center"/>
          </w:tcPr>
          <w:p>
            <w:r>
              <w:rPr>
                <w:b w:val="false"/>
                <w:bCs w:val="false"/>
                <w:sz w:val="20"/>
                <w:szCs w:val="20"/>
              </w:rPr>
              <w:t xml:space="preserve">FE-2.5, FE-2.6</w:t>
            </w:r>
          </w:p>
        </w:tc>
      </w:tr>
      <w:tr>
        <w:tc>
          <w:tcPr>
            <w:tcW w:type="dxa" w:w="1300"/>
            <w:tcMar>
              <w:top w:type="dxa" w:w="80"/>
              <w:left w:type="dxa" w:w="100"/>
              <w:bottom w:type="dxa" w:w="80"/>
              <w:right w:type="dxa" w:w="100"/>
            </w:tcMar>
            <w:vAlign w:val="center"/>
          </w:tcPr>
          <w:p>
            <w:r>
              <w:rPr>
                <w:b w:val="false"/>
                <w:bCs w:val="false"/>
                <w:sz w:val="20"/>
                <w:szCs w:val="20"/>
              </w:rPr>
              <w:t xml:space="preserve">FR-2.5</w:t>
            </w:r>
          </w:p>
        </w:tc>
        <w:tc>
          <w:tcPr>
            <w:tcW w:type="dxa" w:w="5300"/>
            <w:tcMar>
              <w:top w:type="dxa" w:w="80"/>
              <w:left w:type="dxa" w:w="100"/>
              <w:bottom w:type="dxa" w:w="80"/>
              <w:right w:type="dxa" w:w="100"/>
            </w:tcMar>
            <w:vAlign w:val="center"/>
          </w:tcPr>
          <w:p>
            <w:r>
              <w:rPr>
                <w:b w:val="false"/>
                <w:bCs w:val="false"/>
                <w:sz w:val="20"/>
                <w:szCs w:val="20"/>
              </w:rPr>
              <w:t xml:space="preserve">Rate-limit feedback with wait time and disabled resubmission</w:t>
            </w:r>
          </w:p>
        </w:tc>
        <w:tc>
          <w:tcPr>
            <w:tcW w:type="dxa" w:w="2760"/>
            <w:tcMar>
              <w:top w:type="dxa" w:w="80"/>
              <w:left w:type="dxa" w:w="100"/>
              <w:bottom w:type="dxa" w:w="80"/>
              <w:right w:type="dxa" w:w="100"/>
            </w:tcMar>
            <w:vAlign w:val="center"/>
          </w:tcPr>
          <w:p>
            <w:r>
              <w:rPr>
                <w:b w:val="false"/>
                <w:bCs w:val="false"/>
                <w:sz w:val="20"/>
                <w:szCs w:val="20"/>
              </w:rPr>
              <w:t xml:space="preserve">FE-2.7</w:t>
            </w:r>
          </w:p>
        </w:tc>
      </w:tr>
      <w:tr>
        <w:tc>
          <w:tcPr>
            <w:tcW w:type="dxa" w:w="1300"/>
            <w:tcMar>
              <w:top w:type="dxa" w:w="80"/>
              <w:left w:type="dxa" w:w="100"/>
              <w:bottom w:type="dxa" w:w="80"/>
              <w:right w:type="dxa" w:w="100"/>
            </w:tcMar>
            <w:vAlign w:val="center"/>
          </w:tcPr>
          <w:p>
            <w:r>
              <w:rPr>
                <w:b w:val="false"/>
                <w:bCs w:val="false"/>
                <w:sz w:val="20"/>
                <w:szCs w:val="20"/>
              </w:rPr>
              <w:t xml:space="preserve">FR-2.6</w:t>
            </w:r>
          </w:p>
        </w:tc>
        <w:tc>
          <w:tcPr>
            <w:tcW w:type="dxa" w:w="5300"/>
            <w:tcMar>
              <w:top w:type="dxa" w:w="80"/>
              <w:left w:type="dxa" w:w="100"/>
              <w:bottom w:type="dxa" w:w="80"/>
              <w:right w:type="dxa" w:w="100"/>
            </w:tcMar>
            <w:vAlign w:val="center"/>
          </w:tcPr>
          <w:p>
            <w:r>
              <w:rPr>
                <w:b w:val="false"/>
                <w:bCs w:val="false"/>
                <w:sz w:val="20"/>
                <w:szCs w:val="20"/>
              </w:rPr>
              <w:t xml:space="preserve">TOTP enrollment in security settings</w:t>
            </w:r>
          </w:p>
        </w:tc>
        <w:tc>
          <w:tcPr>
            <w:tcW w:type="dxa" w:w="2760"/>
            <w:tcMar>
              <w:top w:type="dxa" w:w="80"/>
              <w:left w:type="dxa" w:w="100"/>
              <w:bottom w:type="dxa" w:w="80"/>
              <w:right w:type="dxa" w:w="100"/>
            </w:tcMar>
            <w:vAlign w:val="center"/>
          </w:tcPr>
          <w:p>
            <w:r>
              <w:rPr>
                <w:b w:val="false"/>
                <w:bCs w:val="false"/>
                <w:sz w:val="20"/>
                <w:szCs w:val="20"/>
              </w:rPr>
              <w:t xml:space="preserve">FE-2.9 (Phase 2)</w:t>
            </w:r>
          </w:p>
        </w:tc>
      </w:tr>
      <w:tr>
        <w:tc>
          <w:tcPr>
            <w:tcW w:type="dxa" w:w="1300"/>
            <w:tcMar>
              <w:top w:type="dxa" w:w="80"/>
              <w:left w:type="dxa" w:w="100"/>
              <w:bottom w:type="dxa" w:w="80"/>
              <w:right w:type="dxa" w:w="100"/>
            </w:tcMar>
            <w:vAlign w:val="center"/>
          </w:tcPr>
          <w:p>
            <w:r>
              <w:rPr>
                <w:b w:val="false"/>
                <w:bCs w:val="false"/>
                <w:sz w:val="20"/>
                <w:szCs w:val="20"/>
              </w:rPr>
              <w:t xml:space="preserve">FR-2.7</w:t>
            </w:r>
          </w:p>
        </w:tc>
        <w:tc>
          <w:tcPr>
            <w:tcW w:type="dxa" w:w="5300"/>
            <w:tcMar>
              <w:top w:type="dxa" w:w="80"/>
              <w:left w:type="dxa" w:w="100"/>
              <w:bottom w:type="dxa" w:w="80"/>
              <w:right w:type="dxa" w:w="100"/>
            </w:tcMar>
            <w:vAlign w:val="center"/>
          </w:tcPr>
          <w:p>
            <w:r>
              <w:rPr>
                <w:b w:val="false"/>
                <w:bCs w:val="false"/>
                <w:sz w:val="20"/>
                <w:szCs w:val="20"/>
              </w:rPr>
              <w:t xml:space="preserve">SSO options on login/signup</w:t>
            </w:r>
          </w:p>
        </w:tc>
        <w:tc>
          <w:tcPr>
            <w:tcW w:type="dxa" w:w="2760"/>
            <w:tcMar>
              <w:top w:type="dxa" w:w="80"/>
              <w:left w:type="dxa" w:w="100"/>
              <w:bottom w:type="dxa" w:w="80"/>
              <w:right w:type="dxa" w:w="100"/>
            </w:tcMar>
            <w:vAlign w:val="center"/>
          </w:tcPr>
          <w:p>
            <w:r>
              <w:rPr>
                <w:b w:val="false"/>
                <w:bCs w:val="false"/>
                <w:sz w:val="20"/>
                <w:szCs w:val="20"/>
              </w:rPr>
              <w:t xml:space="preserve">FE-2.10 (Phase 2)</w:t>
            </w:r>
          </w:p>
        </w:tc>
      </w:tr>
      <w:tr>
        <w:tc>
          <w:tcPr>
            <w:tcW w:type="dxa" w:w="1300"/>
            <w:tcMar>
              <w:top w:type="dxa" w:w="80"/>
              <w:left w:type="dxa" w:w="100"/>
              <w:bottom w:type="dxa" w:w="80"/>
              <w:right w:type="dxa" w:w="100"/>
            </w:tcMar>
            <w:vAlign w:val="center"/>
          </w:tcPr>
          <w:p>
            <w:r>
              <w:rPr>
                <w:b w:val="false"/>
                <w:bCs w:val="false"/>
                <w:sz w:val="20"/>
                <w:szCs w:val="20"/>
              </w:rPr>
              <w:t xml:space="preserve">FR-3.1</w:t>
            </w:r>
          </w:p>
        </w:tc>
        <w:tc>
          <w:tcPr>
            <w:tcW w:type="dxa" w:w="5300"/>
            <w:tcMar>
              <w:top w:type="dxa" w:w="80"/>
              <w:left w:type="dxa" w:w="100"/>
              <w:bottom w:type="dxa" w:w="80"/>
              <w:right w:type="dxa" w:w="100"/>
            </w:tcMar>
            <w:vAlign w:val="center"/>
          </w:tcPr>
          <w:p>
            <w:r>
              <w:rPr>
                <w:b w:val="false"/>
                <w:bCs w:val="false"/>
                <w:sz w:val="20"/>
                <w:szCs w:val="20"/>
              </w:rPr>
              <w:t xml:space="preserve">Profile editing including timezone and display currency</w:t>
            </w:r>
          </w:p>
        </w:tc>
        <w:tc>
          <w:tcPr>
            <w:tcW w:type="dxa" w:w="2760"/>
            <w:tcMar>
              <w:top w:type="dxa" w:w="80"/>
              <w:left w:type="dxa" w:w="100"/>
              <w:bottom w:type="dxa" w:w="80"/>
              <w:right w:type="dxa" w:w="100"/>
            </w:tcMar>
            <w:vAlign w:val="center"/>
          </w:tcPr>
          <w:p>
            <w:r>
              <w:rPr>
                <w:b w:val="false"/>
                <w:bCs w:val="false"/>
                <w:sz w:val="20"/>
                <w:szCs w:val="20"/>
              </w:rPr>
              <w:t xml:space="preserve">FE-3.1, FE-3.2, Section 8.4</w:t>
            </w:r>
          </w:p>
        </w:tc>
      </w:tr>
      <w:tr>
        <w:tc>
          <w:tcPr>
            <w:tcW w:type="dxa" w:w="1300"/>
            <w:tcMar>
              <w:top w:type="dxa" w:w="80"/>
              <w:left w:type="dxa" w:w="100"/>
              <w:bottom w:type="dxa" w:w="80"/>
              <w:right w:type="dxa" w:w="100"/>
            </w:tcMar>
            <w:vAlign w:val="center"/>
          </w:tcPr>
          <w:p>
            <w:r>
              <w:rPr>
                <w:b w:val="false"/>
                <w:bCs w:val="false"/>
                <w:sz w:val="20"/>
                <w:szCs w:val="20"/>
              </w:rPr>
              <w:t xml:space="preserve">FR-3.2</w:t>
            </w:r>
          </w:p>
        </w:tc>
        <w:tc>
          <w:tcPr>
            <w:tcW w:type="dxa" w:w="5300"/>
            <w:tcMar>
              <w:top w:type="dxa" w:w="80"/>
              <w:left w:type="dxa" w:w="100"/>
              <w:bottom w:type="dxa" w:w="80"/>
              <w:right w:type="dxa" w:w="100"/>
            </w:tcMar>
            <w:vAlign w:val="center"/>
          </w:tcPr>
          <w:p>
            <w:r>
              <w:rPr>
                <w:b w:val="false"/>
                <w:bCs w:val="false"/>
                <w:sz w:val="20"/>
                <w:szCs w:val="20"/>
              </w:rPr>
              <w:t xml:space="preserve">Per-type notification preference toggles</w:t>
            </w:r>
          </w:p>
        </w:tc>
        <w:tc>
          <w:tcPr>
            <w:tcW w:type="dxa" w:w="2760"/>
            <w:tcMar>
              <w:top w:type="dxa" w:w="80"/>
              <w:left w:type="dxa" w:w="100"/>
              <w:bottom w:type="dxa" w:w="80"/>
              <w:right w:type="dxa" w:w="100"/>
            </w:tcMar>
            <w:vAlign w:val="center"/>
          </w:tcPr>
          <w:p>
            <w:r>
              <w:rPr>
                <w:b w:val="false"/>
                <w:bCs w:val="false"/>
                <w:sz w:val="20"/>
                <w:szCs w:val="20"/>
              </w:rPr>
              <w:t xml:space="preserve">FE-3.4, FE-10.2</w:t>
            </w:r>
          </w:p>
        </w:tc>
      </w:tr>
      <w:tr>
        <w:tc>
          <w:tcPr>
            <w:tcW w:type="dxa" w:w="1300"/>
            <w:tcMar>
              <w:top w:type="dxa" w:w="80"/>
              <w:left w:type="dxa" w:w="100"/>
              <w:bottom w:type="dxa" w:w="80"/>
              <w:right w:type="dxa" w:w="100"/>
            </w:tcMar>
            <w:vAlign w:val="center"/>
          </w:tcPr>
          <w:p>
            <w:r>
              <w:rPr>
                <w:b w:val="false"/>
                <w:bCs w:val="false"/>
                <w:sz w:val="20"/>
                <w:szCs w:val="20"/>
              </w:rPr>
              <w:t xml:space="preserve">FR-3.3</w:t>
            </w:r>
          </w:p>
        </w:tc>
        <w:tc>
          <w:tcPr>
            <w:tcW w:type="dxa" w:w="5300"/>
            <w:tcMar>
              <w:top w:type="dxa" w:w="80"/>
              <w:left w:type="dxa" w:w="100"/>
              <w:bottom w:type="dxa" w:w="80"/>
              <w:right w:type="dxa" w:w="100"/>
            </w:tcMar>
            <w:vAlign w:val="center"/>
          </w:tcPr>
          <w:p>
            <w:r>
              <w:rPr>
                <w:b w:val="false"/>
                <w:bCs w:val="false"/>
                <w:sz w:val="20"/>
                <w:szCs w:val="20"/>
              </w:rPr>
              <w:t xml:space="preserve">Profile and preferences included in data export</w:t>
            </w:r>
          </w:p>
        </w:tc>
        <w:tc>
          <w:tcPr>
            <w:tcW w:type="dxa" w:w="2760"/>
            <w:tcMar>
              <w:top w:type="dxa" w:w="80"/>
              <w:left w:type="dxa" w:w="100"/>
              <w:bottom w:type="dxa" w:w="80"/>
              <w:right w:type="dxa" w:w="100"/>
            </w:tcMar>
            <w:vAlign w:val="center"/>
          </w:tcPr>
          <w:p>
            <w:r>
              <w:rPr>
                <w:b w:val="false"/>
                <w:bCs w:val="false"/>
                <w:sz w:val="20"/>
                <w:szCs w:val="20"/>
              </w:rPr>
              <w:t xml:space="preserve">FE-13.1</w:t>
            </w:r>
          </w:p>
        </w:tc>
      </w:tr>
      <w:tr>
        <w:tc>
          <w:tcPr>
            <w:tcW w:type="dxa" w:w="1300"/>
            <w:tcMar>
              <w:top w:type="dxa" w:w="80"/>
              <w:left w:type="dxa" w:w="100"/>
              <w:bottom w:type="dxa" w:w="80"/>
              <w:right w:type="dxa" w:w="100"/>
            </w:tcMar>
            <w:vAlign w:val="center"/>
          </w:tcPr>
          <w:p>
            <w:r>
              <w:rPr>
                <w:b w:val="false"/>
                <w:bCs w:val="false"/>
                <w:sz w:val="20"/>
                <w:szCs w:val="20"/>
              </w:rPr>
              <w:t xml:space="preserve">FR-4.1</w:t>
            </w:r>
          </w:p>
        </w:tc>
        <w:tc>
          <w:tcPr>
            <w:tcW w:type="dxa" w:w="5300"/>
            <w:tcMar>
              <w:top w:type="dxa" w:w="80"/>
              <w:left w:type="dxa" w:w="100"/>
              <w:bottom w:type="dxa" w:w="80"/>
              <w:right w:type="dxa" w:w="100"/>
            </w:tcMar>
            <w:vAlign w:val="center"/>
          </w:tcPr>
          <w:p>
            <w:r>
              <w:rPr>
                <w:b w:val="false"/>
                <w:bCs w:val="false"/>
                <w:sz w:val="20"/>
                <w:szCs w:val="20"/>
              </w:rPr>
              <w:t xml:space="preserve">Account creation with type selection</w:t>
            </w:r>
          </w:p>
        </w:tc>
        <w:tc>
          <w:tcPr>
            <w:tcW w:type="dxa" w:w="2760"/>
            <w:tcMar>
              <w:top w:type="dxa" w:w="80"/>
              <w:left w:type="dxa" w:w="100"/>
              <w:bottom w:type="dxa" w:w="80"/>
              <w:right w:type="dxa" w:w="100"/>
            </w:tcMar>
            <w:vAlign w:val="center"/>
          </w:tcPr>
          <w:p>
            <w:r>
              <w:rPr>
                <w:b w:val="false"/>
                <w:bCs w:val="false"/>
                <w:sz w:val="20"/>
                <w:szCs w:val="20"/>
              </w:rPr>
              <w:t xml:space="preserve">FE-4.2</w:t>
            </w:r>
          </w:p>
        </w:tc>
      </w:tr>
      <w:tr>
        <w:tc>
          <w:tcPr>
            <w:tcW w:type="dxa" w:w="1300"/>
            <w:tcMar>
              <w:top w:type="dxa" w:w="80"/>
              <w:left w:type="dxa" w:w="100"/>
              <w:bottom w:type="dxa" w:w="80"/>
              <w:right w:type="dxa" w:w="100"/>
            </w:tcMar>
            <w:vAlign w:val="center"/>
          </w:tcPr>
          <w:p>
            <w:r>
              <w:rPr>
                <w:b w:val="false"/>
                <w:bCs w:val="false"/>
                <w:sz w:val="20"/>
                <w:szCs w:val="20"/>
              </w:rPr>
              <w:t xml:space="preserve">FR-4.2</w:t>
            </w:r>
          </w:p>
        </w:tc>
        <w:tc>
          <w:tcPr>
            <w:tcW w:type="dxa" w:w="5300"/>
            <w:tcMar>
              <w:top w:type="dxa" w:w="80"/>
              <w:left w:type="dxa" w:w="100"/>
              <w:bottom w:type="dxa" w:w="80"/>
              <w:right w:type="dxa" w:w="100"/>
            </w:tcMar>
            <w:vAlign w:val="center"/>
          </w:tcPr>
          <w:p>
            <w:r>
              <w:rPr>
                <w:b w:val="false"/>
                <w:bCs w:val="false"/>
                <w:sz w:val="20"/>
                <w:szCs w:val="20"/>
              </w:rPr>
              <w:t xml:space="preserve">Accounts list, edit, and delete confined to own tenant</w:t>
            </w:r>
          </w:p>
        </w:tc>
        <w:tc>
          <w:tcPr>
            <w:tcW w:type="dxa" w:w="2760"/>
            <w:tcMar>
              <w:top w:type="dxa" w:w="80"/>
              <w:left w:type="dxa" w:w="100"/>
              <w:bottom w:type="dxa" w:w="80"/>
              <w:right w:type="dxa" w:w="100"/>
            </w:tcMar>
            <w:vAlign w:val="center"/>
          </w:tcPr>
          <w:p>
            <w:r>
              <w:rPr>
                <w:b w:val="false"/>
                <w:bCs w:val="false"/>
                <w:sz w:val="20"/>
                <w:szCs w:val="20"/>
              </w:rPr>
              <w:t xml:space="preserve">FE-4.1, FE-4.4</w:t>
            </w:r>
          </w:p>
        </w:tc>
      </w:tr>
      <w:tr>
        <w:tc>
          <w:tcPr>
            <w:tcW w:type="dxa" w:w="1300"/>
            <w:tcMar>
              <w:top w:type="dxa" w:w="80"/>
              <w:left w:type="dxa" w:w="100"/>
              <w:bottom w:type="dxa" w:w="80"/>
              <w:right w:type="dxa" w:w="100"/>
            </w:tcMar>
            <w:vAlign w:val="center"/>
          </w:tcPr>
          <w:p>
            <w:r>
              <w:rPr>
                <w:b w:val="false"/>
                <w:bCs w:val="false"/>
                <w:sz w:val="20"/>
                <w:szCs w:val="20"/>
              </w:rPr>
              <w:t xml:space="preserve">FR-4.3</w:t>
            </w:r>
          </w:p>
        </w:tc>
        <w:tc>
          <w:tcPr>
            <w:tcW w:type="dxa" w:w="5300"/>
            <w:tcMar>
              <w:top w:type="dxa" w:w="80"/>
              <w:left w:type="dxa" w:w="100"/>
              <w:bottom w:type="dxa" w:w="80"/>
              <w:right w:type="dxa" w:w="100"/>
            </w:tcMar>
            <w:vAlign w:val="center"/>
          </w:tcPr>
          <w:p>
            <w:r>
              <w:rPr>
                <w:b w:val="false"/>
                <w:bCs w:val="false"/>
                <w:sz w:val="20"/>
                <w:szCs w:val="20"/>
              </w:rPr>
              <w:t xml:space="preserve">Balances displayed with currency indicator; effect of edits disclosed</w:t>
            </w:r>
          </w:p>
        </w:tc>
        <w:tc>
          <w:tcPr>
            <w:tcW w:type="dxa" w:w="2760"/>
            <w:tcMar>
              <w:top w:type="dxa" w:w="80"/>
              <w:left w:type="dxa" w:w="100"/>
              <w:bottom w:type="dxa" w:w="80"/>
              <w:right w:type="dxa" w:w="100"/>
            </w:tcMar>
            <w:vAlign w:val="center"/>
          </w:tcPr>
          <w:p>
            <w:r>
              <w:rPr>
                <w:b w:val="false"/>
                <w:bCs w:val="false"/>
                <w:sz w:val="20"/>
                <w:szCs w:val="20"/>
              </w:rPr>
              <w:t xml:space="preserve">FE-4.5, FE-6.7</w:t>
            </w:r>
          </w:p>
        </w:tc>
      </w:tr>
      <w:tr>
        <w:tc>
          <w:tcPr>
            <w:tcW w:type="dxa" w:w="1300"/>
            <w:tcMar>
              <w:top w:type="dxa" w:w="80"/>
              <w:left w:type="dxa" w:w="100"/>
              <w:bottom w:type="dxa" w:w="80"/>
              <w:right w:type="dxa" w:w="100"/>
            </w:tcMar>
            <w:vAlign w:val="center"/>
          </w:tcPr>
          <w:p>
            <w:r>
              <w:rPr>
                <w:b w:val="false"/>
                <w:bCs w:val="false"/>
                <w:sz w:val="20"/>
                <w:szCs w:val="20"/>
              </w:rPr>
              <w:t xml:space="preserve">FR-4.4</w:t>
            </w:r>
          </w:p>
        </w:tc>
        <w:tc>
          <w:tcPr>
            <w:tcW w:type="dxa" w:w="5300"/>
            <w:tcMar>
              <w:top w:type="dxa" w:w="80"/>
              <w:left w:type="dxa" w:w="100"/>
              <w:bottom w:type="dxa" w:w="80"/>
              <w:right w:type="dxa" w:w="100"/>
            </w:tcMar>
            <w:vAlign w:val="center"/>
          </w:tcPr>
          <w:p>
            <w:r>
              <w:rPr>
                <w:b w:val="false"/>
                <w:bCs w:val="false"/>
                <w:sz w:val="20"/>
                <w:szCs w:val="20"/>
              </w:rPr>
              <w:t xml:space="preserve">Native currency set at creation, immutable thereafter</w:t>
            </w:r>
          </w:p>
        </w:tc>
        <w:tc>
          <w:tcPr>
            <w:tcW w:type="dxa" w:w="2760"/>
            <w:tcMar>
              <w:top w:type="dxa" w:w="80"/>
              <w:left w:type="dxa" w:w="100"/>
              <w:bottom w:type="dxa" w:w="80"/>
              <w:right w:type="dxa" w:w="100"/>
            </w:tcMar>
            <w:vAlign w:val="center"/>
          </w:tcPr>
          <w:p>
            <w:r>
              <w:rPr>
                <w:b w:val="false"/>
                <w:bCs w:val="false"/>
                <w:sz w:val="20"/>
                <w:szCs w:val="20"/>
              </w:rPr>
              <w:t xml:space="preserve">FE-4.2, FE-4.3</w:t>
            </w:r>
          </w:p>
        </w:tc>
      </w:tr>
      <w:tr>
        <w:tc>
          <w:tcPr>
            <w:tcW w:type="dxa" w:w="1300"/>
            <w:tcMar>
              <w:top w:type="dxa" w:w="80"/>
              <w:left w:type="dxa" w:w="100"/>
              <w:bottom w:type="dxa" w:w="80"/>
              <w:right w:type="dxa" w:w="100"/>
            </w:tcMar>
            <w:vAlign w:val="center"/>
          </w:tcPr>
          <w:p>
            <w:r>
              <w:rPr>
                <w:b w:val="false"/>
                <w:bCs w:val="false"/>
                <w:sz w:val="20"/>
                <w:szCs w:val="20"/>
              </w:rPr>
              <w:t xml:space="preserve">FR-5.1</w:t>
            </w:r>
          </w:p>
        </w:tc>
        <w:tc>
          <w:tcPr>
            <w:tcW w:type="dxa" w:w="5300"/>
            <w:tcMar>
              <w:top w:type="dxa" w:w="80"/>
              <w:left w:type="dxa" w:w="100"/>
              <w:bottom w:type="dxa" w:w="80"/>
              <w:right w:type="dxa" w:w="100"/>
            </w:tcMar>
            <w:vAlign w:val="center"/>
          </w:tcPr>
          <w:p>
            <w:r>
              <w:rPr>
                <w:b w:val="false"/>
                <w:bCs w:val="false"/>
                <w:sz w:val="20"/>
                <w:szCs w:val="20"/>
              </w:rPr>
              <w:t xml:space="preserve">Category creation with optional monthly limit</w:t>
            </w:r>
          </w:p>
        </w:tc>
        <w:tc>
          <w:tcPr>
            <w:tcW w:type="dxa" w:w="2760"/>
            <w:tcMar>
              <w:top w:type="dxa" w:w="80"/>
              <w:left w:type="dxa" w:w="100"/>
              <w:bottom w:type="dxa" w:w="80"/>
              <w:right w:type="dxa" w:w="100"/>
            </w:tcMar>
            <w:vAlign w:val="center"/>
          </w:tcPr>
          <w:p>
            <w:r>
              <w:rPr>
                <w:b w:val="false"/>
                <w:bCs w:val="false"/>
                <w:sz w:val="20"/>
                <w:szCs w:val="20"/>
              </w:rPr>
              <w:t xml:space="preserve">FE-5.2</w:t>
            </w:r>
          </w:p>
        </w:tc>
      </w:tr>
      <w:tr>
        <w:tc>
          <w:tcPr>
            <w:tcW w:type="dxa" w:w="1300"/>
            <w:tcMar>
              <w:top w:type="dxa" w:w="80"/>
              <w:left w:type="dxa" w:w="100"/>
              <w:bottom w:type="dxa" w:w="80"/>
              <w:right w:type="dxa" w:w="100"/>
            </w:tcMar>
            <w:vAlign w:val="center"/>
          </w:tcPr>
          <w:p>
            <w:r>
              <w:rPr>
                <w:b w:val="false"/>
                <w:bCs w:val="false"/>
                <w:sz w:val="20"/>
                <w:szCs w:val="20"/>
              </w:rPr>
              <w:t xml:space="preserve">FR-5.2</w:t>
            </w:r>
          </w:p>
        </w:tc>
        <w:tc>
          <w:tcPr>
            <w:tcW w:type="dxa" w:w="5300"/>
            <w:tcMar>
              <w:top w:type="dxa" w:w="80"/>
              <w:left w:type="dxa" w:w="100"/>
              <w:bottom w:type="dxa" w:w="80"/>
              <w:right w:type="dxa" w:w="100"/>
            </w:tcMar>
            <w:vAlign w:val="center"/>
          </w:tcPr>
          <w:p>
            <w:r>
              <w:rPr>
                <w:b w:val="false"/>
                <w:bCs w:val="false"/>
                <w:sz w:val="20"/>
                <w:szCs w:val="20"/>
              </w:rPr>
              <w:t xml:space="preserve">Category list, edit, delete with dependency warning</w:t>
            </w:r>
          </w:p>
        </w:tc>
        <w:tc>
          <w:tcPr>
            <w:tcW w:type="dxa" w:w="2760"/>
            <w:tcMar>
              <w:top w:type="dxa" w:w="80"/>
              <w:left w:type="dxa" w:w="100"/>
              <w:bottom w:type="dxa" w:w="80"/>
              <w:right w:type="dxa" w:w="100"/>
            </w:tcMar>
            <w:vAlign w:val="center"/>
          </w:tcPr>
          <w:p>
            <w:r>
              <w:rPr>
                <w:b w:val="false"/>
                <w:bCs w:val="false"/>
                <w:sz w:val="20"/>
                <w:szCs w:val="20"/>
              </w:rPr>
              <w:t xml:space="preserve">FE-5.1, FE-5.4</w:t>
            </w:r>
          </w:p>
        </w:tc>
      </w:tr>
      <w:tr>
        <w:tc>
          <w:tcPr>
            <w:tcW w:type="dxa" w:w="1300"/>
            <w:tcMar>
              <w:top w:type="dxa" w:w="80"/>
              <w:left w:type="dxa" w:w="100"/>
              <w:bottom w:type="dxa" w:w="80"/>
              <w:right w:type="dxa" w:w="100"/>
            </w:tcMar>
            <w:vAlign w:val="center"/>
          </w:tcPr>
          <w:p>
            <w:r>
              <w:rPr>
                <w:b w:val="false"/>
                <w:bCs w:val="false"/>
                <w:sz w:val="20"/>
                <w:szCs w:val="20"/>
              </w:rPr>
              <w:t xml:space="preserve">FR-5.3</w:t>
            </w:r>
          </w:p>
        </w:tc>
        <w:tc>
          <w:tcPr>
            <w:tcW w:type="dxa" w:w="5300"/>
            <w:tcMar>
              <w:top w:type="dxa" w:w="80"/>
              <w:left w:type="dxa" w:w="100"/>
              <w:bottom w:type="dxa" w:w="80"/>
              <w:right w:type="dxa" w:w="100"/>
            </w:tcMar>
            <w:vAlign w:val="center"/>
          </w:tcPr>
          <w:p>
            <w:r>
              <w:rPr>
                <w:b w:val="false"/>
                <w:bCs w:val="false"/>
                <w:sz w:val="20"/>
                <w:szCs w:val="20"/>
              </w:rPr>
              <w:t xml:space="preserve">Starter categories presented as editable/removable</w:t>
            </w:r>
          </w:p>
        </w:tc>
        <w:tc>
          <w:tcPr>
            <w:tcW w:type="dxa" w:w="2760"/>
            <w:tcMar>
              <w:top w:type="dxa" w:w="80"/>
              <w:left w:type="dxa" w:w="100"/>
              <w:bottom w:type="dxa" w:w="80"/>
              <w:right w:type="dxa" w:w="100"/>
            </w:tcMar>
            <w:vAlign w:val="center"/>
          </w:tcPr>
          <w:p>
            <w:r>
              <w:rPr>
                <w:b w:val="false"/>
                <w:bCs w:val="false"/>
                <w:sz w:val="20"/>
                <w:szCs w:val="20"/>
              </w:rPr>
              <w:t xml:space="preserve">FE-5.3</w:t>
            </w:r>
          </w:p>
        </w:tc>
      </w:tr>
      <w:tr>
        <w:tc>
          <w:tcPr>
            <w:tcW w:type="dxa" w:w="1300"/>
            <w:tcMar>
              <w:top w:type="dxa" w:w="80"/>
              <w:left w:type="dxa" w:w="100"/>
              <w:bottom w:type="dxa" w:w="80"/>
              <w:right w:type="dxa" w:w="100"/>
            </w:tcMar>
            <w:vAlign w:val="center"/>
          </w:tcPr>
          <w:p>
            <w:r>
              <w:rPr>
                <w:b w:val="false"/>
                <w:bCs w:val="false"/>
                <w:sz w:val="20"/>
                <w:szCs w:val="20"/>
              </w:rPr>
              <w:t xml:space="preserve">FR-6.1</w:t>
            </w:r>
          </w:p>
        </w:tc>
        <w:tc>
          <w:tcPr>
            <w:tcW w:type="dxa" w:w="5300"/>
            <w:tcMar>
              <w:top w:type="dxa" w:w="80"/>
              <w:left w:type="dxa" w:w="100"/>
              <w:bottom w:type="dxa" w:w="80"/>
              <w:right w:type="dxa" w:w="100"/>
            </w:tcMar>
            <w:vAlign w:val="center"/>
          </w:tcPr>
          <w:p>
            <w:r>
              <w:rPr>
                <w:b w:val="false"/>
                <w:bCs w:val="false"/>
                <w:sz w:val="20"/>
                <w:szCs w:val="20"/>
              </w:rPr>
              <w:t xml:space="preserve">Explicit user-selected transaction currency at entry</w:t>
            </w:r>
          </w:p>
        </w:tc>
        <w:tc>
          <w:tcPr>
            <w:tcW w:type="dxa" w:w="2760"/>
            <w:tcMar>
              <w:top w:type="dxa" w:w="80"/>
              <w:left w:type="dxa" w:w="100"/>
              <w:bottom w:type="dxa" w:w="80"/>
              <w:right w:type="dxa" w:w="100"/>
            </w:tcMar>
            <w:vAlign w:val="center"/>
          </w:tcPr>
          <w:p>
            <w:r>
              <w:rPr>
                <w:b w:val="false"/>
                <w:bCs w:val="false"/>
                <w:sz w:val="20"/>
                <w:szCs w:val="20"/>
              </w:rPr>
              <w:t xml:space="preserve">FE-6.1, FE-6.2</w:t>
            </w:r>
          </w:p>
        </w:tc>
      </w:tr>
      <w:tr>
        <w:tc>
          <w:tcPr>
            <w:tcW w:type="dxa" w:w="1300"/>
            <w:tcMar>
              <w:top w:type="dxa" w:w="80"/>
              <w:left w:type="dxa" w:w="100"/>
              <w:bottom w:type="dxa" w:w="80"/>
              <w:right w:type="dxa" w:w="100"/>
            </w:tcMar>
            <w:vAlign w:val="center"/>
          </w:tcPr>
          <w:p>
            <w:r>
              <w:rPr>
                <w:b w:val="false"/>
                <w:bCs w:val="false"/>
                <w:sz w:val="20"/>
                <w:szCs w:val="20"/>
              </w:rPr>
              <w:t xml:space="preserve">FR-6.2</w:t>
            </w:r>
          </w:p>
        </w:tc>
        <w:tc>
          <w:tcPr>
            <w:tcW w:type="dxa" w:w="5300"/>
            <w:tcMar>
              <w:top w:type="dxa" w:w="80"/>
              <w:left w:type="dxa" w:w="100"/>
              <w:bottom w:type="dxa" w:w="80"/>
              <w:right w:type="dxa" w:w="100"/>
            </w:tcMar>
            <w:vAlign w:val="center"/>
          </w:tcPr>
          <w:p>
            <w:r>
              <w:rPr>
                <w:b w:val="false"/>
                <w:bCs w:val="false"/>
                <w:sz w:val="20"/>
                <w:szCs w:val="20"/>
              </w:rPr>
              <w:t xml:space="preserve">Conversion preview with rate and as-of date before confirmation</w:t>
            </w:r>
          </w:p>
        </w:tc>
        <w:tc>
          <w:tcPr>
            <w:tcW w:type="dxa" w:w="2760"/>
            <w:tcMar>
              <w:top w:type="dxa" w:w="80"/>
              <w:left w:type="dxa" w:w="100"/>
              <w:bottom w:type="dxa" w:w="80"/>
              <w:right w:type="dxa" w:w="100"/>
            </w:tcMar>
            <w:vAlign w:val="center"/>
          </w:tcPr>
          <w:p>
            <w:r>
              <w:rPr>
                <w:b w:val="false"/>
                <w:bCs w:val="false"/>
                <w:sz w:val="20"/>
                <w:szCs w:val="20"/>
              </w:rPr>
              <w:t xml:space="preserve">FE-6.3, FE-X.4</w:t>
            </w:r>
          </w:p>
        </w:tc>
      </w:tr>
      <w:tr>
        <w:tc>
          <w:tcPr>
            <w:tcW w:type="dxa" w:w="1300"/>
            <w:tcMar>
              <w:top w:type="dxa" w:w="80"/>
              <w:left w:type="dxa" w:w="100"/>
              <w:bottom w:type="dxa" w:w="80"/>
              <w:right w:type="dxa" w:w="100"/>
            </w:tcMar>
            <w:vAlign w:val="center"/>
          </w:tcPr>
          <w:p>
            <w:r>
              <w:rPr>
                <w:b w:val="false"/>
                <w:bCs w:val="false"/>
                <w:sz w:val="20"/>
                <w:szCs w:val="20"/>
              </w:rPr>
              <w:t xml:space="preserve">FR-6.3</w:t>
            </w:r>
          </w:p>
        </w:tc>
        <w:tc>
          <w:tcPr>
            <w:tcW w:type="dxa" w:w="5300"/>
            <w:tcMar>
              <w:top w:type="dxa" w:w="80"/>
              <w:left w:type="dxa" w:w="100"/>
              <w:bottom w:type="dxa" w:w="80"/>
              <w:right w:type="dxa" w:w="100"/>
            </w:tcMar>
            <w:vAlign w:val="center"/>
          </w:tcPr>
          <w:p>
            <w:r>
              <w:rPr>
                <w:b w:val="false"/>
                <w:bCs w:val="false"/>
                <w:sz w:val="20"/>
                <w:szCs w:val="20"/>
              </w:rPr>
              <w:t xml:space="preserve">Paginated, filterable transaction list</w:t>
            </w:r>
          </w:p>
        </w:tc>
        <w:tc>
          <w:tcPr>
            <w:tcW w:type="dxa" w:w="2760"/>
            <w:tcMar>
              <w:top w:type="dxa" w:w="80"/>
              <w:left w:type="dxa" w:w="100"/>
              <w:bottom w:type="dxa" w:w="80"/>
              <w:right w:type="dxa" w:w="100"/>
            </w:tcMar>
            <w:vAlign w:val="center"/>
          </w:tcPr>
          <w:p>
            <w:r>
              <w:rPr>
                <w:b w:val="false"/>
                <w:bCs w:val="false"/>
                <w:sz w:val="20"/>
                <w:szCs w:val="20"/>
              </w:rPr>
              <w:t xml:space="preserve">FE-6.5, FE-N.14</w:t>
            </w:r>
          </w:p>
        </w:tc>
      </w:tr>
      <w:tr>
        <w:tc>
          <w:tcPr>
            <w:tcW w:type="dxa" w:w="1300"/>
            <w:tcMar>
              <w:top w:type="dxa" w:w="80"/>
              <w:left w:type="dxa" w:w="100"/>
              <w:bottom w:type="dxa" w:w="80"/>
              <w:right w:type="dxa" w:w="100"/>
            </w:tcMar>
            <w:vAlign w:val="center"/>
          </w:tcPr>
          <w:p>
            <w:r>
              <w:rPr>
                <w:b w:val="false"/>
                <w:bCs w:val="false"/>
                <w:sz w:val="20"/>
                <w:szCs w:val="20"/>
              </w:rPr>
              <w:t xml:space="preserve">FR-6.4</w:t>
            </w:r>
          </w:p>
        </w:tc>
        <w:tc>
          <w:tcPr>
            <w:tcW w:type="dxa" w:w="5300"/>
            <w:tcMar>
              <w:top w:type="dxa" w:w="80"/>
              <w:left w:type="dxa" w:w="100"/>
              <w:bottom w:type="dxa" w:w="80"/>
              <w:right w:type="dxa" w:w="100"/>
            </w:tcMar>
            <w:vAlign w:val="center"/>
          </w:tcPr>
          <w:p>
            <w:r>
              <w:rPr>
                <w:b w:val="false"/>
                <w:bCs w:val="false"/>
                <w:sz w:val="20"/>
                <w:szCs w:val="20"/>
              </w:rPr>
              <w:t xml:space="preserve">CSV import with mapping, preview, and per-row errors</w:t>
            </w:r>
          </w:p>
        </w:tc>
        <w:tc>
          <w:tcPr>
            <w:tcW w:type="dxa" w:w="2760"/>
            <w:tcMar>
              <w:top w:type="dxa" w:w="80"/>
              <w:left w:type="dxa" w:w="100"/>
              <w:bottom w:type="dxa" w:w="80"/>
              <w:right w:type="dxa" w:w="100"/>
            </w:tcMar>
            <w:vAlign w:val="center"/>
          </w:tcPr>
          <w:p>
            <w:r>
              <w:rPr>
                <w:b w:val="false"/>
                <w:bCs w:val="false"/>
                <w:sz w:val="20"/>
                <w:szCs w:val="20"/>
              </w:rPr>
              <w:t xml:space="preserve">FE-6.6</w:t>
            </w:r>
          </w:p>
        </w:tc>
      </w:tr>
      <w:tr>
        <w:tc>
          <w:tcPr>
            <w:tcW w:type="dxa" w:w="1300"/>
            <w:tcMar>
              <w:top w:type="dxa" w:w="80"/>
              <w:left w:type="dxa" w:w="100"/>
              <w:bottom w:type="dxa" w:w="80"/>
              <w:right w:type="dxa" w:w="100"/>
            </w:tcMar>
            <w:vAlign w:val="center"/>
          </w:tcPr>
          <w:p>
            <w:r>
              <w:rPr>
                <w:b w:val="false"/>
                <w:bCs w:val="false"/>
                <w:sz w:val="20"/>
                <w:szCs w:val="20"/>
              </w:rPr>
              <w:t xml:space="preserve">FR-6.5</w:t>
            </w:r>
          </w:p>
        </w:tc>
        <w:tc>
          <w:tcPr>
            <w:tcW w:type="dxa" w:w="5300"/>
            <w:tcMar>
              <w:top w:type="dxa" w:w="80"/>
              <w:left w:type="dxa" w:w="100"/>
              <w:bottom w:type="dxa" w:w="80"/>
              <w:right w:type="dxa" w:w="100"/>
            </w:tcMar>
            <w:vAlign w:val="center"/>
          </w:tcPr>
          <w:p>
            <w:r>
              <w:rPr>
                <w:b w:val="false"/>
                <w:bCs w:val="false"/>
                <w:sz w:val="20"/>
                <w:szCs w:val="20"/>
              </w:rPr>
              <w:t xml:space="preserve">Original and converted amounts both displayed</w:t>
            </w:r>
          </w:p>
        </w:tc>
        <w:tc>
          <w:tcPr>
            <w:tcW w:type="dxa" w:w="2760"/>
            <w:tcMar>
              <w:top w:type="dxa" w:w="80"/>
              <w:left w:type="dxa" w:w="100"/>
              <w:bottom w:type="dxa" w:w="80"/>
              <w:right w:type="dxa" w:w="100"/>
            </w:tcMar>
            <w:vAlign w:val="center"/>
          </w:tcPr>
          <w:p>
            <w:r>
              <w:rPr>
                <w:b w:val="false"/>
                <w:bCs w:val="false"/>
                <w:sz w:val="20"/>
                <w:szCs w:val="20"/>
              </w:rPr>
              <w:t xml:space="preserve">FE-6.4, FE-X.2</w:t>
            </w:r>
          </w:p>
        </w:tc>
      </w:tr>
      <w:tr>
        <w:tc>
          <w:tcPr>
            <w:tcW w:type="dxa" w:w="1300"/>
            <w:tcMar>
              <w:top w:type="dxa" w:w="80"/>
              <w:left w:type="dxa" w:w="100"/>
              <w:bottom w:type="dxa" w:w="80"/>
              <w:right w:type="dxa" w:w="100"/>
            </w:tcMar>
            <w:vAlign w:val="center"/>
          </w:tcPr>
          <w:p>
            <w:r>
              <w:rPr>
                <w:b w:val="false"/>
                <w:bCs w:val="false"/>
                <w:sz w:val="20"/>
                <w:szCs w:val="20"/>
              </w:rPr>
              <w:t xml:space="preserve">FR-7.1</w:t>
            </w:r>
          </w:p>
        </w:tc>
        <w:tc>
          <w:tcPr>
            <w:tcW w:type="dxa" w:w="5300"/>
            <w:tcMar>
              <w:top w:type="dxa" w:w="80"/>
              <w:left w:type="dxa" w:w="100"/>
              <w:bottom w:type="dxa" w:w="80"/>
              <w:right w:type="dxa" w:w="100"/>
            </w:tcMar>
            <w:vAlign w:val="center"/>
          </w:tcPr>
          <w:p>
            <w:r>
              <w:rPr>
                <w:b w:val="false"/>
                <w:bCs w:val="false"/>
                <w:sz w:val="20"/>
                <w:szCs w:val="20"/>
              </w:rPr>
              <w:t xml:space="preserve">Recurring bill creation with schedule restatement</w:t>
            </w:r>
          </w:p>
        </w:tc>
        <w:tc>
          <w:tcPr>
            <w:tcW w:type="dxa" w:w="2760"/>
            <w:tcMar>
              <w:top w:type="dxa" w:w="80"/>
              <w:left w:type="dxa" w:w="100"/>
              <w:bottom w:type="dxa" w:w="80"/>
              <w:right w:type="dxa" w:w="100"/>
            </w:tcMar>
            <w:vAlign w:val="center"/>
          </w:tcPr>
          <w:p>
            <w:r>
              <w:rPr>
                <w:b w:val="false"/>
                <w:bCs w:val="false"/>
                <w:sz w:val="20"/>
                <w:szCs w:val="20"/>
              </w:rPr>
              <w:t xml:space="preserve">FE-7.2</w:t>
            </w:r>
          </w:p>
        </w:tc>
      </w:tr>
      <w:tr>
        <w:tc>
          <w:tcPr>
            <w:tcW w:type="dxa" w:w="1300"/>
            <w:tcMar>
              <w:top w:type="dxa" w:w="80"/>
              <w:left w:type="dxa" w:w="100"/>
              <w:bottom w:type="dxa" w:w="80"/>
              <w:right w:type="dxa" w:w="100"/>
            </w:tcMar>
            <w:vAlign w:val="center"/>
          </w:tcPr>
          <w:p>
            <w:r>
              <w:rPr>
                <w:b w:val="false"/>
                <w:bCs w:val="false"/>
                <w:sz w:val="20"/>
                <w:szCs w:val="20"/>
              </w:rPr>
              <w:t xml:space="preserve">FR-7.2</w:t>
            </w:r>
          </w:p>
        </w:tc>
        <w:tc>
          <w:tcPr>
            <w:tcW w:type="dxa" w:w="5300"/>
            <w:tcMar>
              <w:top w:type="dxa" w:w="80"/>
              <w:left w:type="dxa" w:w="100"/>
              <w:bottom w:type="dxa" w:w="80"/>
              <w:right w:type="dxa" w:w="100"/>
            </w:tcMar>
            <w:vAlign w:val="center"/>
          </w:tcPr>
          <w:p>
            <w:r>
              <w:rPr>
                <w:b w:val="false"/>
                <w:bCs w:val="false"/>
                <w:sz w:val="20"/>
                <w:szCs w:val="20"/>
              </w:rPr>
              <w:t xml:space="preserve">Auto-generated transactions visually distinguished</w:t>
            </w:r>
          </w:p>
        </w:tc>
        <w:tc>
          <w:tcPr>
            <w:tcW w:type="dxa" w:w="2760"/>
            <w:tcMar>
              <w:top w:type="dxa" w:w="80"/>
              <w:left w:type="dxa" w:w="100"/>
              <w:bottom w:type="dxa" w:w="80"/>
              <w:right w:type="dxa" w:w="100"/>
            </w:tcMar>
            <w:vAlign w:val="center"/>
          </w:tcPr>
          <w:p>
            <w:r>
              <w:rPr>
                <w:b w:val="false"/>
                <w:bCs w:val="false"/>
                <w:sz w:val="20"/>
                <w:szCs w:val="20"/>
              </w:rPr>
              <w:t xml:space="preserve">FE-7.3</w:t>
            </w:r>
          </w:p>
        </w:tc>
      </w:tr>
      <w:tr>
        <w:tc>
          <w:tcPr>
            <w:tcW w:type="dxa" w:w="1300"/>
            <w:tcMar>
              <w:top w:type="dxa" w:w="80"/>
              <w:left w:type="dxa" w:w="100"/>
              <w:bottom w:type="dxa" w:w="80"/>
              <w:right w:type="dxa" w:w="100"/>
            </w:tcMar>
            <w:vAlign w:val="center"/>
          </w:tcPr>
          <w:p>
            <w:r>
              <w:rPr>
                <w:b w:val="false"/>
                <w:bCs w:val="false"/>
                <w:sz w:val="20"/>
                <w:szCs w:val="20"/>
              </w:rPr>
              <w:t xml:space="preserve">FR-7.3</w:t>
            </w:r>
          </w:p>
        </w:tc>
        <w:tc>
          <w:tcPr>
            <w:tcW w:type="dxa" w:w="5300"/>
            <w:tcMar>
              <w:top w:type="dxa" w:w="80"/>
              <w:left w:type="dxa" w:w="100"/>
              <w:bottom w:type="dxa" w:w="80"/>
              <w:right w:type="dxa" w:w="100"/>
            </w:tcMar>
            <w:vAlign w:val="center"/>
          </w:tcPr>
          <w:p>
            <w:r>
              <w:rPr>
                <w:b w:val="false"/>
                <w:bCs w:val="false"/>
                <w:sz w:val="20"/>
                <w:szCs w:val="20"/>
              </w:rPr>
              <w:t xml:space="preserve">In-app bill generation and overdue notifications</w:t>
            </w:r>
          </w:p>
        </w:tc>
        <w:tc>
          <w:tcPr>
            <w:tcW w:type="dxa" w:w="2760"/>
            <w:tcMar>
              <w:top w:type="dxa" w:w="80"/>
              <w:left w:type="dxa" w:w="100"/>
              <w:bottom w:type="dxa" w:w="80"/>
              <w:right w:type="dxa" w:w="100"/>
            </w:tcMar>
            <w:vAlign w:val="center"/>
          </w:tcPr>
          <w:p>
            <w:r>
              <w:rPr>
                <w:b w:val="false"/>
                <w:bCs w:val="false"/>
                <w:sz w:val="20"/>
                <w:szCs w:val="20"/>
              </w:rPr>
              <w:t xml:space="preserve">FE-7.4, FE-10.1</w:t>
            </w:r>
          </w:p>
        </w:tc>
      </w:tr>
      <w:tr>
        <w:tc>
          <w:tcPr>
            <w:tcW w:type="dxa" w:w="1300"/>
            <w:tcMar>
              <w:top w:type="dxa" w:w="80"/>
              <w:left w:type="dxa" w:w="100"/>
              <w:bottom w:type="dxa" w:w="80"/>
              <w:right w:type="dxa" w:w="100"/>
            </w:tcMar>
            <w:vAlign w:val="center"/>
          </w:tcPr>
          <w:p>
            <w:r>
              <w:rPr>
                <w:b w:val="false"/>
                <w:bCs w:val="false"/>
                <w:sz w:val="20"/>
                <w:szCs w:val="20"/>
              </w:rPr>
              <w:t xml:space="preserve">FR-8.1</w:t>
            </w:r>
          </w:p>
        </w:tc>
        <w:tc>
          <w:tcPr>
            <w:tcW w:type="dxa" w:w="5300"/>
            <w:tcMar>
              <w:top w:type="dxa" w:w="80"/>
              <w:left w:type="dxa" w:w="100"/>
              <w:bottom w:type="dxa" w:w="80"/>
              <w:right w:type="dxa" w:w="100"/>
            </w:tcMar>
            <w:vAlign w:val="center"/>
          </w:tcPr>
          <w:p>
            <w:r>
              <w:rPr>
                <w:b w:val="false"/>
                <w:bCs w:val="false"/>
                <w:sz w:val="20"/>
                <w:szCs w:val="20"/>
              </w:rPr>
              <w:t xml:space="preserve">Goal creation with target amount and optional date</w:t>
            </w:r>
          </w:p>
        </w:tc>
        <w:tc>
          <w:tcPr>
            <w:tcW w:type="dxa" w:w="2760"/>
            <w:tcMar>
              <w:top w:type="dxa" w:w="80"/>
              <w:left w:type="dxa" w:w="100"/>
              <w:bottom w:type="dxa" w:w="80"/>
              <w:right w:type="dxa" w:w="100"/>
            </w:tcMar>
            <w:vAlign w:val="center"/>
          </w:tcPr>
          <w:p>
            <w:r>
              <w:rPr>
                <w:b w:val="false"/>
                <w:bCs w:val="false"/>
                <w:sz w:val="20"/>
                <w:szCs w:val="20"/>
              </w:rPr>
              <w:t xml:space="preserve">FE-8.1</w:t>
            </w:r>
          </w:p>
        </w:tc>
      </w:tr>
      <w:tr>
        <w:tc>
          <w:tcPr>
            <w:tcW w:type="dxa" w:w="1300"/>
            <w:tcMar>
              <w:top w:type="dxa" w:w="80"/>
              <w:left w:type="dxa" w:w="100"/>
              <w:bottom w:type="dxa" w:w="80"/>
              <w:right w:type="dxa" w:w="100"/>
            </w:tcMar>
            <w:vAlign w:val="center"/>
          </w:tcPr>
          <w:p>
            <w:r>
              <w:rPr>
                <w:b w:val="false"/>
                <w:bCs w:val="false"/>
                <w:sz w:val="20"/>
                <w:szCs w:val="20"/>
              </w:rPr>
              <w:t xml:space="preserve">FR-8.2</w:t>
            </w:r>
          </w:p>
        </w:tc>
        <w:tc>
          <w:tcPr>
            <w:tcW w:type="dxa" w:w="5300"/>
            <w:tcMar>
              <w:top w:type="dxa" w:w="80"/>
              <w:left w:type="dxa" w:w="100"/>
              <w:bottom w:type="dxa" w:w="80"/>
              <w:right w:type="dxa" w:w="100"/>
            </w:tcMar>
            <w:vAlign w:val="center"/>
          </w:tcPr>
          <w:p>
            <w:r>
              <w:rPr>
                <w:b w:val="false"/>
                <w:bCs w:val="false"/>
                <w:sz w:val="20"/>
                <w:szCs w:val="20"/>
              </w:rPr>
              <w:t xml:space="preserve">Progress display with stated derivation basis</w:t>
            </w:r>
          </w:p>
        </w:tc>
        <w:tc>
          <w:tcPr>
            <w:tcW w:type="dxa" w:w="2760"/>
            <w:tcMar>
              <w:top w:type="dxa" w:w="80"/>
              <w:left w:type="dxa" w:w="100"/>
              <w:bottom w:type="dxa" w:w="80"/>
              <w:right w:type="dxa" w:w="100"/>
            </w:tcMar>
            <w:vAlign w:val="center"/>
          </w:tcPr>
          <w:p>
            <w:r>
              <w:rPr>
                <w:b w:val="false"/>
                <w:bCs w:val="false"/>
                <w:sz w:val="20"/>
                <w:szCs w:val="20"/>
              </w:rPr>
              <w:t xml:space="preserve">FE-8.2, FE-8.3</w:t>
            </w:r>
          </w:p>
        </w:tc>
      </w:tr>
      <w:tr>
        <w:tc>
          <w:tcPr>
            <w:tcW w:type="dxa" w:w="1300"/>
            <w:tcMar>
              <w:top w:type="dxa" w:w="80"/>
              <w:left w:type="dxa" w:w="100"/>
              <w:bottom w:type="dxa" w:w="80"/>
              <w:right w:type="dxa" w:w="100"/>
            </w:tcMar>
            <w:vAlign w:val="center"/>
          </w:tcPr>
          <w:p>
            <w:r>
              <w:rPr>
                <w:b w:val="false"/>
                <w:bCs w:val="false"/>
                <w:sz w:val="20"/>
                <w:szCs w:val="20"/>
              </w:rPr>
              <w:t xml:space="preserve">FR-9.1</w:t>
            </w:r>
          </w:p>
        </w:tc>
        <w:tc>
          <w:tcPr>
            <w:tcW w:type="dxa" w:w="5300"/>
            <w:tcMar>
              <w:top w:type="dxa" w:w="80"/>
              <w:left w:type="dxa" w:w="100"/>
              <w:bottom w:type="dxa" w:w="80"/>
              <w:right w:type="dxa" w:w="100"/>
            </w:tcMar>
            <w:vAlign w:val="center"/>
          </w:tcPr>
          <w:p>
            <w:r>
              <w:rPr>
                <w:b w:val="false"/>
                <w:bCs w:val="false"/>
                <w:sz w:val="20"/>
                <w:szCs w:val="20"/>
              </w:rPr>
              <w:t xml:space="preserve">Spending-by-category report with budget comparison</w:t>
            </w:r>
          </w:p>
        </w:tc>
        <w:tc>
          <w:tcPr>
            <w:tcW w:type="dxa" w:w="2760"/>
            <w:tcMar>
              <w:top w:type="dxa" w:w="80"/>
              <w:left w:type="dxa" w:w="100"/>
              <w:bottom w:type="dxa" w:w="80"/>
              <w:right w:type="dxa" w:w="100"/>
            </w:tcMar>
            <w:vAlign w:val="center"/>
          </w:tcPr>
          <w:p>
            <w:r>
              <w:rPr>
                <w:b w:val="false"/>
                <w:bCs w:val="false"/>
                <w:sz w:val="20"/>
                <w:szCs w:val="20"/>
              </w:rPr>
              <w:t xml:space="preserve">FE-9.1</w:t>
            </w:r>
          </w:p>
        </w:tc>
      </w:tr>
      <w:tr>
        <w:tc>
          <w:tcPr>
            <w:tcW w:type="dxa" w:w="1300"/>
            <w:tcMar>
              <w:top w:type="dxa" w:w="80"/>
              <w:left w:type="dxa" w:w="100"/>
              <w:bottom w:type="dxa" w:w="80"/>
              <w:right w:type="dxa" w:w="100"/>
            </w:tcMar>
            <w:vAlign w:val="center"/>
          </w:tcPr>
          <w:p>
            <w:r>
              <w:rPr>
                <w:b w:val="false"/>
                <w:bCs w:val="false"/>
                <w:sz w:val="20"/>
                <w:szCs w:val="20"/>
              </w:rPr>
              <w:t xml:space="preserve">FR-9.2</w:t>
            </w:r>
          </w:p>
        </w:tc>
        <w:tc>
          <w:tcPr>
            <w:tcW w:type="dxa" w:w="5300"/>
            <w:tcMar>
              <w:top w:type="dxa" w:w="80"/>
              <w:left w:type="dxa" w:w="100"/>
              <w:bottom w:type="dxa" w:w="80"/>
              <w:right w:type="dxa" w:w="100"/>
            </w:tcMar>
            <w:vAlign w:val="center"/>
          </w:tcPr>
          <w:p>
            <w:r>
              <w:rPr>
                <w:b w:val="false"/>
                <w:bCs w:val="false"/>
                <w:sz w:val="20"/>
                <w:szCs w:val="20"/>
              </w:rPr>
              <w:t xml:space="preserve">Income-versus-expense report</w:t>
            </w:r>
          </w:p>
        </w:tc>
        <w:tc>
          <w:tcPr>
            <w:tcW w:type="dxa" w:w="2760"/>
            <w:tcMar>
              <w:top w:type="dxa" w:w="80"/>
              <w:left w:type="dxa" w:w="100"/>
              <w:bottom w:type="dxa" w:w="80"/>
              <w:right w:type="dxa" w:w="100"/>
            </w:tcMar>
            <w:vAlign w:val="center"/>
          </w:tcPr>
          <w:p>
            <w:r>
              <w:rPr>
                <w:b w:val="false"/>
                <w:bCs w:val="false"/>
                <w:sz w:val="20"/>
                <w:szCs w:val="20"/>
              </w:rPr>
              <w:t xml:space="preserve">FE-9.2</w:t>
            </w:r>
          </w:p>
        </w:tc>
      </w:tr>
      <w:tr>
        <w:tc>
          <w:tcPr>
            <w:tcW w:type="dxa" w:w="1300"/>
            <w:tcMar>
              <w:top w:type="dxa" w:w="80"/>
              <w:left w:type="dxa" w:w="100"/>
              <w:bottom w:type="dxa" w:w="80"/>
              <w:right w:type="dxa" w:w="100"/>
            </w:tcMar>
            <w:vAlign w:val="center"/>
          </w:tcPr>
          <w:p>
            <w:r>
              <w:rPr>
                <w:b w:val="false"/>
                <w:bCs w:val="false"/>
                <w:sz w:val="20"/>
                <w:szCs w:val="20"/>
              </w:rPr>
              <w:t xml:space="preserve">FR-9.3</w:t>
            </w:r>
          </w:p>
        </w:tc>
        <w:tc>
          <w:tcPr>
            <w:tcW w:type="dxa" w:w="5300"/>
            <w:tcMar>
              <w:top w:type="dxa" w:w="80"/>
              <w:left w:type="dxa" w:w="100"/>
              <w:bottom w:type="dxa" w:w="80"/>
              <w:right w:type="dxa" w:w="100"/>
            </w:tcMar>
            <w:vAlign w:val="center"/>
          </w:tcPr>
          <w:p>
            <w:r>
              <w:rPr>
                <w:b w:val="false"/>
                <w:bCs w:val="false"/>
                <w:sz w:val="20"/>
                <w:szCs w:val="20"/>
              </w:rPr>
              <w:t xml:space="preserve">Net-worth view with conversion disclosure</w:t>
            </w:r>
          </w:p>
        </w:tc>
        <w:tc>
          <w:tcPr>
            <w:tcW w:type="dxa" w:w="2760"/>
            <w:tcMar>
              <w:top w:type="dxa" w:w="80"/>
              <w:left w:type="dxa" w:w="100"/>
              <w:bottom w:type="dxa" w:w="80"/>
              <w:right w:type="dxa" w:w="100"/>
            </w:tcMar>
            <w:vAlign w:val="center"/>
          </w:tcPr>
          <w:p>
            <w:r>
              <w:rPr>
                <w:b w:val="false"/>
                <w:bCs w:val="false"/>
                <w:sz w:val="20"/>
                <w:szCs w:val="20"/>
              </w:rPr>
              <w:t xml:space="preserve">FE-9.3</w:t>
            </w:r>
          </w:p>
        </w:tc>
      </w:tr>
      <w:tr>
        <w:tc>
          <w:tcPr>
            <w:tcW w:type="dxa" w:w="1300"/>
            <w:tcMar>
              <w:top w:type="dxa" w:w="80"/>
              <w:left w:type="dxa" w:w="100"/>
              <w:bottom w:type="dxa" w:w="80"/>
              <w:right w:type="dxa" w:w="100"/>
            </w:tcMar>
            <w:vAlign w:val="center"/>
          </w:tcPr>
          <w:p>
            <w:r>
              <w:rPr>
                <w:b w:val="false"/>
                <w:bCs w:val="false"/>
                <w:sz w:val="20"/>
                <w:szCs w:val="20"/>
              </w:rPr>
              <w:t xml:space="preserve">FR-9.4</w:t>
            </w:r>
          </w:p>
        </w:tc>
        <w:tc>
          <w:tcPr>
            <w:tcW w:type="dxa" w:w="5300"/>
            <w:tcMar>
              <w:top w:type="dxa" w:w="80"/>
              <w:left w:type="dxa" w:w="100"/>
              <w:bottom w:type="dxa" w:w="80"/>
              <w:right w:type="dxa" w:w="100"/>
            </w:tcMar>
            <w:vAlign w:val="center"/>
          </w:tcPr>
          <w:p>
            <w:r>
              <w:rPr>
                <w:b w:val="false"/>
                <w:bCs w:val="false"/>
                <w:sz w:val="20"/>
                <w:szCs w:val="20"/>
              </w:rPr>
              <w:t xml:space="preserve">Backend-enforced scoping — client constructs no cross-tenant request</w:t>
            </w:r>
          </w:p>
        </w:tc>
        <w:tc>
          <w:tcPr>
            <w:tcW w:type="dxa" w:w="2760"/>
            <w:tcMar>
              <w:top w:type="dxa" w:w="80"/>
              <w:left w:type="dxa" w:w="100"/>
              <w:bottom w:type="dxa" w:w="80"/>
              <w:right w:type="dxa" w:w="100"/>
            </w:tcMar>
            <w:vAlign w:val="center"/>
          </w:tcPr>
          <w:p>
            <w:r>
              <w:rPr>
                <w:b w:val="false"/>
                <w:bCs w:val="false"/>
                <w:sz w:val="20"/>
                <w:szCs w:val="20"/>
              </w:rPr>
              <w:t xml:space="preserve">FE-N.6, Section 10.1</w:t>
            </w:r>
          </w:p>
        </w:tc>
      </w:tr>
      <w:tr>
        <w:tc>
          <w:tcPr>
            <w:tcW w:type="dxa" w:w="1300"/>
            <w:tcMar>
              <w:top w:type="dxa" w:w="80"/>
              <w:left w:type="dxa" w:w="100"/>
              <w:bottom w:type="dxa" w:w="80"/>
              <w:right w:type="dxa" w:w="100"/>
            </w:tcMar>
            <w:vAlign w:val="center"/>
          </w:tcPr>
          <w:p>
            <w:r>
              <w:rPr>
                <w:b w:val="false"/>
                <w:bCs w:val="false"/>
                <w:sz w:val="20"/>
                <w:szCs w:val="20"/>
              </w:rPr>
              <w:t xml:space="preserve">FR-10.1</w:t>
            </w:r>
          </w:p>
        </w:tc>
        <w:tc>
          <w:tcPr>
            <w:tcW w:type="dxa" w:w="5300"/>
            <w:tcMar>
              <w:top w:type="dxa" w:w="80"/>
              <w:left w:type="dxa" w:w="100"/>
              <w:bottom w:type="dxa" w:w="80"/>
              <w:right w:type="dxa" w:w="100"/>
            </w:tcMar>
            <w:vAlign w:val="center"/>
          </w:tcPr>
          <w:p>
            <w:r>
              <w:rPr>
                <w:b w:val="false"/>
                <w:bCs w:val="false"/>
                <w:sz w:val="20"/>
                <w:szCs w:val="20"/>
              </w:rPr>
              <w:t xml:space="preserve">In-app surface complementing transactional email</w:t>
            </w:r>
          </w:p>
        </w:tc>
        <w:tc>
          <w:tcPr>
            <w:tcW w:type="dxa" w:w="2760"/>
            <w:tcMar>
              <w:top w:type="dxa" w:w="80"/>
              <w:left w:type="dxa" w:w="100"/>
              <w:bottom w:type="dxa" w:w="80"/>
              <w:right w:type="dxa" w:w="100"/>
            </w:tcMar>
            <w:vAlign w:val="center"/>
          </w:tcPr>
          <w:p>
            <w:r>
              <w:rPr>
                <w:b w:val="false"/>
                <w:bCs w:val="false"/>
                <w:sz w:val="20"/>
                <w:szCs w:val="20"/>
              </w:rPr>
              <w:t xml:space="preserve">FE-10.1</w:t>
            </w:r>
          </w:p>
        </w:tc>
      </w:tr>
      <w:tr>
        <w:tc>
          <w:tcPr>
            <w:tcW w:type="dxa" w:w="1300"/>
            <w:tcMar>
              <w:top w:type="dxa" w:w="80"/>
              <w:left w:type="dxa" w:w="100"/>
              <w:bottom w:type="dxa" w:w="80"/>
              <w:right w:type="dxa" w:w="100"/>
            </w:tcMar>
            <w:vAlign w:val="center"/>
          </w:tcPr>
          <w:p>
            <w:r>
              <w:rPr>
                <w:b w:val="false"/>
                <w:bCs w:val="false"/>
                <w:sz w:val="20"/>
                <w:szCs w:val="20"/>
              </w:rPr>
              <w:t xml:space="preserve">FR-10.2</w:t>
            </w:r>
          </w:p>
        </w:tc>
        <w:tc>
          <w:tcPr>
            <w:tcW w:type="dxa" w:w="5300"/>
            <w:tcMar>
              <w:top w:type="dxa" w:w="80"/>
              <w:left w:type="dxa" w:w="100"/>
              <w:bottom w:type="dxa" w:w="80"/>
              <w:right w:type="dxa" w:w="100"/>
            </w:tcMar>
            <w:vAlign w:val="center"/>
          </w:tcPr>
          <w:p>
            <w:r>
              <w:rPr>
                <w:b w:val="false"/>
                <w:bCs w:val="false"/>
                <w:sz w:val="20"/>
                <w:szCs w:val="20"/>
              </w:rPr>
              <w:t xml:space="preserve">Backend-only — delivery logging has no client surface</w:t>
            </w:r>
          </w:p>
        </w:tc>
        <w:tc>
          <w:tcPr>
            <w:tcW w:type="dxa" w:w="2760"/>
            <w:tcMar>
              <w:top w:type="dxa" w:w="80"/>
              <w:left w:type="dxa" w:w="100"/>
              <w:bottom w:type="dxa" w:w="80"/>
              <w:right w:type="dxa" w:w="100"/>
            </w:tcMar>
            <w:vAlign w:val="center"/>
          </w:tcPr>
          <w:p>
            <w:r>
              <w:rPr>
                <w:b w:val="false"/>
                <w:bCs w:val="false"/>
                <w:sz w:val="20"/>
                <w:szCs w:val="20"/>
              </w:rPr>
              <w:t xml:space="preserve">Not applicable</w:t>
            </w:r>
          </w:p>
        </w:tc>
      </w:tr>
      <w:tr>
        <w:tc>
          <w:tcPr>
            <w:tcW w:type="dxa" w:w="1300"/>
            <w:tcMar>
              <w:top w:type="dxa" w:w="80"/>
              <w:left w:type="dxa" w:w="100"/>
              <w:bottom w:type="dxa" w:w="80"/>
              <w:right w:type="dxa" w:w="100"/>
            </w:tcMar>
            <w:vAlign w:val="center"/>
          </w:tcPr>
          <w:p>
            <w:r>
              <w:rPr>
                <w:b w:val="false"/>
                <w:bCs w:val="false"/>
                <w:sz w:val="20"/>
                <w:szCs w:val="20"/>
              </w:rPr>
              <w:t xml:space="preserve">FR-11.1</w:t>
            </w:r>
          </w:p>
        </w:tc>
        <w:tc>
          <w:tcPr>
            <w:tcW w:type="dxa" w:w="5300"/>
            <w:tcMar>
              <w:top w:type="dxa" w:w="80"/>
              <w:left w:type="dxa" w:w="100"/>
              <w:bottom w:type="dxa" w:w="80"/>
              <w:right w:type="dxa" w:w="100"/>
            </w:tcMar>
            <w:vAlign w:val="center"/>
          </w:tcPr>
          <w:p>
            <w:r>
              <w:rPr>
                <w:b w:val="false"/>
                <w:bCs w:val="false"/>
                <w:sz w:val="20"/>
                <w:szCs w:val="20"/>
              </w:rPr>
              <w:t xml:space="preserve">Read-only tenant lookup in support console</w:t>
            </w:r>
          </w:p>
        </w:tc>
        <w:tc>
          <w:tcPr>
            <w:tcW w:type="dxa" w:w="2760"/>
            <w:tcMar>
              <w:top w:type="dxa" w:w="80"/>
              <w:left w:type="dxa" w:w="100"/>
              <w:bottom w:type="dxa" w:w="80"/>
              <w:right w:type="dxa" w:w="100"/>
            </w:tcMar>
            <w:vAlign w:val="center"/>
          </w:tcPr>
          <w:p>
            <w:r>
              <w:rPr>
                <w:b w:val="false"/>
                <w:bCs w:val="false"/>
                <w:sz w:val="20"/>
                <w:szCs w:val="20"/>
              </w:rPr>
              <w:t xml:space="preserve">FE-11.1, FE-11.2</w:t>
            </w:r>
          </w:p>
        </w:tc>
      </w:tr>
      <w:tr>
        <w:tc>
          <w:tcPr>
            <w:tcW w:type="dxa" w:w="1300"/>
            <w:tcMar>
              <w:top w:type="dxa" w:w="80"/>
              <w:left w:type="dxa" w:w="100"/>
              <w:bottom w:type="dxa" w:w="80"/>
              <w:right w:type="dxa" w:w="100"/>
            </w:tcMar>
            <w:vAlign w:val="center"/>
          </w:tcPr>
          <w:p>
            <w:r>
              <w:rPr>
                <w:b w:val="false"/>
                <w:bCs w:val="false"/>
                <w:sz w:val="20"/>
                <w:szCs w:val="20"/>
              </w:rPr>
              <w:t xml:space="preserve">FR-11.2</w:t>
            </w:r>
          </w:p>
        </w:tc>
        <w:tc>
          <w:tcPr>
            <w:tcW w:type="dxa" w:w="5300"/>
            <w:tcMar>
              <w:top w:type="dxa" w:w="80"/>
              <w:left w:type="dxa" w:w="100"/>
              <w:bottom w:type="dxa" w:w="80"/>
              <w:right w:type="dxa" w:w="100"/>
            </w:tcMar>
            <w:vAlign w:val="center"/>
          </w:tcPr>
          <w:p>
            <w:r>
              <w:rPr>
                <w:b w:val="false"/>
                <w:bCs w:val="false"/>
                <w:sz w:val="20"/>
                <w:szCs w:val="20"/>
              </w:rPr>
              <w:t xml:space="preserve">Reason capture submitted with each access request</w:t>
            </w:r>
          </w:p>
        </w:tc>
        <w:tc>
          <w:tcPr>
            <w:tcW w:type="dxa" w:w="2760"/>
            <w:tcMar>
              <w:top w:type="dxa" w:w="80"/>
              <w:left w:type="dxa" w:w="100"/>
              <w:bottom w:type="dxa" w:w="80"/>
              <w:right w:type="dxa" w:w="100"/>
            </w:tcMar>
            <w:vAlign w:val="center"/>
          </w:tcPr>
          <w:p>
            <w:r>
              <w:rPr>
                <w:b w:val="false"/>
                <w:bCs w:val="false"/>
                <w:sz w:val="20"/>
                <w:szCs w:val="20"/>
              </w:rPr>
              <w:t xml:space="preserve">FE-11.3</w:t>
            </w:r>
          </w:p>
        </w:tc>
      </w:tr>
      <w:tr>
        <w:tc>
          <w:tcPr>
            <w:tcW w:type="dxa" w:w="1300"/>
            <w:tcMar>
              <w:top w:type="dxa" w:w="80"/>
              <w:left w:type="dxa" w:w="100"/>
              <w:bottom w:type="dxa" w:w="80"/>
              <w:right w:type="dxa" w:w="100"/>
            </w:tcMar>
            <w:vAlign w:val="center"/>
          </w:tcPr>
          <w:p>
            <w:r>
              <w:rPr>
                <w:b w:val="false"/>
                <w:bCs w:val="false"/>
                <w:sz w:val="20"/>
                <w:szCs w:val="20"/>
              </w:rPr>
              <w:t xml:space="preserve">FR-11.3</w:t>
            </w:r>
          </w:p>
        </w:tc>
        <w:tc>
          <w:tcPr>
            <w:tcW w:type="dxa" w:w="5300"/>
            <w:tcMar>
              <w:top w:type="dxa" w:w="80"/>
              <w:left w:type="dxa" w:w="100"/>
              <w:bottom w:type="dxa" w:w="80"/>
              <w:right w:type="dxa" w:w="100"/>
            </w:tcMar>
            <w:vAlign w:val="center"/>
          </w:tcPr>
          <w:p>
            <w:r>
              <w:rPr>
                <w:b w:val="false"/>
                <w:bCs w:val="false"/>
                <w:sz w:val="20"/>
                <w:szCs w:val="20"/>
              </w:rPr>
              <w:t xml:space="preserve">Elevation window and remaining duration displayed</w:t>
            </w:r>
          </w:p>
        </w:tc>
        <w:tc>
          <w:tcPr>
            <w:tcW w:type="dxa" w:w="2760"/>
            <w:tcMar>
              <w:top w:type="dxa" w:w="80"/>
              <w:left w:type="dxa" w:w="100"/>
              <w:bottom w:type="dxa" w:w="80"/>
              <w:right w:type="dxa" w:w="100"/>
            </w:tcMar>
            <w:vAlign w:val="center"/>
          </w:tcPr>
          <w:p>
            <w:r>
              <w:rPr>
                <w:b w:val="false"/>
                <w:bCs w:val="false"/>
                <w:sz w:val="20"/>
                <w:szCs w:val="20"/>
              </w:rPr>
              <w:t xml:space="preserve">FE-11.4</w:t>
            </w:r>
          </w:p>
        </w:tc>
      </w:tr>
      <w:tr>
        <w:tc>
          <w:tcPr>
            <w:tcW w:type="dxa" w:w="1300"/>
            <w:tcMar>
              <w:top w:type="dxa" w:w="80"/>
              <w:left w:type="dxa" w:w="100"/>
              <w:bottom w:type="dxa" w:w="80"/>
              <w:right w:type="dxa" w:w="100"/>
            </w:tcMar>
            <w:vAlign w:val="center"/>
          </w:tcPr>
          <w:p>
            <w:r>
              <w:rPr>
                <w:b w:val="false"/>
                <w:bCs w:val="false"/>
                <w:sz w:val="20"/>
                <w:szCs w:val="20"/>
              </w:rPr>
              <w:t xml:space="preserve">FR-11.4</w:t>
            </w:r>
          </w:p>
        </w:tc>
        <w:tc>
          <w:tcPr>
            <w:tcW w:type="dxa" w:w="5300"/>
            <w:tcMar>
              <w:top w:type="dxa" w:w="80"/>
              <w:left w:type="dxa" w:w="100"/>
              <w:bottom w:type="dxa" w:w="80"/>
              <w:right w:type="dxa" w:w="100"/>
            </w:tcMar>
            <w:vAlign w:val="center"/>
          </w:tcPr>
          <w:p>
            <w:r>
              <w:rPr>
                <w:b w:val="false"/>
                <w:bCs w:val="false"/>
                <w:sz w:val="20"/>
                <w:szCs w:val="20"/>
              </w:rPr>
              <w:t xml:space="preserve">System health and job queue dashboard</w:t>
            </w:r>
          </w:p>
        </w:tc>
        <w:tc>
          <w:tcPr>
            <w:tcW w:type="dxa" w:w="2760"/>
            <w:tcMar>
              <w:top w:type="dxa" w:w="80"/>
              <w:left w:type="dxa" w:w="100"/>
              <w:bottom w:type="dxa" w:w="80"/>
              <w:right w:type="dxa" w:w="100"/>
            </w:tcMar>
            <w:vAlign w:val="center"/>
          </w:tcPr>
          <w:p>
            <w:r>
              <w:rPr>
                <w:b w:val="false"/>
                <w:bCs w:val="false"/>
                <w:sz w:val="20"/>
                <w:szCs w:val="20"/>
              </w:rPr>
              <w:t xml:space="preserve">FE-11.5</w:t>
            </w:r>
          </w:p>
        </w:tc>
      </w:tr>
      <w:tr>
        <w:tc>
          <w:tcPr>
            <w:tcW w:type="dxa" w:w="1300"/>
            <w:tcMar>
              <w:top w:type="dxa" w:w="80"/>
              <w:left w:type="dxa" w:w="100"/>
              <w:bottom w:type="dxa" w:w="80"/>
              <w:right w:type="dxa" w:w="100"/>
            </w:tcMar>
            <w:vAlign w:val="center"/>
          </w:tcPr>
          <w:p>
            <w:r>
              <w:rPr>
                <w:b w:val="false"/>
                <w:bCs w:val="false"/>
                <w:sz w:val="20"/>
                <w:szCs w:val="20"/>
              </w:rPr>
              <w:t xml:space="preserve">FR-12.1</w:t>
            </w:r>
          </w:p>
        </w:tc>
        <w:tc>
          <w:tcPr>
            <w:tcW w:type="dxa" w:w="5300"/>
            <w:tcMar>
              <w:top w:type="dxa" w:w="80"/>
              <w:left w:type="dxa" w:w="100"/>
              <w:bottom w:type="dxa" w:w="80"/>
              <w:right w:type="dxa" w:w="100"/>
            </w:tcMar>
            <w:vAlign w:val="center"/>
          </w:tcPr>
          <w:p>
            <w:r>
              <w:rPr>
                <w:b w:val="false"/>
                <w:bCs w:val="false"/>
                <w:sz w:val="20"/>
                <w:szCs w:val="20"/>
              </w:rPr>
              <w:t xml:space="preserve">Manual tracking never gated, obscured, or interrupted</w:t>
            </w:r>
          </w:p>
        </w:tc>
        <w:tc>
          <w:tcPr>
            <w:tcW w:type="dxa" w:w="2760"/>
            <w:tcMar>
              <w:top w:type="dxa" w:w="80"/>
              <w:left w:type="dxa" w:w="100"/>
              <w:bottom w:type="dxa" w:w="80"/>
              <w:right w:type="dxa" w:w="100"/>
            </w:tcMar>
            <w:vAlign w:val="center"/>
          </w:tcPr>
          <w:p>
            <w:r>
              <w:rPr>
                <w:b w:val="false"/>
                <w:bCs w:val="false"/>
                <w:sz w:val="20"/>
                <w:szCs w:val="20"/>
              </w:rPr>
              <w:t xml:space="preserve">FE-12.1</w:t>
            </w:r>
          </w:p>
        </w:tc>
      </w:tr>
      <w:tr>
        <w:tc>
          <w:tcPr>
            <w:tcW w:type="dxa" w:w="1300"/>
            <w:tcMar>
              <w:top w:type="dxa" w:w="80"/>
              <w:left w:type="dxa" w:w="100"/>
              <w:bottom w:type="dxa" w:w="80"/>
              <w:right w:type="dxa" w:w="100"/>
            </w:tcMar>
            <w:vAlign w:val="center"/>
          </w:tcPr>
          <w:p>
            <w:r>
              <w:rPr>
                <w:b w:val="false"/>
                <w:bCs w:val="false"/>
                <w:sz w:val="20"/>
                <w:szCs w:val="20"/>
              </w:rPr>
              <w:t xml:space="preserve">FR-12.2</w:t>
            </w:r>
          </w:p>
        </w:tc>
        <w:tc>
          <w:tcPr>
            <w:tcW w:type="dxa" w:w="5300"/>
            <w:tcMar>
              <w:top w:type="dxa" w:w="80"/>
              <w:left w:type="dxa" w:w="100"/>
              <w:bottom w:type="dxa" w:w="80"/>
              <w:right w:type="dxa" w:w="100"/>
            </w:tcMar>
            <w:vAlign w:val="center"/>
          </w:tcPr>
          <w:p>
            <w:r>
              <w:rPr>
                <w:b w:val="false"/>
                <w:bCs w:val="false"/>
                <w:sz w:val="20"/>
                <w:szCs w:val="20"/>
              </w:rPr>
              <w:t xml:space="preserve">Paywall presented only at bank-feature entry point</w:t>
            </w:r>
          </w:p>
        </w:tc>
        <w:tc>
          <w:tcPr>
            <w:tcW w:type="dxa" w:w="2760"/>
            <w:tcMar>
              <w:top w:type="dxa" w:w="80"/>
              <w:left w:type="dxa" w:w="100"/>
              <w:bottom w:type="dxa" w:w="80"/>
              <w:right w:type="dxa" w:w="100"/>
            </w:tcMar>
            <w:vAlign w:val="center"/>
          </w:tcPr>
          <w:p>
            <w:r>
              <w:rPr>
                <w:b w:val="false"/>
                <w:bCs w:val="false"/>
                <w:sz w:val="20"/>
                <w:szCs w:val="20"/>
              </w:rPr>
              <w:t xml:space="preserve">FE-12.2</w:t>
            </w:r>
          </w:p>
        </w:tc>
      </w:tr>
      <w:tr>
        <w:tc>
          <w:tcPr>
            <w:tcW w:type="dxa" w:w="1300"/>
            <w:tcMar>
              <w:top w:type="dxa" w:w="80"/>
              <w:left w:type="dxa" w:w="100"/>
              <w:bottom w:type="dxa" w:w="80"/>
              <w:right w:type="dxa" w:w="100"/>
            </w:tcMar>
            <w:vAlign w:val="center"/>
          </w:tcPr>
          <w:p>
            <w:r>
              <w:rPr>
                <w:b w:val="false"/>
                <w:bCs w:val="false"/>
                <w:sz w:val="20"/>
                <w:szCs w:val="20"/>
              </w:rPr>
              <w:t xml:space="preserve">FR-12.3</w:t>
            </w:r>
          </w:p>
        </w:tc>
        <w:tc>
          <w:tcPr>
            <w:tcW w:type="dxa" w:w="5300"/>
            <w:tcMar>
              <w:top w:type="dxa" w:w="80"/>
              <w:left w:type="dxa" w:w="100"/>
              <w:bottom w:type="dxa" w:w="80"/>
              <w:right w:type="dxa" w:w="100"/>
            </w:tcMar>
            <w:vAlign w:val="center"/>
          </w:tcPr>
          <w:p>
            <w:r>
              <w:rPr>
                <w:b w:val="false"/>
                <w:bCs w:val="false"/>
                <w:sz w:val="20"/>
                <w:szCs w:val="20"/>
              </w:rPr>
              <w:t xml:space="preserve">Processor-hosted card element; no card input in client</w:t>
            </w:r>
          </w:p>
        </w:tc>
        <w:tc>
          <w:tcPr>
            <w:tcW w:type="dxa" w:w="2760"/>
            <w:tcMar>
              <w:top w:type="dxa" w:w="80"/>
              <w:left w:type="dxa" w:w="100"/>
              <w:bottom w:type="dxa" w:w="80"/>
              <w:right w:type="dxa" w:w="100"/>
            </w:tcMar>
            <w:vAlign w:val="center"/>
          </w:tcPr>
          <w:p>
            <w:r>
              <w:rPr>
                <w:b w:val="false"/>
                <w:bCs w:val="false"/>
                <w:sz w:val="20"/>
                <w:szCs w:val="20"/>
              </w:rPr>
              <w:t xml:space="preserve">FE-12.3</w:t>
            </w:r>
          </w:p>
        </w:tc>
      </w:tr>
      <w:tr>
        <w:tc>
          <w:tcPr>
            <w:tcW w:type="dxa" w:w="1300"/>
            <w:tcMar>
              <w:top w:type="dxa" w:w="80"/>
              <w:left w:type="dxa" w:w="100"/>
              <w:bottom w:type="dxa" w:w="80"/>
              <w:right w:type="dxa" w:w="100"/>
            </w:tcMar>
            <w:vAlign w:val="center"/>
          </w:tcPr>
          <w:p>
            <w:r>
              <w:rPr>
                <w:b w:val="false"/>
                <w:bCs w:val="false"/>
                <w:sz w:val="20"/>
                <w:szCs w:val="20"/>
              </w:rPr>
              <w:t xml:space="preserve">FR-12.4</w:t>
            </w:r>
          </w:p>
        </w:tc>
        <w:tc>
          <w:tcPr>
            <w:tcW w:type="dxa" w:w="5300"/>
            <w:tcMar>
              <w:top w:type="dxa" w:w="80"/>
              <w:left w:type="dxa" w:w="100"/>
              <w:bottom w:type="dxa" w:w="80"/>
              <w:right w:type="dxa" w:w="100"/>
            </w:tcMar>
            <w:vAlign w:val="center"/>
          </w:tcPr>
          <w:p>
            <w:r>
              <w:rPr>
                <w:b w:val="false"/>
                <w:bCs w:val="false"/>
                <w:sz w:val="20"/>
                <w:szCs w:val="20"/>
              </w:rPr>
              <w:t xml:space="preserve">Billing history with downloadable receipts</w:t>
            </w:r>
          </w:p>
        </w:tc>
        <w:tc>
          <w:tcPr>
            <w:tcW w:type="dxa" w:w="2760"/>
            <w:tcMar>
              <w:top w:type="dxa" w:w="80"/>
              <w:left w:type="dxa" w:w="100"/>
              <w:bottom w:type="dxa" w:w="80"/>
              <w:right w:type="dxa" w:w="100"/>
            </w:tcMar>
            <w:vAlign w:val="center"/>
          </w:tcPr>
          <w:p>
            <w:r>
              <w:rPr>
                <w:b w:val="false"/>
                <w:bCs w:val="false"/>
                <w:sz w:val="20"/>
                <w:szCs w:val="20"/>
              </w:rPr>
              <w:t xml:space="preserve">FE-12.4</w:t>
            </w:r>
          </w:p>
        </w:tc>
      </w:tr>
      <w:tr>
        <w:tc>
          <w:tcPr>
            <w:tcW w:type="dxa" w:w="1300"/>
            <w:tcMar>
              <w:top w:type="dxa" w:w="80"/>
              <w:left w:type="dxa" w:w="100"/>
              <w:bottom w:type="dxa" w:w="80"/>
              <w:right w:type="dxa" w:w="100"/>
            </w:tcMar>
            <w:vAlign w:val="center"/>
          </w:tcPr>
          <w:p>
            <w:r>
              <w:rPr>
                <w:b w:val="false"/>
                <w:bCs w:val="false"/>
                <w:sz w:val="20"/>
                <w:szCs w:val="20"/>
              </w:rPr>
              <w:t xml:space="preserve">FR-12.5</w:t>
            </w:r>
          </w:p>
        </w:tc>
        <w:tc>
          <w:tcPr>
            <w:tcW w:type="dxa" w:w="5300"/>
            <w:tcMar>
              <w:top w:type="dxa" w:w="80"/>
              <w:left w:type="dxa" w:w="100"/>
              <w:bottom w:type="dxa" w:w="80"/>
              <w:right w:type="dxa" w:w="100"/>
            </w:tcMar>
            <w:vAlign w:val="center"/>
          </w:tcPr>
          <w:p>
            <w:r>
              <w:rPr>
                <w:b w:val="false"/>
                <w:bCs w:val="false"/>
                <w:sz w:val="20"/>
                <w:szCs w:val="20"/>
              </w:rPr>
              <w:t xml:space="preserve">Trial days remaining and first-charge date</w:t>
            </w:r>
          </w:p>
        </w:tc>
        <w:tc>
          <w:tcPr>
            <w:tcW w:type="dxa" w:w="2760"/>
            <w:tcMar>
              <w:top w:type="dxa" w:w="80"/>
              <w:left w:type="dxa" w:w="100"/>
              <w:bottom w:type="dxa" w:w="80"/>
              <w:right w:type="dxa" w:w="100"/>
            </w:tcMar>
            <w:vAlign w:val="center"/>
          </w:tcPr>
          <w:p>
            <w:r>
              <w:rPr>
                <w:b w:val="false"/>
                <w:bCs w:val="false"/>
                <w:sz w:val="20"/>
                <w:szCs w:val="20"/>
              </w:rPr>
              <w:t xml:space="preserve">FE-12.5</w:t>
            </w:r>
          </w:p>
        </w:tc>
      </w:tr>
      <w:tr>
        <w:tc>
          <w:tcPr>
            <w:tcW w:type="dxa" w:w="1300"/>
            <w:tcMar>
              <w:top w:type="dxa" w:w="80"/>
              <w:left w:type="dxa" w:w="100"/>
              <w:bottom w:type="dxa" w:w="80"/>
              <w:right w:type="dxa" w:w="100"/>
            </w:tcMar>
            <w:vAlign w:val="center"/>
          </w:tcPr>
          <w:p>
            <w:r>
              <w:rPr>
                <w:b w:val="false"/>
                <w:bCs w:val="false"/>
                <w:sz w:val="20"/>
                <w:szCs w:val="20"/>
              </w:rPr>
              <w:t xml:space="preserve">FR-12.6</w:t>
            </w:r>
          </w:p>
        </w:tc>
        <w:tc>
          <w:tcPr>
            <w:tcW w:type="dxa" w:w="5300"/>
            <w:tcMar>
              <w:top w:type="dxa" w:w="80"/>
              <w:left w:type="dxa" w:w="100"/>
              <w:bottom w:type="dxa" w:w="80"/>
              <w:right w:type="dxa" w:w="100"/>
            </w:tcMar>
            <w:vAlign w:val="center"/>
          </w:tcPr>
          <w:p>
            <w:r>
              <w:rPr>
                <w:b w:val="false"/>
                <w:bCs w:val="false"/>
                <w:sz w:val="20"/>
                <w:szCs w:val="20"/>
              </w:rPr>
              <w:t xml:space="preserve">Non-blocking past-due banner with grace explanation</w:t>
            </w:r>
          </w:p>
        </w:tc>
        <w:tc>
          <w:tcPr>
            <w:tcW w:type="dxa" w:w="2760"/>
            <w:tcMar>
              <w:top w:type="dxa" w:w="80"/>
              <w:left w:type="dxa" w:w="100"/>
              <w:bottom w:type="dxa" w:w="80"/>
              <w:right w:type="dxa" w:w="100"/>
            </w:tcMar>
            <w:vAlign w:val="center"/>
          </w:tcPr>
          <w:p>
            <w:r>
              <w:rPr>
                <w:b w:val="false"/>
                <w:bCs w:val="false"/>
                <w:sz w:val="20"/>
                <w:szCs w:val="20"/>
              </w:rPr>
              <w:t xml:space="preserve">FE-12.6</w:t>
            </w:r>
          </w:p>
        </w:tc>
      </w:tr>
      <w:tr>
        <w:tc>
          <w:tcPr>
            <w:tcW w:type="dxa" w:w="1300"/>
            <w:tcMar>
              <w:top w:type="dxa" w:w="80"/>
              <w:left w:type="dxa" w:w="100"/>
              <w:bottom w:type="dxa" w:w="80"/>
              <w:right w:type="dxa" w:w="100"/>
            </w:tcMar>
            <w:vAlign w:val="center"/>
          </w:tcPr>
          <w:p>
            <w:r>
              <w:rPr>
                <w:b w:val="false"/>
                <w:bCs w:val="false"/>
                <w:sz w:val="20"/>
                <w:szCs w:val="20"/>
              </w:rPr>
              <w:t xml:space="preserve">FR-12.7</w:t>
            </w:r>
          </w:p>
        </w:tc>
        <w:tc>
          <w:tcPr>
            <w:tcW w:type="dxa" w:w="5300"/>
            <w:tcMar>
              <w:top w:type="dxa" w:w="80"/>
              <w:left w:type="dxa" w:w="100"/>
              <w:bottom w:type="dxa" w:w="80"/>
              <w:right w:type="dxa" w:w="100"/>
            </w:tcMar>
            <w:vAlign w:val="center"/>
          </w:tcPr>
          <w:p>
            <w:r>
              <w:rPr>
                <w:b w:val="false"/>
                <w:bCs w:val="false"/>
                <w:sz w:val="20"/>
                <w:szCs w:val="20"/>
              </w:rPr>
              <w:t xml:space="preserve">Status, next billing date, and history displayed</w:t>
            </w:r>
          </w:p>
        </w:tc>
        <w:tc>
          <w:tcPr>
            <w:tcW w:type="dxa" w:w="2760"/>
            <w:tcMar>
              <w:top w:type="dxa" w:w="80"/>
              <w:left w:type="dxa" w:w="100"/>
              <w:bottom w:type="dxa" w:w="80"/>
              <w:right w:type="dxa" w:w="100"/>
            </w:tcMar>
            <w:vAlign w:val="center"/>
          </w:tcPr>
          <w:p>
            <w:r>
              <w:rPr>
                <w:b w:val="false"/>
                <w:bCs w:val="false"/>
                <w:sz w:val="20"/>
                <w:szCs w:val="20"/>
              </w:rPr>
              <w:t xml:space="preserve">FE-12.4</w:t>
            </w:r>
          </w:p>
        </w:tc>
      </w:tr>
      <w:tr>
        <w:tc>
          <w:tcPr>
            <w:tcW w:type="dxa" w:w="1300"/>
            <w:tcMar>
              <w:top w:type="dxa" w:w="80"/>
              <w:left w:type="dxa" w:w="100"/>
              <w:bottom w:type="dxa" w:w="80"/>
              <w:right w:type="dxa" w:w="100"/>
            </w:tcMar>
            <w:vAlign w:val="center"/>
          </w:tcPr>
          <w:p>
            <w:r>
              <w:rPr>
                <w:b w:val="false"/>
                <w:bCs w:val="false"/>
                <w:sz w:val="20"/>
                <w:szCs w:val="20"/>
              </w:rPr>
              <w:t xml:space="preserve">FR-12.8</w:t>
            </w:r>
          </w:p>
        </w:tc>
        <w:tc>
          <w:tcPr>
            <w:tcW w:type="dxa" w:w="5300"/>
            <w:tcMar>
              <w:top w:type="dxa" w:w="80"/>
              <w:left w:type="dxa" w:w="100"/>
              <w:bottom w:type="dxa" w:w="80"/>
              <w:right w:type="dxa" w:w="100"/>
            </w:tcMar>
            <w:vAlign w:val="center"/>
          </w:tcPr>
          <w:p>
            <w:r>
              <w:rPr>
                <w:b w:val="false"/>
                <w:bCs w:val="false"/>
                <w:sz w:val="20"/>
                <w:szCs w:val="20"/>
              </w:rPr>
              <w:t xml:space="preserve">Two-interaction cancellation; reverts to free, no retention gauntlet</w:t>
            </w:r>
          </w:p>
        </w:tc>
        <w:tc>
          <w:tcPr>
            <w:tcW w:type="dxa" w:w="2760"/>
            <w:tcMar>
              <w:top w:type="dxa" w:w="80"/>
              <w:left w:type="dxa" w:w="100"/>
              <w:bottom w:type="dxa" w:w="80"/>
              <w:right w:type="dxa" w:w="100"/>
            </w:tcMar>
            <w:vAlign w:val="center"/>
          </w:tcPr>
          <w:p>
            <w:r>
              <w:rPr>
                <w:b w:val="false"/>
                <w:bCs w:val="false"/>
                <w:sz w:val="20"/>
                <w:szCs w:val="20"/>
              </w:rPr>
              <w:t xml:space="preserve">FE-12.7, FE-12.8, FE-12.10, FE-13.8</w:t>
            </w:r>
          </w:p>
        </w:tc>
      </w:tr>
      <w:tr>
        <w:tc>
          <w:tcPr>
            <w:tcW w:type="dxa" w:w="1300"/>
            <w:tcMar>
              <w:top w:type="dxa" w:w="80"/>
              <w:left w:type="dxa" w:w="100"/>
              <w:bottom w:type="dxa" w:w="80"/>
              <w:right w:type="dxa" w:w="100"/>
            </w:tcMar>
            <w:vAlign w:val="center"/>
          </w:tcPr>
          <w:p>
            <w:r>
              <w:rPr>
                <w:b w:val="false"/>
                <w:bCs w:val="false"/>
                <w:sz w:val="20"/>
                <w:szCs w:val="20"/>
              </w:rPr>
              <w:t xml:space="preserve">FR-12.9</w:t>
            </w:r>
          </w:p>
        </w:tc>
        <w:tc>
          <w:tcPr>
            <w:tcW w:type="dxa" w:w="5300"/>
            <w:tcMar>
              <w:top w:type="dxa" w:w="80"/>
              <w:left w:type="dxa" w:w="100"/>
              <w:bottom w:type="dxa" w:w="80"/>
              <w:right w:type="dxa" w:w="100"/>
            </w:tcMar>
            <w:vAlign w:val="center"/>
          </w:tcPr>
          <w:p>
            <w:r>
              <w:rPr>
                <w:b w:val="false"/>
                <w:bCs w:val="false"/>
                <w:sz w:val="20"/>
                <w:szCs w:val="20"/>
              </w:rPr>
              <w:t xml:space="preserve">Gating derived from live API state, never cached entitlement</w:t>
            </w:r>
          </w:p>
        </w:tc>
        <w:tc>
          <w:tcPr>
            <w:tcW w:type="dxa" w:w="2760"/>
            <w:tcMar>
              <w:top w:type="dxa" w:w="80"/>
              <w:left w:type="dxa" w:w="100"/>
              <w:bottom w:type="dxa" w:w="80"/>
              <w:right w:type="dxa" w:w="100"/>
            </w:tcMar>
            <w:vAlign w:val="center"/>
          </w:tcPr>
          <w:p>
            <w:r>
              <w:rPr>
                <w:b w:val="false"/>
                <w:bCs w:val="false"/>
                <w:sz w:val="20"/>
                <w:szCs w:val="20"/>
              </w:rPr>
              <w:t xml:space="preserve">FE-12.9</w:t>
            </w:r>
          </w:p>
        </w:tc>
      </w:tr>
      <w:tr>
        <w:tc>
          <w:tcPr>
            <w:tcW w:type="dxa" w:w="1300"/>
            <w:tcMar>
              <w:top w:type="dxa" w:w="80"/>
              <w:left w:type="dxa" w:w="100"/>
              <w:bottom w:type="dxa" w:w="80"/>
              <w:right w:type="dxa" w:w="100"/>
            </w:tcMar>
            <w:vAlign w:val="center"/>
          </w:tcPr>
          <w:p>
            <w:r>
              <w:rPr>
                <w:b w:val="false"/>
                <w:bCs w:val="false"/>
                <w:sz w:val="20"/>
                <w:szCs w:val="20"/>
              </w:rPr>
              <w:t xml:space="preserve">FR-13.1</w:t>
            </w:r>
          </w:p>
        </w:tc>
        <w:tc>
          <w:tcPr>
            <w:tcW w:type="dxa" w:w="5300"/>
            <w:tcMar>
              <w:top w:type="dxa" w:w="80"/>
              <w:left w:type="dxa" w:w="100"/>
              <w:bottom w:type="dxa" w:w="80"/>
              <w:right w:type="dxa" w:w="100"/>
            </w:tcMar>
            <w:vAlign w:val="center"/>
          </w:tcPr>
          <w:p>
            <w:r>
              <w:rPr>
                <w:b w:val="false"/>
                <w:bCs w:val="false"/>
                <w:sz w:val="20"/>
                <w:szCs w:val="20"/>
              </w:rPr>
              <w:t xml:space="preserve">Self-service export of all tenant data</w:t>
            </w:r>
          </w:p>
        </w:tc>
        <w:tc>
          <w:tcPr>
            <w:tcW w:type="dxa" w:w="2760"/>
            <w:tcMar>
              <w:top w:type="dxa" w:w="80"/>
              <w:left w:type="dxa" w:w="100"/>
              <w:bottom w:type="dxa" w:w="80"/>
              <w:right w:type="dxa" w:w="100"/>
            </w:tcMar>
            <w:vAlign w:val="center"/>
          </w:tcPr>
          <w:p>
            <w:r>
              <w:rPr>
                <w:b w:val="false"/>
                <w:bCs w:val="false"/>
                <w:sz w:val="20"/>
                <w:szCs w:val="20"/>
              </w:rPr>
              <w:t xml:space="preserve">FE-13.1, FE-13.3</w:t>
            </w:r>
          </w:p>
        </w:tc>
      </w:tr>
      <w:tr>
        <w:tc>
          <w:tcPr>
            <w:tcW w:type="dxa" w:w="1300"/>
            <w:tcMar>
              <w:top w:type="dxa" w:w="80"/>
              <w:left w:type="dxa" w:w="100"/>
              <w:bottom w:type="dxa" w:w="80"/>
              <w:right w:type="dxa" w:w="100"/>
            </w:tcMar>
            <w:vAlign w:val="center"/>
          </w:tcPr>
          <w:p>
            <w:r>
              <w:rPr>
                <w:b w:val="false"/>
                <w:bCs w:val="false"/>
                <w:sz w:val="20"/>
                <w:szCs w:val="20"/>
              </w:rPr>
              <w:t xml:space="preserve">FR-13.2</w:t>
            </w:r>
          </w:p>
        </w:tc>
        <w:tc>
          <w:tcPr>
            <w:tcW w:type="dxa" w:w="5300"/>
            <w:tcMar>
              <w:top w:type="dxa" w:w="80"/>
              <w:left w:type="dxa" w:w="100"/>
              <w:bottom w:type="dxa" w:w="80"/>
              <w:right w:type="dxa" w:w="100"/>
            </w:tcMar>
            <w:vAlign w:val="center"/>
          </w:tcPr>
          <w:p>
            <w:r>
              <w:rPr>
                <w:b w:val="false"/>
                <w:bCs w:val="false"/>
                <w:sz w:val="20"/>
                <w:szCs w:val="20"/>
              </w:rPr>
              <w:t xml:space="preserve">Asynchronous export with stated fulfillment window</w:t>
            </w:r>
          </w:p>
        </w:tc>
        <w:tc>
          <w:tcPr>
            <w:tcW w:type="dxa" w:w="2760"/>
            <w:tcMar>
              <w:top w:type="dxa" w:w="80"/>
              <w:left w:type="dxa" w:w="100"/>
              <w:bottom w:type="dxa" w:w="80"/>
              <w:right w:type="dxa" w:w="100"/>
            </w:tcMar>
            <w:vAlign w:val="center"/>
          </w:tcPr>
          <w:p>
            <w:r>
              <w:rPr>
                <w:b w:val="false"/>
                <w:bCs w:val="false"/>
                <w:sz w:val="20"/>
                <w:szCs w:val="20"/>
              </w:rPr>
              <w:t xml:space="preserve">FE-13.2</w:t>
            </w:r>
          </w:p>
        </w:tc>
      </w:tr>
      <w:tr>
        <w:tc>
          <w:tcPr>
            <w:tcW w:type="dxa" w:w="1300"/>
            <w:tcMar>
              <w:top w:type="dxa" w:w="80"/>
              <w:left w:type="dxa" w:w="100"/>
              <w:bottom w:type="dxa" w:w="80"/>
              <w:right w:type="dxa" w:w="100"/>
            </w:tcMar>
            <w:vAlign w:val="center"/>
          </w:tcPr>
          <w:p>
            <w:r>
              <w:rPr>
                <w:b w:val="false"/>
                <w:bCs w:val="false"/>
                <w:sz w:val="20"/>
                <w:szCs w:val="20"/>
              </w:rPr>
              <w:t xml:space="preserve">FR-13.3</w:t>
            </w:r>
          </w:p>
        </w:tc>
        <w:tc>
          <w:tcPr>
            <w:tcW w:type="dxa" w:w="5300"/>
            <w:tcMar>
              <w:top w:type="dxa" w:w="80"/>
              <w:left w:type="dxa" w:w="100"/>
              <w:bottom w:type="dxa" w:w="80"/>
              <w:right w:type="dxa" w:w="100"/>
            </w:tcMar>
            <w:vAlign w:val="center"/>
          </w:tcPr>
          <w:p>
            <w:r>
              <w:rPr>
                <w:b w:val="false"/>
                <w:bCs w:val="false"/>
                <w:sz w:val="20"/>
                <w:szCs w:val="20"/>
              </w:rPr>
              <w:t xml:space="preserve">Self-service deletion with typed confirmation</w:t>
            </w:r>
          </w:p>
        </w:tc>
        <w:tc>
          <w:tcPr>
            <w:tcW w:type="dxa" w:w="2760"/>
            <w:tcMar>
              <w:top w:type="dxa" w:w="80"/>
              <w:left w:type="dxa" w:w="100"/>
              <w:bottom w:type="dxa" w:w="80"/>
              <w:right w:type="dxa" w:w="100"/>
            </w:tcMar>
            <w:vAlign w:val="center"/>
          </w:tcPr>
          <w:p>
            <w:r>
              <w:rPr>
                <w:b w:val="false"/>
                <w:bCs w:val="false"/>
                <w:sz w:val="20"/>
                <w:szCs w:val="20"/>
              </w:rPr>
              <w:t xml:space="preserve">FE-13.4, FE-13.7</w:t>
            </w:r>
          </w:p>
        </w:tc>
      </w:tr>
      <w:tr>
        <w:tc>
          <w:tcPr>
            <w:tcW w:type="dxa" w:w="1300"/>
            <w:tcMar>
              <w:top w:type="dxa" w:w="80"/>
              <w:left w:type="dxa" w:w="100"/>
              <w:bottom w:type="dxa" w:w="80"/>
              <w:right w:type="dxa" w:w="100"/>
            </w:tcMar>
            <w:vAlign w:val="center"/>
          </w:tcPr>
          <w:p>
            <w:r>
              <w:rPr>
                <w:b w:val="false"/>
                <w:bCs w:val="false"/>
                <w:sz w:val="20"/>
                <w:szCs w:val="20"/>
              </w:rPr>
              <w:t xml:space="preserve">FR-14.1</w:t>
            </w:r>
          </w:p>
        </w:tc>
        <w:tc>
          <w:tcPr>
            <w:tcW w:type="dxa" w:w="5300"/>
            <w:tcMar>
              <w:top w:type="dxa" w:w="80"/>
              <w:left w:type="dxa" w:w="100"/>
              <w:bottom w:type="dxa" w:w="80"/>
              <w:right w:type="dxa" w:w="100"/>
            </w:tcMar>
            <w:vAlign w:val="center"/>
          </w:tcPr>
          <w:p>
            <w:r>
              <w:rPr>
                <w:b w:val="false"/>
                <w:bCs w:val="false"/>
                <w:sz w:val="20"/>
                <w:szCs w:val="20"/>
              </w:rPr>
              <w:t xml:space="preserve">Multi-institution linking, grouped account list</w:t>
            </w:r>
          </w:p>
        </w:tc>
        <w:tc>
          <w:tcPr>
            <w:tcW w:type="dxa" w:w="2760"/>
            <w:tcMar>
              <w:top w:type="dxa" w:w="80"/>
              <w:left w:type="dxa" w:w="100"/>
              <w:bottom w:type="dxa" w:w="80"/>
              <w:right w:type="dxa" w:w="100"/>
            </w:tcMar>
            <w:vAlign w:val="center"/>
          </w:tcPr>
          <w:p>
            <w:r>
              <w:rPr>
                <w:b w:val="false"/>
                <w:bCs w:val="false"/>
                <w:sz w:val="20"/>
                <w:szCs w:val="20"/>
              </w:rPr>
              <w:t xml:space="preserve">FE-14.1</w:t>
            </w:r>
          </w:p>
        </w:tc>
      </w:tr>
      <w:tr>
        <w:tc>
          <w:tcPr>
            <w:tcW w:type="dxa" w:w="1300"/>
            <w:tcMar>
              <w:top w:type="dxa" w:w="80"/>
              <w:left w:type="dxa" w:w="100"/>
              <w:bottom w:type="dxa" w:w="80"/>
              <w:right w:type="dxa" w:w="100"/>
            </w:tcMar>
            <w:vAlign w:val="center"/>
          </w:tcPr>
          <w:p>
            <w:r>
              <w:rPr>
                <w:b w:val="false"/>
                <w:bCs w:val="false"/>
                <w:sz w:val="20"/>
                <w:szCs w:val="20"/>
              </w:rPr>
              <w:t xml:space="preserve">FR-14.2</w:t>
            </w:r>
          </w:p>
        </w:tc>
        <w:tc>
          <w:tcPr>
            <w:tcW w:type="dxa" w:w="5300"/>
            <w:tcMar>
              <w:top w:type="dxa" w:w="80"/>
              <w:left w:type="dxa" w:w="100"/>
              <w:bottom w:type="dxa" w:w="80"/>
              <w:right w:type="dxa" w:w="100"/>
            </w:tcMar>
            <w:vAlign w:val="center"/>
          </w:tcPr>
          <w:p>
            <w:r>
              <w:rPr>
                <w:b w:val="false"/>
                <w:bCs w:val="false"/>
                <w:sz w:val="20"/>
                <w:szCs w:val="20"/>
              </w:rPr>
              <w:t xml:space="preserve">No credential capture; handoff to hosted flow</w:t>
            </w:r>
          </w:p>
        </w:tc>
        <w:tc>
          <w:tcPr>
            <w:tcW w:type="dxa" w:w="2760"/>
            <w:tcMar>
              <w:top w:type="dxa" w:w="80"/>
              <w:left w:type="dxa" w:w="100"/>
              <w:bottom w:type="dxa" w:w="80"/>
              <w:right w:type="dxa" w:w="100"/>
            </w:tcMar>
            <w:vAlign w:val="center"/>
          </w:tcPr>
          <w:p>
            <w:r>
              <w:rPr>
                <w:b w:val="false"/>
                <w:bCs w:val="false"/>
                <w:sz w:val="20"/>
                <w:szCs w:val="20"/>
              </w:rPr>
              <w:t xml:space="preserve">FE-14.2, FE-14.3</w:t>
            </w:r>
          </w:p>
        </w:tc>
      </w:tr>
      <w:tr>
        <w:tc>
          <w:tcPr>
            <w:tcW w:type="dxa" w:w="1300"/>
            <w:tcMar>
              <w:top w:type="dxa" w:w="80"/>
              <w:left w:type="dxa" w:w="100"/>
              <w:bottom w:type="dxa" w:w="80"/>
              <w:right w:type="dxa" w:w="100"/>
            </w:tcMar>
            <w:vAlign w:val="center"/>
          </w:tcPr>
          <w:p>
            <w:r>
              <w:rPr>
                <w:b w:val="false"/>
                <w:bCs w:val="false"/>
                <w:sz w:val="20"/>
                <w:szCs w:val="20"/>
              </w:rPr>
              <w:t xml:space="preserve">FR-14.3</w:t>
            </w:r>
          </w:p>
        </w:tc>
        <w:tc>
          <w:tcPr>
            <w:tcW w:type="dxa" w:w="5300"/>
            <w:tcMar>
              <w:top w:type="dxa" w:w="80"/>
              <w:left w:type="dxa" w:w="100"/>
              <w:bottom w:type="dxa" w:w="80"/>
              <w:right w:type="dxa" w:w="100"/>
            </w:tcMar>
            <w:vAlign w:val="center"/>
          </w:tcPr>
          <w:p>
            <w:r>
              <w:rPr>
                <w:b w:val="false"/>
                <w:bCs w:val="false"/>
                <w:sz w:val="20"/>
                <w:szCs w:val="20"/>
              </w:rPr>
              <w:t xml:space="preserve">No control implying payment capability anywhere in client</w:t>
            </w:r>
          </w:p>
        </w:tc>
        <w:tc>
          <w:tcPr>
            <w:tcW w:type="dxa" w:w="2760"/>
            <w:tcMar>
              <w:top w:type="dxa" w:w="80"/>
              <w:left w:type="dxa" w:w="100"/>
              <w:bottom w:type="dxa" w:w="80"/>
              <w:right w:type="dxa" w:w="100"/>
            </w:tcMar>
            <w:vAlign w:val="center"/>
          </w:tcPr>
          <w:p>
            <w:r>
              <w:rPr>
                <w:b w:val="false"/>
                <w:bCs w:val="false"/>
                <w:sz w:val="20"/>
                <w:szCs w:val="20"/>
              </w:rPr>
              <w:t xml:space="preserve">FE-14.11, Ch.5 prohibition</w:t>
            </w:r>
          </w:p>
        </w:tc>
      </w:tr>
      <w:tr>
        <w:tc>
          <w:tcPr>
            <w:tcW w:type="dxa" w:w="1300"/>
            <w:tcMar>
              <w:top w:type="dxa" w:w="80"/>
              <w:left w:type="dxa" w:w="100"/>
              <w:bottom w:type="dxa" w:w="80"/>
              <w:right w:type="dxa" w:w="100"/>
            </w:tcMar>
            <w:vAlign w:val="center"/>
          </w:tcPr>
          <w:p>
            <w:r>
              <w:rPr>
                <w:b w:val="false"/>
                <w:bCs w:val="false"/>
                <w:sz w:val="20"/>
                <w:szCs w:val="20"/>
              </w:rPr>
              <w:t xml:space="preserve">FR-14.4</w:t>
            </w:r>
          </w:p>
        </w:tc>
        <w:tc>
          <w:tcPr>
            <w:tcW w:type="dxa" w:w="5300"/>
            <w:tcMar>
              <w:top w:type="dxa" w:w="80"/>
              <w:left w:type="dxa" w:w="100"/>
              <w:bottom w:type="dxa" w:w="80"/>
              <w:right w:type="dxa" w:w="100"/>
            </w:tcMar>
            <w:vAlign w:val="center"/>
          </w:tcPr>
          <w:p>
            <w:r>
              <w:rPr>
                <w:b w:val="false"/>
                <w:bCs w:val="false"/>
                <w:sz w:val="20"/>
                <w:szCs w:val="20"/>
              </w:rPr>
              <w:t xml:space="preserve">Gross Balance in display currency with per-account natives</w:t>
            </w:r>
          </w:p>
        </w:tc>
        <w:tc>
          <w:tcPr>
            <w:tcW w:type="dxa" w:w="2760"/>
            <w:tcMar>
              <w:top w:type="dxa" w:w="80"/>
              <w:left w:type="dxa" w:w="100"/>
              <w:bottom w:type="dxa" w:w="80"/>
              <w:right w:type="dxa" w:w="100"/>
            </w:tcMar>
            <w:vAlign w:val="center"/>
          </w:tcPr>
          <w:p>
            <w:r>
              <w:rPr>
                <w:b w:val="false"/>
                <w:bCs w:val="false"/>
                <w:sz w:val="20"/>
                <w:szCs w:val="20"/>
              </w:rPr>
              <w:t xml:space="preserve">FE-14.7</w:t>
            </w:r>
          </w:p>
        </w:tc>
      </w:tr>
      <w:tr>
        <w:tc>
          <w:tcPr>
            <w:tcW w:type="dxa" w:w="1300"/>
            <w:tcMar>
              <w:top w:type="dxa" w:w="80"/>
              <w:left w:type="dxa" w:w="100"/>
              <w:bottom w:type="dxa" w:w="80"/>
              <w:right w:type="dxa" w:w="100"/>
            </w:tcMar>
            <w:vAlign w:val="center"/>
          </w:tcPr>
          <w:p>
            <w:r>
              <w:rPr>
                <w:b w:val="false"/>
                <w:bCs w:val="false"/>
                <w:sz w:val="20"/>
                <w:szCs w:val="20"/>
              </w:rPr>
              <w:t xml:space="preserve">FR-14.5</w:t>
            </w:r>
          </w:p>
        </w:tc>
        <w:tc>
          <w:tcPr>
            <w:tcW w:type="dxa" w:w="5300"/>
            <w:tcMar>
              <w:top w:type="dxa" w:w="80"/>
              <w:left w:type="dxa" w:w="100"/>
              <w:bottom w:type="dxa" w:w="80"/>
              <w:right w:type="dxa" w:w="100"/>
            </w:tcMar>
            <w:vAlign w:val="center"/>
          </w:tcPr>
          <w:p>
            <w:r>
              <w:rPr>
                <w:b w:val="false"/>
                <w:bCs w:val="false"/>
                <w:sz w:val="20"/>
                <w:szCs w:val="20"/>
              </w:rPr>
              <w:t xml:space="preserve">Sync time shown; linked data distinguished from manual</w:t>
            </w:r>
          </w:p>
        </w:tc>
        <w:tc>
          <w:tcPr>
            <w:tcW w:type="dxa" w:w="2760"/>
            <w:tcMar>
              <w:top w:type="dxa" w:w="80"/>
              <w:left w:type="dxa" w:w="100"/>
              <w:bottom w:type="dxa" w:w="80"/>
              <w:right w:type="dxa" w:w="100"/>
            </w:tcMar>
            <w:vAlign w:val="center"/>
          </w:tcPr>
          <w:p>
            <w:r>
              <w:rPr>
                <w:b w:val="false"/>
                <w:bCs w:val="false"/>
                <w:sz w:val="20"/>
                <w:szCs w:val="20"/>
              </w:rPr>
              <w:t xml:space="preserve">FE-14.14, FE-14.15</w:t>
            </w:r>
          </w:p>
        </w:tc>
      </w:tr>
      <w:tr>
        <w:tc>
          <w:tcPr>
            <w:tcW w:type="dxa" w:w="1300"/>
            <w:tcMar>
              <w:top w:type="dxa" w:w="80"/>
              <w:left w:type="dxa" w:w="100"/>
              <w:bottom w:type="dxa" w:w="80"/>
              <w:right w:type="dxa" w:w="100"/>
            </w:tcMar>
            <w:vAlign w:val="center"/>
          </w:tcPr>
          <w:p>
            <w:r>
              <w:rPr>
                <w:b w:val="false"/>
                <w:bCs w:val="false"/>
                <w:sz w:val="20"/>
                <w:szCs w:val="20"/>
              </w:rPr>
              <w:t xml:space="preserve">FR-14.6</w:t>
            </w:r>
          </w:p>
        </w:tc>
        <w:tc>
          <w:tcPr>
            <w:tcW w:type="dxa" w:w="5300"/>
            <w:tcMar>
              <w:top w:type="dxa" w:w="80"/>
              <w:left w:type="dxa" w:w="100"/>
              <w:bottom w:type="dxa" w:w="80"/>
              <w:right w:type="dxa" w:w="100"/>
            </w:tcMar>
            <w:vAlign w:val="center"/>
          </w:tcPr>
          <w:p>
            <w:r>
              <w:rPr>
                <w:b w:val="false"/>
                <w:bCs w:val="false"/>
                <w:sz w:val="20"/>
                <w:szCs w:val="20"/>
              </w:rPr>
              <w:t xml:space="preserve">Institution, type, last-4 masking, balance, transactions</w:t>
            </w:r>
          </w:p>
        </w:tc>
        <w:tc>
          <w:tcPr>
            <w:tcW w:type="dxa" w:w="2760"/>
            <w:tcMar>
              <w:top w:type="dxa" w:w="80"/>
              <w:left w:type="dxa" w:w="100"/>
              <w:bottom w:type="dxa" w:w="80"/>
              <w:right w:type="dxa" w:w="100"/>
            </w:tcMar>
            <w:vAlign w:val="center"/>
          </w:tcPr>
          <w:p>
            <w:r>
              <w:rPr>
                <w:b w:val="false"/>
                <w:bCs w:val="false"/>
                <w:sz w:val="20"/>
                <w:szCs w:val="20"/>
              </w:rPr>
              <w:t xml:space="preserve">FE-14.9, FE-N.5</w:t>
            </w:r>
          </w:p>
        </w:tc>
      </w:tr>
      <w:tr>
        <w:tc>
          <w:tcPr>
            <w:tcW w:type="dxa" w:w="1300"/>
            <w:tcMar>
              <w:top w:type="dxa" w:w="80"/>
              <w:left w:type="dxa" w:w="100"/>
              <w:bottom w:type="dxa" w:w="80"/>
              <w:right w:type="dxa" w:w="100"/>
            </w:tcMar>
            <w:vAlign w:val="center"/>
          </w:tcPr>
          <w:p>
            <w:r>
              <w:rPr>
                <w:b w:val="false"/>
                <w:bCs w:val="false"/>
                <w:sz w:val="20"/>
                <w:szCs w:val="20"/>
              </w:rPr>
              <w:t xml:space="preserve">FR-14.7</w:t>
            </w:r>
          </w:p>
        </w:tc>
        <w:tc>
          <w:tcPr>
            <w:tcW w:type="dxa" w:w="5300"/>
            <w:tcMar>
              <w:top w:type="dxa" w:w="80"/>
              <w:left w:type="dxa" w:w="100"/>
              <w:bottom w:type="dxa" w:w="80"/>
              <w:right w:type="dxa" w:w="100"/>
            </w:tcMar>
            <w:vAlign w:val="center"/>
          </w:tcPr>
          <w:p>
            <w:r>
              <w:rPr>
                <w:b w:val="false"/>
                <w:bCs w:val="false"/>
                <w:sz w:val="20"/>
                <w:szCs w:val="20"/>
              </w:rPr>
              <w:t xml:space="preserve">Unlink with confirmation and purge disclosure</w:t>
            </w:r>
          </w:p>
        </w:tc>
        <w:tc>
          <w:tcPr>
            <w:tcW w:type="dxa" w:w="2760"/>
            <w:tcMar>
              <w:top w:type="dxa" w:w="80"/>
              <w:left w:type="dxa" w:w="100"/>
              <w:bottom w:type="dxa" w:w="80"/>
              <w:right w:type="dxa" w:w="100"/>
            </w:tcMar>
            <w:vAlign w:val="center"/>
          </w:tcPr>
          <w:p>
            <w:r>
              <w:rPr>
                <w:b w:val="false"/>
                <w:bCs w:val="false"/>
                <w:sz w:val="20"/>
                <w:szCs w:val="20"/>
              </w:rPr>
              <w:t xml:space="preserve">FE-14.12</w:t>
            </w:r>
          </w:p>
        </w:tc>
      </w:tr>
      <w:tr>
        <w:tc>
          <w:tcPr>
            <w:tcW w:type="dxa" w:w="1300"/>
            <w:tcMar>
              <w:top w:type="dxa" w:w="80"/>
              <w:left w:type="dxa" w:w="100"/>
              <w:bottom w:type="dxa" w:w="80"/>
              <w:right w:type="dxa" w:w="100"/>
            </w:tcMar>
            <w:vAlign w:val="center"/>
          </w:tcPr>
          <w:p>
            <w:r>
              <w:rPr>
                <w:b w:val="false"/>
                <w:bCs w:val="false"/>
                <w:sz w:val="20"/>
                <w:szCs w:val="20"/>
              </w:rPr>
              <w:t xml:space="preserve">FR-14.8</w:t>
            </w:r>
          </w:p>
        </w:tc>
        <w:tc>
          <w:tcPr>
            <w:tcW w:type="dxa" w:w="5300"/>
            <w:tcMar>
              <w:top w:type="dxa" w:w="80"/>
              <w:left w:type="dxa" w:w="100"/>
              <w:bottom w:type="dxa" w:w="80"/>
              <w:right w:type="dxa" w:w="100"/>
            </w:tcMar>
            <w:vAlign w:val="center"/>
          </w:tcPr>
          <w:p>
            <w:r>
              <w:rPr>
                <w:b w:val="false"/>
                <w:bCs w:val="false"/>
                <w:sz w:val="20"/>
                <w:szCs w:val="20"/>
              </w:rPr>
              <w:t xml:space="preserve">Re-authorization prompt; syncing-suspended state</w:t>
            </w:r>
          </w:p>
        </w:tc>
        <w:tc>
          <w:tcPr>
            <w:tcW w:type="dxa" w:w="2760"/>
            <w:tcMar>
              <w:top w:type="dxa" w:w="80"/>
              <w:left w:type="dxa" w:w="100"/>
              <w:bottom w:type="dxa" w:w="80"/>
              <w:right w:type="dxa" w:w="100"/>
            </w:tcMar>
            <w:vAlign w:val="center"/>
          </w:tcPr>
          <w:p>
            <w:r>
              <w:rPr>
                <w:b w:val="false"/>
                <w:bCs w:val="false"/>
                <w:sz w:val="20"/>
                <w:szCs w:val="20"/>
              </w:rPr>
              <w:t xml:space="preserve">FE-14.13</w:t>
            </w:r>
          </w:p>
        </w:tc>
      </w:tr>
      <w:tr>
        <w:tc>
          <w:tcPr>
            <w:tcW w:type="dxa" w:w="1300"/>
            <w:tcMar>
              <w:top w:type="dxa" w:w="80"/>
              <w:left w:type="dxa" w:w="100"/>
              <w:bottom w:type="dxa" w:w="80"/>
              <w:right w:type="dxa" w:w="100"/>
            </w:tcMar>
            <w:vAlign w:val="center"/>
          </w:tcPr>
          <w:p>
            <w:r>
              <w:rPr>
                <w:b w:val="false"/>
                <w:bCs w:val="false"/>
                <w:sz w:val="20"/>
                <w:szCs w:val="20"/>
              </w:rPr>
              <w:t xml:space="preserve">FR-14.9</w:t>
            </w:r>
          </w:p>
        </w:tc>
        <w:tc>
          <w:tcPr>
            <w:tcW w:type="dxa" w:w="5300"/>
            <w:tcMar>
              <w:top w:type="dxa" w:w="80"/>
              <w:left w:type="dxa" w:w="100"/>
              <w:bottom w:type="dxa" w:w="80"/>
              <w:right w:type="dxa" w:w="100"/>
            </w:tcMar>
            <w:vAlign w:val="center"/>
          </w:tcPr>
          <w:p>
            <w:r>
              <w:rPr>
                <w:b w:val="false"/>
                <w:bCs w:val="false"/>
                <w:sz w:val="20"/>
                <w:szCs w:val="20"/>
              </w:rPr>
              <w:t xml:space="preserve">Persistent read-only indication on all linked surfaces</w:t>
            </w:r>
          </w:p>
        </w:tc>
        <w:tc>
          <w:tcPr>
            <w:tcW w:type="dxa" w:w="2760"/>
            <w:tcMar>
              <w:top w:type="dxa" w:w="80"/>
              <w:left w:type="dxa" w:w="100"/>
              <w:bottom w:type="dxa" w:w="80"/>
              <w:right w:type="dxa" w:w="100"/>
            </w:tcMar>
            <w:vAlign w:val="center"/>
          </w:tcPr>
          <w:p>
            <w:r>
              <w:rPr>
                <w:b w:val="false"/>
                <w:bCs w:val="false"/>
                <w:sz w:val="20"/>
                <w:szCs w:val="20"/>
              </w:rPr>
              <w:t xml:space="preserve">FE-14.11</w:t>
            </w:r>
          </w:p>
        </w:tc>
      </w:tr>
      <w:tr>
        <w:tc>
          <w:tcPr>
            <w:tcW w:type="dxa" w:w="1300"/>
            <w:tcMar>
              <w:top w:type="dxa" w:w="80"/>
              <w:left w:type="dxa" w:w="100"/>
              <w:bottom w:type="dxa" w:w="80"/>
              <w:right w:type="dxa" w:w="100"/>
            </w:tcMar>
            <w:vAlign w:val="center"/>
          </w:tcPr>
          <w:p>
            <w:r>
              <w:rPr>
                <w:b w:val="false"/>
                <w:bCs w:val="false"/>
                <w:sz w:val="20"/>
                <w:szCs w:val="20"/>
              </w:rPr>
              <w:t xml:space="preserve">FR-14.10</w:t>
            </w:r>
          </w:p>
        </w:tc>
        <w:tc>
          <w:tcPr>
            <w:tcW w:type="dxa" w:w="5300"/>
            <w:tcMar>
              <w:top w:type="dxa" w:w="80"/>
              <w:left w:type="dxa" w:w="100"/>
              <w:bottom w:type="dxa" w:w="80"/>
              <w:right w:type="dxa" w:w="100"/>
            </w:tcMar>
            <w:vAlign w:val="center"/>
          </w:tcPr>
          <w:p>
            <w:r>
              <w:rPr>
                <w:b w:val="false"/>
                <w:bCs w:val="false"/>
                <w:sz w:val="20"/>
                <w:szCs w:val="20"/>
              </w:rPr>
              <w:t xml:space="preserve">Connection channel named at point of linking</w:t>
            </w:r>
          </w:p>
        </w:tc>
        <w:tc>
          <w:tcPr>
            <w:tcW w:type="dxa" w:w="2760"/>
            <w:tcMar>
              <w:top w:type="dxa" w:w="80"/>
              <w:left w:type="dxa" w:w="100"/>
              <w:bottom w:type="dxa" w:w="80"/>
              <w:right w:type="dxa" w:w="100"/>
            </w:tcMar>
            <w:vAlign w:val="center"/>
          </w:tcPr>
          <w:p>
            <w:r>
              <w:rPr>
                <w:b w:val="false"/>
                <w:bCs w:val="false"/>
                <w:sz w:val="20"/>
                <w:szCs w:val="20"/>
              </w:rPr>
              <w:t xml:space="preserve">FE-14.4, FE-14.5</w:t>
            </w:r>
          </w:p>
        </w:tc>
      </w:tr>
      <w:tr>
        <w:tc>
          <w:tcPr>
            <w:tcW w:type="dxa" w:w="1300"/>
            <w:tcMar>
              <w:top w:type="dxa" w:w="80"/>
              <w:left w:type="dxa" w:w="100"/>
              <w:bottom w:type="dxa" w:w="80"/>
              <w:right w:type="dxa" w:w="100"/>
            </w:tcMar>
            <w:vAlign w:val="center"/>
          </w:tcPr>
          <w:p>
            <w:r>
              <w:rPr>
                <w:b w:val="false"/>
                <w:bCs w:val="false"/>
                <w:sz w:val="20"/>
                <w:szCs w:val="20"/>
              </w:rPr>
              <w:t xml:space="preserve">FR-14.11</w:t>
            </w:r>
          </w:p>
        </w:tc>
        <w:tc>
          <w:tcPr>
            <w:tcW w:type="dxa" w:w="5300"/>
            <w:tcMar>
              <w:top w:type="dxa" w:w="80"/>
              <w:left w:type="dxa" w:w="100"/>
              <w:bottom w:type="dxa" w:w="80"/>
              <w:right w:type="dxa" w:w="100"/>
            </w:tcMar>
            <w:vAlign w:val="center"/>
          </w:tcPr>
          <w:p>
            <w:r>
              <w:rPr>
                <w:b w:val="false"/>
                <w:bCs w:val="false"/>
                <w:sz w:val="20"/>
                <w:szCs w:val="20"/>
              </w:rPr>
              <w:t xml:space="preserve">No third-party scripts on financial-data screens</w:t>
            </w:r>
          </w:p>
        </w:tc>
        <w:tc>
          <w:tcPr>
            <w:tcW w:type="dxa" w:w="2760"/>
            <w:tcMar>
              <w:top w:type="dxa" w:w="80"/>
              <w:left w:type="dxa" w:w="100"/>
              <w:bottom w:type="dxa" w:w="80"/>
              <w:right w:type="dxa" w:w="100"/>
            </w:tcMar>
            <w:vAlign w:val="center"/>
          </w:tcPr>
          <w:p>
            <w:r>
              <w:rPr>
                <w:b w:val="false"/>
                <w:bCs w:val="false"/>
                <w:sz w:val="20"/>
                <w:szCs w:val="20"/>
              </w:rPr>
              <w:t xml:space="preserve">FE-N.7</w:t>
            </w:r>
          </w:p>
        </w:tc>
      </w:tr>
      <w:tr>
        <w:tc>
          <w:tcPr>
            <w:tcW w:type="dxa" w:w="1300"/>
            <w:tcMar>
              <w:top w:type="dxa" w:w="80"/>
              <w:left w:type="dxa" w:w="100"/>
              <w:bottom w:type="dxa" w:w="80"/>
              <w:right w:type="dxa" w:w="100"/>
            </w:tcMar>
            <w:vAlign w:val="center"/>
          </w:tcPr>
          <w:p>
            <w:r>
              <w:rPr>
                <w:b w:val="false"/>
                <w:bCs w:val="false"/>
                <w:sz w:val="20"/>
                <w:szCs w:val="20"/>
              </w:rPr>
              <w:t xml:space="preserve">FR-14.12</w:t>
            </w:r>
          </w:p>
        </w:tc>
        <w:tc>
          <w:tcPr>
            <w:tcW w:type="dxa" w:w="5300"/>
            <w:tcMar>
              <w:top w:type="dxa" w:w="80"/>
              <w:left w:type="dxa" w:w="100"/>
              <w:bottom w:type="dxa" w:w="80"/>
              <w:right w:type="dxa" w:w="100"/>
            </w:tcMar>
            <w:vAlign w:val="center"/>
          </w:tcPr>
          <w:p>
            <w:r>
              <w:rPr>
                <w:b w:val="false"/>
                <w:bCs w:val="false"/>
                <w:sz w:val="20"/>
                <w:szCs w:val="20"/>
              </w:rPr>
              <w:t xml:space="preserve">Backend/contractual — client discloses provider identity</w:t>
            </w:r>
          </w:p>
        </w:tc>
        <w:tc>
          <w:tcPr>
            <w:tcW w:type="dxa" w:w="2760"/>
            <w:tcMar>
              <w:top w:type="dxa" w:w="80"/>
              <w:left w:type="dxa" w:w="100"/>
              <w:bottom w:type="dxa" w:w="80"/>
              <w:right w:type="dxa" w:w="100"/>
            </w:tcMar>
            <w:vAlign w:val="center"/>
          </w:tcPr>
          <w:p>
            <w:r>
              <w:rPr>
                <w:b w:val="false"/>
                <w:bCs w:val="false"/>
                <w:sz w:val="20"/>
                <w:szCs w:val="20"/>
              </w:rPr>
              <w:t xml:space="preserve">FE-14.5</w:t>
            </w:r>
          </w:p>
        </w:tc>
      </w:tr>
      <w:tr>
        <w:tc>
          <w:tcPr>
            <w:tcW w:type="dxa" w:w="1300"/>
            <w:tcMar>
              <w:top w:type="dxa" w:w="80"/>
              <w:left w:type="dxa" w:w="100"/>
              <w:bottom w:type="dxa" w:w="80"/>
              <w:right w:type="dxa" w:w="100"/>
            </w:tcMar>
            <w:vAlign w:val="center"/>
          </w:tcPr>
          <w:p>
            <w:r>
              <w:rPr>
                <w:b w:val="false"/>
                <w:bCs w:val="false"/>
                <w:sz w:val="20"/>
                <w:szCs w:val="20"/>
              </w:rPr>
              <w:t xml:space="preserve">FR-14.13</w:t>
            </w:r>
          </w:p>
        </w:tc>
        <w:tc>
          <w:tcPr>
            <w:tcW w:type="dxa" w:w="5300"/>
            <w:tcMar>
              <w:top w:type="dxa" w:w="80"/>
              <w:left w:type="dxa" w:w="100"/>
              <w:bottom w:type="dxa" w:w="80"/>
              <w:right w:type="dxa" w:w="100"/>
            </w:tcMar>
            <w:vAlign w:val="center"/>
          </w:tcPr>
          <w:p>
            <w:r>
              <w:rPr>
                <w:b w:val="false"/>
                <w:bCs w:val="false"/>
                <w:sz w:val="20"/>
                <w:szCs w:val="20"/>
              </w:rPr>
              <w:t xml:space="preserve">Conversion applied to Gross Balance display</w:t>
            </w:r>
          </w:p>
        </w:tc>
        <w:tc>
          <w:tcPr>
            <w:tcW w:type="dxa" w:w="2760"/>
            <w:tcMar>
              <w:top w:type="dxa" w:w="80"/>
              <w:left w:type="dxa" w:w="100"/>
              <w:bottom w:type="dxa" w:w="80"/>
              <w:right w:type="dxa" w:w="100"/>
            </w:tcMar>
            <w:vAlign w:val="center"/>
          </w:tcPr>
          <w:p>
            <w:r>
              <w:rPr>
                <w:b w:val="false"/>
                <w:bCs w:val="false"/>
                <w:sz w:val="20"/>
                <w:szCs w:val="20"/>
              </w:rPr>
              <w:t xml:space="preserve">FE-14.7, FE-X.1</w:t>
            </w:r>
          </w:p>
        </w:tc>
      </w:tr>
      <w:tr>
        <w:tc>
          <w:tcPr>
            <w:tcW w:type="dxa" w:w="1300"/>
            <w:tcMar>
              <w:top w:type="dxa" w:w="80"/>
              <w:left w:type="dxa" w:w="100"/>
              <w:bottom w:type="dxa" w:w="80"/>
              <w:right w:type="dxa" w:w="100"/>
            </w:tcMar>
            <w:vAlign w:val="center"/>
          </w:tcPr>
          <w:p>
            <w:r>
              <w:rPr>
                <w:b w:val="false"/>
                <w:bCs w:val="false"/>
                <w:sz w:val="20"/>
                <w:szCs w:val="20"/>
              </w:rPr>
              <w:t xml:space="preserve">FR-14.14</w:t>
            </w:r>
          </w:p>
        </w:tc>
        <w:tc>
          <w:tcPr>
            <w:tcW w:type="dxa" w:w="5300"/>
            <w:tcMar>
              <w:top w:type="dxa" w:w="80"/>
              <w:left w:type="dxa" w:w="100"/>
              <w:bottom w:type="dxa" w:w="80"/>
              <w:right w:type="dxa" w:w="100"/>
            </w:tcMar>
            <w:vAlign w:val="center"/>
          </w:tcPr>
          <w:p>
            <w:r>
              <w:rPr>
                <w:b w:val="false"/>
                <w:bCs w:val="false"/>
                <w:sz w:val="20"/>
                <w:szCs w:val="20"/>
              </w:rPr>
              <w:t xml:space="preserve">Rate, as-of timestamp, and native amounts all shown</w:t>
            </w:r>
          </w:p>
        </w:tc>
        <w:tc>
          <w:tcPr>
            <w:tcW w:type="dxa" w:w="2760"/>
            <w:tcMar>
              <w:top w:type="dxa" w:w="80"/>
              <w:left w:type="dxa" w:w="100"/>
              <w:bottom w:type="dxa" w:w="80"/>
              <w:right w:type="dxa" w:w="100"/>
            </w:tcMar>
            <w:vAlign w:val="center"/>
          </w:tcPr>
          <w:p>
            <w:r>
              <w:rPr>
                <w:b w:val="false"/>
                <w:bCs w:val="false"/>
                <w:sz w:val="20"/>
                <w:szCs w:val="20"/>
              </w:rPr>
              <w:t xml:space="preserve">FE-14.8, FE-X.2</w:t>
            </w:r>
          </w:p>
        </w:tc>
      </w:tr>
      <w:tr>
        <w:tc>
          <w:tcPr>
            <w:tcW w:type="dxa" w:w="1300"/>
            <w:tcMar>
              <w:top w:type="dxa" w:w="80"/>
              <w:left w:type="dxa" w:w="100"/>
              <w:bottom w:type="dxa" w:w="80"/>
              <w:right w:type="dxa" w:w="100"/>
            </w:tcMar>
            <w:vAlign w:val="center"/>
          </w:tcPr>
          <w:p>
            <w:r>
              <w:rPr>
                <w:b w:val="false"/>
                <w:bCs w:val="false"/>
                <w:sz w:val="20"/>
                <w:szCs w:val="20"/>
              </w:rPr>
              <w:t xml:space="preserve">FR-14.15</w:t>
            </w:r>
          </w:p>
        </w:tc>
        <w:tc>
          <w:tcPr>
            <w:tcW w:type="dxa" w:w="5300"/>
            <w:tcMar>
              <w:top w:type="dxa" w:w="80"/>
              <w:left w:type="dxa" w:w="100"/>
              <w:bottom w:type="dxa" w:w="80"/>
              <w:right w:type="dxa" w:w="100"/>
            </w:tcMar>
            <w:vAlign w:val="center"/>
          </w:tcPr>
          <w:p>
            <w:r>
              <w:rPr>
                <w:b w:val="false"/>
                <w:bCs w:val="false"/>
                <w:sz w:val="20"/>
                <w:szCs w:val="20"/>
              </w:rPr>
              <w:t xml:space="preserve">Converted totals labeled approximate, not transactional</w:t>
            </w:r>
          </w:p>
        </w:tc>
        <w:tc>
          <w:tcPr>
            <w:tcW w:type="dxa" w:w="2760"/>
            <w:tcMar>
              <w:top w:type="dxa" w:w="80"/>
              <w:left w:type="dxa" w:w="100"/>
              <w:bottom w:type="dxa" w:w="80"/>
              <w:right w:type="dxa" w:w="100"/>
            </w:tcMar>
            <w:vAlign w:val="center"/>
          </w:tcPr>
          <w:p>
            <w:r>
              <w:rPr>
                <w:b w:val="false"/>
                <w:bCs w:val="false"/>
                <w:sz w:val="20"/>
                <w:szCs w:val="20"/>
              </w:rPr>
              <w:t xml:space="preserve">FE-14.8, FE-X.5</w:t>
            </w:r>
          </w:p>
        </w:tc>
      </w:tr>
    </w:tbl>
    <w:p>
      <w:pPr>
        <w:spacing w:after="120"/>
      </w:pPr>
    </w:p>
    <w:p>
      <w:pPr>
        <w:pStyle w:val="Heading3"/>
        <w:spacing w:after="100" w:before="200"/>
      </w:pPr>
      <w:r>
        <w:t xml:space="preserve">A.2 Non-Functional &amp; Cross-Reference Requirements with Client Impact</w:t>
      </w:r>
    </w:p>
    <w:p>
      <w:pPr>
        <w:spacing w:after="160"/>
      </w:pPr>
      <w:r>
        <w:t xml:space="preserve">SRS non-functional requirements that impose obligations on the client are traced below. NFRs governing purely server-side concerns (performance envelopes, scalability, backups, deployment) impose no client obligation and are not 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300"/>
        <w:gridCol w:w="2760"/>
      </w:tblGrid>
      <w:tr>
        <w:trPr>
          <w:tblHeader/>
        </w:trPr>
        <w:tc>
          <w:tcPr>
            <w:tcW w:type="dxa" w:w="1300"/>
            <w:shd w:fill="D9D9D9" w:color="auto" w:val="clear"/>
            <w:tcMar>
              <w:top w:type="dxa" w:w="80"/>
              <w:left w:type="dxa" w:w="100"/>
              <w:bottom w:type="dxa" w:w="80"/>
              <w:right w:type="dxa" w:w="100"/>
            </w:tcMar>
            <w:vAlign w:val="center"/>
          </w:tcPr>
          <w:p>
            <w:r>
              <w:rPr>
                <w:b/>
                <w:bCs/>
                <w:sz w:val="20"/>
                <w:szCs w:val="20"/>
              </w:rPr>
              <w:t xml:space="preserve">SRS Req</w:t>
            </w:r>
          </w:p>
        </w:tc>
        <w:tc>
          <w:tcPr>
            <w:tcW w:type="dxa" w:w="5300"/>
            <w:shd w:fill="D9D9D9" w:color="auto" w:val="clear"/>
            <w:tcMar>
              <w:top w:type="dxa" w:w="80"/>
              <w:left w:type="dxa" w:w="100"/>
              <w:bottom w:type="dxa" w:w="80"/>
              <w:right w:type="dxa" w:w="100"/>
            </w:tcMar>
            <w:vAlign w:val="center"/>
          </w:tcPr>
          <w:p>
            <w:r>
              <w:rPr>
                <w:b/>
                <w:bCs/>
                <w:sz w:val="20"/>
                <w:szCs w:val="20"/>
              </w:rPr>
              <w:t xml:space="preserve">Frontend Coverage</w:t>
            </w:r>
          </w:p>
        </w:tc>
        <w:tc>
          <w:tcPr>
            <w:tcW w:type="dxa" w:w="2760"/>
            <w:shd w:fill="D9D9D9" w:color="auto" w:val="clear"/>
            <w:tcMar>
              <w:top w:type="dxa" w:w="80"/>
              <w:left w:type="dxa" w:w="100"/>
              <w:bottom w:type="dxa" w:w="80"/>
              <w:right w:type="dxa" w:w="100"/>
            </w:tcMar>
            <w:vAlign w:val="center"/>
          </w:tcPr>
          <w:p>
            <w:r>
              <w:rPr>
                <w:b/>
                <w:bCs/>
                <w:sz w:val="20"/>
                <w:szCs w:val="20"/>
              </w:rPr>
              <w:t xml:space="preserve">FRS Reference</w:t>
            </w:r>
          </w:p>
        </w:tc>
      </w:tr>
      <w:tr>
        <w:tc>
          <w:tcPr>
            <w:tcW w:type="dxa" w:w="1300"/>
            <w:tcMar>
              <w:top w:type="dxa" w:w="80"/>
              <w:left w:type="dxa" w:w="100"/>
              <w:bottom w:type="dxa" w:w="80"/>
              <w:right w:type="dxa" w:w="100"/>
            </w:tcMar>
            <w:vAlign w:val="center"/>
          </w:tcPr>
          <w:p>
            <w:r>
              <w:rPr>
                <w:b w:val="false"/>
                <w:bCs w:val="false"/>
                <w:sz w:val="20"/>
                <w:szCs w:val="20"/>
              </w:rPr>
              <w:t xml:space="preserve">NFR-1.2</w:t>
            </w:r>
          </w:p>
        </w:tc>
        <w:tc>
          <w:tcPr>
            <w:tcW w:type="dxa" w:w="5300"/>
            <w:tcMar>
              <w:top w:type="dxa" w:w="80"/>
              <w:left w:type="dxa" w:w="100"/>
              <w:bottom w:type="dxa" w:w="80"/>
              <w:right w:type="dxa" w:w="100"/>
            </w:tcMar>
            <w:vAlign w:val="center"/>
          </w:tcPr>
          <w:p>
            <w:r>
              <w:rPr>
                <w:b w:val="false"/>
                <w:bCs w:val="false"/>
                <w:sz w:val="20"/>
                <w:szCs w:val="20"/>
              </w:rPr>
              <w:t xml:space="preserve">Report loading states; client stays interactive</w:t>
            </w:r>
          </w:p>
        </w:tc>
        <w:tc>
          <w:tcPr>
            <w:tcW w:type="dxa" w:w="2760"/>
            <w:tcMar>
              <w:top w:type="dxa" w:w="80"/>
              <w:left w:type="dxa" w:w="100"/>
              <w:bottom w:type="dxa" w:w="80"/>
              <w:right w:type="dxa" w:w="100"/>
            </w:tcMar>
            <w:vAlign w:val="center"/>
          </w:tcPr>
          <w:p>
            <w:r>
              <w:rPr>
                <w:b w:val="false"/>
                <w:bCs w:val="false"/>
                <w:sz w:val="20"/>
                <w:szCs w:val="20"/>
              </w:rPr>
              <w:t xml:space="preserve">FE-9.4, FE-N.15</w:t>
            </w:r>
          </w:p>
        </w:tc>
      </w:tr>
      <w:tr>
        <w:tc>
          <w:tcPr>
            <w:tcW w:type="dxa" w:w="1300"/>
            <w:tcMar>
              <w:top w:type="dxa" w:w="80"/>
              <w:left w:type="dxa" w:w="100"/>
              <w:bottom w:type="dxa" w:w="80"/>
              <w:right w:type="dxa" w:w="100"/>
            </w:tcMar>
            <w:vAlign w:val="center"/>
          </w:tcPr>
          <w:p>
            <w:r>
              <w:rPr>
                <w:b w:val="false"/>
                <w:bCs w:val="false"/>
                <w:sz w:val="20"/>
                <w:szCs w:val="20"/>
              </w:rPr>
              <w:t xml:space="preserve">NFR-3.2</w:t>
            </w:r>
          </w:p>
        </w:tc>
        <w:tc>
          <w:tcPr>
            <w:tcW w:type="dxa" w:w="5300"/>
            <w:tcMar>
              <w:top w:type="dxa" w:w="80"/>
              <w:left w:type="dxa" w:w="100"/>
              <w:bottom w:type="dxa" w:w="80"/>
              <w:right w:type="dxa" w:w="100"/>
            </w:tcMar>
            <w:vAlign w:val="center"/>
          </w:tcPr>
          <w:p>
            <w:r>
              <w:rPr>
                <w:b w:val="false"/>
                <w:bCs w:val="false"/>
                <w:sz w:val="20"/>
                <w:szCs w:val="20"/>
              </w:rPr>
              <w:t xml:space="preserve">In-memory tokens; no web storage persistence</w:t>
            </w:r>
          </w:p>
        </w:tc>
        <w:tc>
          <w:tcPr>
            <w:tcW w:type="dxa" w:w="2760"/>
            <w:tcMar>
              <w:top w:type="dxa" w:w="80"/>
              <w:left w:type="dxa" w:w="100"/>
              <w:bottom w:type="dxa" w:w="80"/>
              <w:right w:type="dxa" w:w="100"/>
            </w:tcMar>
            <w:vAlign w:val="center"/>
          </w:tcPr>
          <w:p>
            <w:r>
              <w:rPr>
                <w:b w:val="false"/>
                <w:bCs w:val="false"/>
                <w:sz w:val="20"/>
                <w:szCs w:val="20"/>
              </w:rPr>
              <w:t xml:space="preserve">FE-2.2, FE-N.1</w:t>
            </w:r>
          </w:p>
        </w:tc>
      </w:tr>
      <w:tr>
        <w:tc>
          <w:tcPr>
            <w:tcW w:type="dxa" w:w="1300"/>
            <w:tcMar>
              <w:top w:type="dxa" w:w="80"/>
              <w:left w:type="dxa" w:w="100"/>
              <w:bottom w:type="dxa" w:w="80"/>
              <w:right w:type="dxa" w:w="100"/>
            </w:tcMar>
            <w:vAlign w:val="center"/>
          </w:tcPr>
          <w:p>
            <w:r>
              <w:rPr>
                <w:b w:val="false"/>
                <w:bCs w:val="false"/>
                <w:sz w:val="20"/>
                <w:szCs w:val="20"/>
              </w:rPr>
              <w:t xml:space="preserve">NFR-3.3</w:t>
            </w:r>
          </w:p>
        </w:tc>
        <w:tc>
          <w:tcPr>
            <w:tcW w:type="dxa" w:w="5300"/>
            <w:tcMar>
              <w:top w:type="dxa" w:w="80"/>
              <w:left w:type="dxa" w:w="100"/>
              <w:bottom w:type="dxa" w:w="80"/>
              <w:right w:type="dxa" w:w="100"/>
            </w:tcMar>
            <w:vAlign w:val="center"/>
          </w:tcPr>
          <w:p>
            <w:r>
              <w:rPr>
                <w:b w:val="false"/>
                <w:bCs w:val="false"/>
                <w:sz w:val="20"/>
                <w:szCs w:val="20"/>
              </w:rPr>
              <w:t xml:space="preserve">Rate-limit feedback with wait time</w:t>
            </w:r>
          </w:p>
        </w:tc>
        <w:tc>
          <w:tcPr>
            <w:tcW w:type="dxa" w:w="2760"/>
            <w:tcMar>
              <w:top w:type="dxa" w:w="80"/>
              <w:left w:type="dxa" w:w="100"/>
              <w:bottom w:type="dxa" w:w="80"/>
              <w:right w:type="dxa" w:w="100"/>
            </w:tcMar>
            <w:vAlign w:val="center"/>
          </w:tcPr>
          <w:p>
            <w:r>
              <w:rPr>
                <w:b w:val="false"/>
                <w:bCs w:val="false"/>
                <w:sz w:val="20"/>
                <w:szCs w:val="20"/>
              </w:rPr>
              <w:t xml:space="preserve">FE-2.7</w:t>
            </w:r>
          </w:p>
        </w:tc>
      </w:tr>
      <w:tr>
        <w:tc>
          <w:tcPr>
            <w:tcW w:type="dxa" w:w="1300"/>
            <w:tcMar>
              <w:top w:type="dxa" w:w="80"/>
              <w:left w:type="dxa" w:w="100"/>
              <w:bottom w:type="dxa" w:w="80"/>
              <w:right w:type="dxa" w:w="100"/>
            </w:tcMar>
            <w:vAlign w:val="center"/>
          </w:tcPr>
          <w:p>
            <w:r>
              <w:rPr>
                <w:b w:val="false"/>
                <w:bCs w:val="false"/>
                <w:sz w:val="20"/>
                <w:szCs w:val="20"/>
              </w:rPr>
              <w:t xml:space="preserve">NFR-4.3</w:t>
            </w:r>
          </w:p>
        </w:tc>
        <w:tc>
          <w:tcPr>
            <w:tcW w:type="dxa" w:w="5300"/>
            <w:tcMar>
              <w:top w:type="dxa" w:w="80"/>
              <w:left w:type="dxa" w:w="100"/>
              <w:bottom w:type="dxa" w:w="80"/>
              <w:right w:type="dxa" w:w="100"/>
            </w:tcMar>
            <w:vAlign w:val="center"/>
          </w:tcPr>
          <w:p>
            <w:r>
              <w:rPr>
                <w:b w:val="false"/>
                <w:bCs w:val="false"/>
                <w:sz w:val="20"/>
                <w:szCs w:val="20"/>
              </w:rPr>
              <w:t xml:space="preserve">Graceful degradation when ancillary services fail</w:t>
            </w:r>
          </w:p>
        </w:tc>
        <w:tc>
          <w:tcPr>
            <w:tcW w:type="dxa" w:w="2760"/>
            <w:tcMar>
              <w:top w:type="dxa" w:w="80"/>
              <w:left w:type="dxa" w:w="100"/>
              <w:bottom w:type="dxa" w:w="80"/>
              <w:right w:type="dxa" w:w="100"/>
            </w:tcMar>
            <w:vAlign w:val="center"/>
          </w:tcPr>
          <w:p>
            <w:r>
              <w:rPr>
                <w:b w:val="false"/>
                <w:bCs w:val="false"/>
                <w:sz w:val="20"/>
                <w:szCs w:val="20"/>
              </w:rPr>
              <w:t xml:space="preserve">FE-X.8</w:t>
            </w:r>
          </w:p>
        </w:tc>
      </w:tr>
      <w:tr>
        <w:tc>
          <w:tcPr>
            <w:tcW w:type="dxa" w:w="1300"/>
            <w:tcMar>
              <w:top w:type="dxa" w:w="80"/>
              <w:left w:type="dxa" w:w="100"/>
              <w:bottom w:type="dxa" w:w="80"/>
              <w:right w:type="dxa" w:w="100"/>
            </w:tcMar>
            <w:vAlign w:val="center"/>
          </w:tcPr>
          <w:p>
            <w:r>
              <w:rPr>
                <w:b w:val="false"/>
                <w:bCs w:val="false"/>
                <w:sz w:val="20"/>
                <w:szCs w:val="20"/>
              </w:rPr>
              <w:t xml:space="preserve">NFR-6.1</w:t>
            </w:r>
          </w:p>
        </w:tc>
        <w:tc>
          <w:tcPr>
            <w:tcW w:type="dxa" w:w="5300"/>
            <w:tcMar>
              <w:top w:type="dxa" w:w="80"/>
              <w:left w:type="dxa" w:w="100"/>
              <w:bottom w:type="dxa" w:w="80"/>
              <w:right w:type="dxa" w:w="100"/>
            </w:tcMar>
            <w:vAlign w:val="center"/>
          </w:tcPr>
          <w:p>
            <w:r>
              <w:rPr>
                <w:b w:val="false"/>
                <w:bCs w:val="false"/>
                <w:sz w:val="20"/>
                <w:szCs w:val="20"/>
              </w:rPr>
              <w:t xml:space="preserve">Client consumes documented API contract</w:t>
            </w:r>
          </w:p>
        </w:tc>
        <w:tc>
          <w:tcPr>
            <w:tcW w:type="dxa" w:w="2760"/>
            <w:tcMar>
              <w:top w:type="dxa" w:w="80"/>
              <w:left w:type="dxa" w:w="100"/>
              <w:bottom w:type="dxa" w:w="80"/>
              <w:right w:type="dxa" w:w="100"/>
            </w:tcMar>
            <w:vAlign w:val="center"/>
          </w:tcPr>
          <w:p>
            <w:r>
              <w:rPr>
                <w:b w:val="false"/>
                <w:bCs w:val="false"/>
                <w:sz w:val="20"/>
                <w:szCs w:val="20"/>
              </w:rPr>
              <w:t xml:space="preserve">Section 2.5</w:t>
            </w:r>
          </w:p>
        </w:tc>
      </w:tr>
      <w:tr>
        <w:tc>
          <w:tcPr>
            <w:tcW w:type="dxa" w:w="1300"/>
            <w:tcMar>
              <w:top w:type="dxa" w:w="80"/>
              <w:left w:type="dxa" w:w="100"/>
              <w:bottom w:type="dxa" w:w="80"/>
              <w:right w:type="dxa" w:w="100"/>
            </w:tcMar>
            <w:vAlign w:val="center"/>
          </w:tcPr>
          <w:p>
            <w:r>
              <w:rPr>
                <w:b w:val="false"/>
                <w:bCs w:val="false"/>
                <w:sz w:val="20"/>
                <w:szCs w:val="20"/>
              </w:rPr>
              <w:t xml:space="preserve">NFR-6.2</w:t>
            </w:r>
          </w:p>
        </w:tc>
        <w:tc>
          <w:tcPr>
            <w:tcW w:type="dxa" w:w="5300"/>
            <w:tcMar>
              <w:top w:type="dxa" w:w="80"/>
              <w:left w:type="dxa" w:w="100"/>
              <w:bottom w:type="dxa" w:w="80"/>
              <w:right w:type="dxa" w:w="100"/>
            </w:tcMar>
            <w:vAlign w:val="center"/>
          </w:tcPr>
          <w:p>
            <w:r>
              <w:rPr>
                <w:b w:val="false"/>
                <w:bCs w:val="false"/>
                <w:sz w:val="20"/>
                <w:szCs w:val="20"/>
              </w:rPr>
              <w:t xml:space="preserve">Consistent error schema mapped to fields</w:t>
            </w:r>
          </w:p>
        </w:tc>
        <w:tc>
          <w:tcPr>
            <w:tcW w:type="dxa" w:w="2760"/>
            <w:tcMar>
              <w:top w:type="dxa" w:w="80"/>
              <w:left w:type="dxa" w:w="100"/>
              <w:bottom w:type="dxa" w:w="80"/>
              <w:right w:type="dxa" w:w="100"/>
            </w:tcMar>
            <w:vAlign w:val="center"/>
          </w:tcPr>
          <w:p>
            <w:r>
              <w:rPr>
                <w:b w:val="false"/>
                <w:bCs w:val="false"/>
                <w:sz w:val="20"/>
                <w:szCs w:val="20"/>
              </w:rPr>
              <w:t xml:space="preserve">FE-X.6, FE-X.7</w:t>
            </w:r>
          </w:p>
        </w:tc>
      </w:tr>
      <w:tr>
        <w:tc>
          <w:tcPr>
            <w:tcW w:type="dxa" w:w="1300"/>
            <w:tcMar>
              <w:top w:type="dxa" w:w="80"/>
              <w:left w:type="dxa" w:w="100"/>
              <w:bottom w:type="dxa" w:w="80"/>
              <w:right w:type="dxa" w:w="100"/>
            </w:tcMar>
            <w:vAlign w:val="center"/>
          </w:tcPr>
          <w:p>
            <w:r>
              <w:rPr>
                <w:b w:val="false"/>
                <w:bCs w:val="false"/>
                <w:sz w:val="20"/>
                <w:szCs w:val="20"/>
              </w:rPr>
              <w:t xml:space="preserve">NFR-7.2</w:t>
            </w:r>
          </w:p>
        </w:tc>
        <w:tc>
          <w:tcPr>
            <w:tcW w:type="dxa" w:w="5300"/>
            <w:tcMar>
              <w:top w:type="dxa" w:w="80"/>
              <w:left w:type="dxa" w:w="100"/>
              <w:bottom w:type="dxa" w:w="80"/>
              <w:right w:type="dxa" w:w="100"/>
            </w:tcMar>
            <w:vAlign w:val="center"/>
          </w:tcPr>
          <w:p>
            <w:r>
              <w:rPr>
                <w:b w:val="false"/>
                <w:bCs w:val="false"/>
                <w:sz w:val="20"/>
                <w:szCs w:val="20"/>
              </w:rPr>
              <w:t xml:space="preserve">No financial values in client logs or analytics</w:t>
            </w:r>
          </w:p>
        </w:tc>
        <w:tc>
          <w:tcPr>
            <w:tcW w:type="dxa" w:w="2760"/>
            <w:tcMar>
              <w:top w:type="dxa" w:w="80"/>
              <w:left w:type="dxa" w:w="100"/>
              <w:bottom w:type="dxa" w:w="80"/>
              <w:right w:type="dxa" w:w="100"/>
            </w:tcMar>
            <w:vAlign w:val="center"/>
          </w:tcPr>
          <w:p>
            <w:r>
              <w:rPr>
                <w:b w:val="false"/>
                <w:bCs w:val="false"/>
                <w:sz w:val="20"/>
                <w:szCs w:val="20"/>
              </w:rPr>
              <w:t xml:space="preserve">FE-N.3</w:t>
            </w:r>
          </w:p>
        </w:tc>
      </w:tr>
      <w:tr>
        <w:tc>
          <w:tcPr>
            <w:tcW w:type="dxa" w:w="1300"/>
            <w:tcMar>
              <w:top w:type="dxa" w:w="80"/>
              <w:left w:type="dxa" w:w="100"/>
              <w:bottom w:type="dxa" w:w="80"/>
              <w:right w:type="dxa" w:w="100"/>
            </w:tcMar>
            <w:vAlign w:val="center"/>
          </w:tcPr>
          <w:p>
            <w:r>
              <w:rPr>
                <w:b w:val="false"/>
                <w:bCs w:val="false"/>
                <w:sz w:val="20"/>
                <w:szCs w:val="20"/>
              </w:rPr>
              <w:t xml:space="preserve">NFR-8.1</w:t>
            </w:r>
          </w:p>
        </w:tc>
        <w:tc>
          <w:tcPr>
            <w:tcW w:type="dxa" w:w="5300"/>
            <w:tcMar>
              <w:top w:type="dxa" w:w="80"/>
              <w:left w:type="dxa" w:w="100"/>
              <w:bottom w:type="dxa" w:w="80"/>
              <w:right w:type="dxa" w:w="100"/>
            </w:tcMar>
            <w:vAlign w:val="center"/>
          </w:tcPr>
          <w:p>
            <w:r>
              <w:rPr>
                <w:b w:val="false"/>
                <w:bCs w:val="false"/>
                <w:sz w:val="20"/>
                <w:szCs w:val="20"/>
              </w:rPr>
              <w:t xml:space="preserve">Recovery window stated in deletion confirmation</w:t>
            </w:r>
          </w:p>
        </w:tc>
        <w:tc>
          <w:tcPr>
            <w:tcW w:type="dxa" w:w="2760"/>
            <w:tcMar>
              <w:top w:type="dxa" w:w="80"/>
              <w:left w:type="dxa" w:w="100"/>
              <w:bottom w:type="dxa" w:w="80"/>
              <w:right w:type="dxa" w:w="100"/>
            </w:tcMar>
            <w:vAlign w:val="center"/>
          </w:tcPr>
          <w:p>
            <w:r>
              <w:rPr>
                <w:b w:val="false"/>
                <w:bCs w:val="false"/>
                <w:sz w:val="20"/>
                <w:szCs w:val="20"/>
              </w:rPr>
              <w:t xml:space="preserve">FE-13.5</w:t>
            </w:r>
          </w:p>
        </w:tc>
      </w:tr>
      <w:tr>
        <w:tc>
          <w:tcPr>
            <w:tcW w:type="dxa" w:w="1300"/>
            <w:tcMar>
              <w:top w:type="dxa" w:w="80"/>
              <w:left w:type="dxa" w:w="100"/>
              <w:bottom w:type="dxa" w:w="80"/>
              <w:right w:type="dxa" w:w="100"/>
            </w:tcMar>
            <w:vAlign w:val="center"/>
          </w:tcPr>
          <w:p>
            <w:r>
              <w:rPr>
                <w:b w:val="false"/>
                <w:bCs w:val="false"/>
                <w:sz w:val="20"/>
                <w:szCs w:val="20"/>
              </w:rPr>
              <w:t xml:space="preserve">NFR-8.4</w:t>
            </w:r>
          </w:p>
        </w:tc>
        <w:tc>
          <w:tcPr>
            <w:tcW w:type="dxa" w:w="5300"/>
            <w:tcMar>
              <w:top w:type="dxa" w:w="80"/>
              <w:left w:type="dxa" w:w="100"/>
              <w:bottom w:type="dxa" w:w="80"/>
              <w:right w:type="dxa" w:w="100"/>
            </w:tcMar>
            <w:vAlign w:val="center"/>
          </w:tcPr>
          <w:p>
            <w:r>
              <w:rPr>
                <w:b w:val="false"/>
                <w:bCs w:val="false"/>
                <w:sz w:val="20"/>
                <w:szCs w:val="20"/>
              </w:rPr>
              <w:t xml:space="preserve">Billing-record retention disclosed at deletion</w:t>
            </w:r>
          </w:p>
        </w:tc>
        <w:tc>
          <w:tcPr>
            <w:tcW w:type="dxa" w:w="2760"/>
            <w:tcMar>
              <w:top w:type="dxa" w:w="80"/>
              <w:left w:type="dxa" w:w="100"/>
              <w:bottom w:type="dxa" w:w="80"/>
              <w:right w:type="dxa" w:w="100"/>
            </w:tcMar>
            <w:vAlign w:val="center"/>
          </w:tcPr>
          <w:p>
            <w:r>
              <w:rPr>
                <w:b w:val="false"/>
                <w:bCs w:val="false"/>
                <w:sz w:val="20"/>
                <w:szCs w:val="20"/>
              </w:rPr>
              <w:t xml:space="preserve">FE-13.5</w:t>
            </w:r>
          </w:p>
        </w:tc>
      </w:tr>
      <w:tr>
        <w:tc>
          <w:tcPr>
            <w:tcW w:type="dxa" w:w="1300"/>
            <w:tcMar>
              <w:top w:type="dxa" w:w="80"/>
              <w:left w:type="dxa" w:w="100"/>
              <w:bottom w:type="dxa" w:w="80"/>
              <w:right w:type="dxa" w:w="100"/>
            </w:tcMar>
            <w:vAlign w:val="center"/>
          </w:tcPr>
          <w:p>
            <w:r>
              <w:rPr>
                <w:b w:val="false"/>
                <w:bCs w:val="false"/>
                <w:sz w:val="20"/>
                <w:szCs w:val="20"/>
              </w:rPr>
              <w:t xml:space="preserve">NFR-9.2</w:t>
            </w:r>
          </w:p>
        </w:tc>
        <w:tc>
          <w:tcPr>
            <w:tcW w:type="dxa" w:w="5300"/>
            <w:tcMar>
              <w:top w:type="dxa" w:w="80"/>
              <w:left w:type="dxa" w:w="100"/>
              <w:bottom w:type="dxa" w:w="80"/>
              <w:right w:type="dxa" w:w="100"/>
            </w:tcMar>
            <w:vAlign w:val="center"/>
          </w:tcPr>
          <w:p>
            <w:r>
              <w:rPr>
                <w:b w:val="false"/>
                <w:bCs w:val="false"/>
                <w:sz w:val="20"/>
                <w:szCs w:val="20"/>
              </w:rPr>
              <w:t xml:space="preserve">Tokens never reach the client in any form</w:t>
            </w:r>
          </w:p>
        </w:tc>
        <w:tc>
          <w:tcPr>
            <w:tcW w:type="dxa" w:w="2760"/>
            <w:tcMar>
              <w:top w:type="dxa" w:w="80"/>
              <w:left w:type="dxa" w:w="100"/>
              <w:bottom w:type="dxa" w:w="80"/>
              <w:right w:type="dxa" w:w="100"/>
            </w:tcMar>
            <w:vAlign w:val="center"/>
          </w:tcPr>
          <w:p>
            <w:r>
              <w:rPr>
                <w:b w:val="false"/>
                <w:bCs w:val="false"/>
                <w:sz w:val="20"/>
                <w:szCs w:val="20"/>
              </w:rPr>
              <w:t xml:space="preserve">FE-N.2, FE-14.10</w:t>
            </w:r>
          </w:p>
        </w:tc>
      </w:tr>
      <w:tr>
        <w:tc>
          <w:tcPr>
            <w:tcW w:type="dxa" w:w="1300"/>
            <w:tcMar>
              <w:top w:type="dxa" w:w="80"/>
              <w:left w:type="dxa" w:w="100"/>
              <w:bottom w:type="dxa" w:w="80"/>
              <w:right w:type="dxa" w:w="100"/>
            </w:tcMar>
            <w:vAlign w:val="center"/>
          </w:tcPr>
          <w:p>
            <w:r>
              <w:rPr>
                <w:b w:val="false"/>
                <w:bCs w:val="false"/>
                <w:sz w:val="20"/>
                <w:szCs w:val="20"/>
              </w:rPr>
              <w:t xml:space="preserve">NFR-9.7</w:t>
            </w:r>
          </w:p>
        </w:tc>
        <w:tc>
          <w:tcPr>
            <w:tcW w:type="dxa" w:w="5300"/>
            <w:tcMar>
              <w:top w:type="dxa" w:w="80"/>
              <w:left w:type="dxa" w:w="100"/>
              <w:bottom w:type="dxa" w:w="80"/>
              <w:right w:type="dxa" w:w="100"/>
            </w:tcMar>
            <w:vAlign w:val="center"/>
          </w:tcPr>
          <w:p>
            <w:r>
              <w:rPr>
                <w:b w:val="false"/>
                <w:bCs w:val="false"/>
                <w:sz w:val="20"/>
                <w:szCs w:val="20"/>
              </w:rPr>
              <w:t xml:space="preserve">No screen resembling a bank login interface</w:t>
            </w:r>
          </w:p>
        </w:tc>
        <w:tc>
          <w:tcPr>
            <w:tcW w:type="dxa" w:w="2760"/>
            <w:tcMar>
              <w:top w:type="dxa" w:w="80"/>
              <w:left w:type="dxa" w:w="100"/>
              <w:bottom w:type="dxa" w:w="80"/>
              <w:right w:type="dxa" w:w="100"/>
            </w:tcMar>
            <w:vAlign w:val="center"/>
          </w:tcPr>
          <w:p>
            <w:r>
              <w:rPr>
                <w:b w:val="false"/>
                <w:bCs w:val="false"/>
                <w:sz w:val="20"/>
                <w:szCs w:val="20"/>
              </w:rPr>
              <w:t xml:space="preserve">FE-14.3</w:t>
            </w:r>
          </w:p>
        </w:tc>
      </w:tr>
      <w:tr>
        <w:tc>
          <w:tcPr>
            <w:tcW w:type="dxa" w:w="1300"/>
            <w:tcMar>
              <w:top w:type="dxa" w:w="80"/>
              <w:left w:type="dxa" w:w="100"/>
              <w:bottom w:type="dxa" w:w="80"/>
              <w:right w:type="dxa" w:w="100"/>
            </w:tcMar>
            <w:vAlign w:val="center"/>
          </w:tcPr>
          <w:p>
            <w:r>
              <w:rPr>
                <w:b w:val="false"/>
                <w:bCs w:val="false"/>
                <w:sz w:val="20"/>
                <w:szCs w:val="20"/>
              </w:rPr>
              <w:t xml:space="preserve">NFR-10.2</w:t>
            </w:r>
          </w:p>
        </w:tc>
        <w:tc>
          <w:tcPr>
            <w:tcW w:type="dxa" w:w="5300"/>
            <w:tcMar>
              <w:top w:type="dxa" w:w="80"/>
              <w:left w:type="dxa" w:w="100"/>
              <w:bottom w:type="dxa" w:w="80"/>
              <w:right w:type="dxa" w:w="100"/>
            </w:tcMar>
            <w:vAlign w:val="center"/>
          </w:tcPr>
          <w:p>
            <w:r>
              <w:rPr>
                <w:b w:val="false"/>
                <w:bCs w:val="false"/>
                <w:sz w:val="20"/>
                <w:szCs w:val="20"/>
              </w:rPr>
              <w:t xml:space="preserve">Rate as-of timestamp displayed</w:t>
            </w:r>
          </w:p>
        </w:tc>
        <w:tc>
          <w:tcPr>
            <w:tcW w:type="dxa" w:w="2760"/>
            <w:tcMar>
              <w:top w:type="dxa" w:w="80"/>
              <w:left w:type="dxa" w:w="100"/>
              <w:bottom w:type="dxa" w:w="80"/>
              <w:right w:type="dxa" w:w="100"/>
            </w:tcMar>
            <w:vAlign w:val="center"/>
          </w:tcPr>
          <w:p>
            <w:r>
              <w:rPr>
                <w:b w:val="false"/>
                <w:bCs w:val="false"/>
                <w:sz w:val="20"/>
                <w:szCs w:val="20"/>
              </w:rPr>
              <w:t xml:space="preserve">FE-14.8</w:t>
            </w:r>
          </w:p>
        </w:tc>
      </w:tr>
      <w:tr>
        <w:tc>
          <w:tcPr>
            <w:tcW w:type="dxa" w:w="1300"/>
            <w:tcMar>
              <w:top w:type="dxa" w:w="80"/>
              <w:left w:type="dxa" w:w="100"/>
              <w:bottom w:type="dxa" w:w="80"/>
              <w:right w:type="dxa" w:w="100"/>
            </w:tcMar>
            <w:vAlign w:val="center"/>
          </w:tcPr>
          <w:p>
            <w:r>
              <w:rPr>
                <w:b w:val="false"/>
                <w:bCs w:val="false"/>
                <w:sz w:val="20"/>
                <w:szCs w:val="20"/>
              </w:rPr>
              <w:t xml:space="preserve">NFR-10.3</w:t>
            </w:r>
          </w:p>
        </w:tc>
        <w:tc>
          <w:tcPr>
            <w:tcW w:type="dxa" w:w="5300"/>
            <w:tcMar>
              <w:top w:type="dxa" w:w="80"/>
              <w:left w:type="dxa" w:w="100"/>
              <w:bottom w:type="dxa" w:w="80"/>
              <w:right w:type="dxa" w:w="100"/>
            </w:tcMar>
            <w:vAlign w:val="center"/>
          </w:tcPr>
          <w:p>
            <w:r>
              <w:rPr>
                <w:b w:val="false"/>
                <w:bCs w:val="false"/>
                <w:sz w:val="20"/>
                <w:szCs w:val="20"/>
              </w:rPr>
              <w:t xml:space="preserve">Converted totals labeled approximate</w:t>
            </w:r>
          </w:p>
        </w:tc>
        <w:tc>
          <w:tcPr>
            <w:tcW w:type="dxa" w:w="2760"/>
            <w:tcMar>
              <w:top w:type="dxa" w:w="80"/>
              <w:left w:type="dxa" w:w="100"/>
              <w:bottom w:type="dxa" w:w="80"/>
              <w:right w:type="dxa" w:w="100"/>
            </w:tcMar>
            <w:vAlign w:val="center"/>
          </w:tcPr>
          <w:p>
            <w:r>
              <w:rPr>
                <w:b w:val="false"/>
                <w:bCs w:val="false"/>
                <w:sz w:val="20"/>
                <w:szCs w:val="20"/>
              </w:rPr>
              <w:t xml:space="preserve">FE-14.8, FE-X.5</w:t>
            </w:r>
          </w:p>
        </w:tc>
      </w:tr>
      <w:tr>
        <w:tc>
          <w:tcPr>
            <w:tcW w:type="dxa" w:w="1300"/>
            <w:tcMar>
              <w:top w:type="dxa" w:w="80"/>
              <w:left w:type="dxa" w:w="100"/>
              <w:bottom w:type="dxa" w:w="80"/>
              <w:right w:type="dxa" w:w="100"/>
            </w:tcMar>
            <w:vAlign w:val="center"/>
          </w:tcPr>
          <w:p>
            <w:r>
              <w:rPr>
                <w:b w:val="false"/>
                <w:bCs w:val="false"/>
                <w:sz w:val="20"/>
                <w:szCs w:val="20"/>
              </w:rPr>
              <w:t xml:space="preserve">NFR-10.4</w:t>
            </w:r>
          </w:p>
        </w:tc>
        <w:tc>
          <w:tcPr>
            <w:tcW w:type="dxa" w:w="5300"/>
            <w:tcMar>
              <w:top w:type="dxa" w:w="80"/>
              <w:left w:type="dxa" w:w="100"/>
              <w:bottom w:type="dxa" w:w="80"/>
              <w:right w:type="dxa" w:w="100"/>
            </w:tcMar>
            <w:vAlign w:val="center"/>
          </w:tcPr>
          <w:p>
            <w:r>
              <w:rPr>
                <w:b w:val="false"/>
                <w:bCs w:val="false"/>
                <w:sz w:val="20"/>
                <w:szCs w:val="20"/>
              </w:rPr>
              <w:t xml:space="preserve">Historical rate date shown; approximations labeled</w:t>
            </w:r>
          </w:p>
        </w:tc>
        <w:tc>
          <w:tcPr>
            <w:tcW w:type="dxa" w:w="2760"/>
            <w:tcMar>
              <w:top w:type="dxa" w:w="80"/>
              <w:left w:type="dxa" w:w="100"/>
              <w:bottom w:type="dxa" w:w="80"/>
              <w:right w:type="dxa" w:w="100"/>
            </w:tcMar>
            <w:vAlign w:val="center"/>
          </w:tcPr>
          <w:p>
            <w:r>
              <w:rPr>
                <w:b w:val="false"/>
                <w:bCs w:val="false"/>
                <w:sz w:val="20"/>
                <w:szCs w:val="20"/>
              </w:rPr>
              <w:t xml:space="preserve">FE-X.4, FE-X.5</w:t>
            </w:r>
          </w:p>
        </w:tc>
      </w:tr>
      <w:tr>
        <w:tc>
          <w:tcPr>
            <w:tcW w:type="dxa" w:w="1300"/>
            <w:tcMar>
              <w:top w:type="dxa" w:w="80"/>
              <w:left w:type="dxa" w:w="100"/>
              <w:bottom w:type="dxa" w:w="80"/>
              <w:right w:type="dxa" w:w="100"/>
            </w:tcMar>
            <w:vAlign w:val="center"/>
          </w:tcPr>
          <w:p>
            <w:r>
              <w:rPr>
                <w:b w:val="false"/>
                <w:bCs w:val="false"/>
                <w:sz w:val="20"/>
                <w:szCs w:val="20"/>
              </w:rPr>
              <w:t xml:space="preserve">Section 4.4</w:t>
            </w:r>
          </w:p>
        </w:tc>
        <w:tc>
          <w:tcPr>
            <w:tcW w:type="dxa" w:w="5300"/>
            <w:tcMar>
              <w:top w:type="dxa" w:w="80"/>
              <w:left w:type="dxa" w:w="100"/>
              <w:bottom w:type="dxa" w:w="80"/>
              <w:right w:type="dxa" w:w="100"/>
            </w:tcMar>
            <w:vAlign w:val="center"/>
          </w:tcPr>
          <w:p>
            <w:r>
              <w:rPr>
                <w:b w:val="false"/>
                <w:bCs w:val="false"/>
                <w:sz w:val="20"/>
                <w:szCs w:val="20"/>
              </w:rPr>
              <w:t xml:space="preserve">HTTPS-only, fail closed</w:t>
            </w:r>
          </w:p>
        </w:tc>
        <w:tc>
          <w:tcPr>
            <w:tcW w:type="dxa" w:w="2760"/>
            <w:tcMar>
              <w:top w:type="dxa" w:w="80"/>
              <w:left w:type="dxa" w:w="100"/>
              <w:bottom w:type="dxa" w:w="80"/>
              <w:right w:type="dxa" w:w="100"/>
            </w:tcMar>
            <w:vAlign w:val="center"/>
          </w:tcPr>
          <w:p>
            <w:r>
              <w:rPr>
                <w:b w:val="false"/>
                <w:bCs w:val="false"/>
                <w:sz w:val="20"/>
                <w:szCs w:val="20"/>
              </w:rPr>
              <w:t xml:space="preserve">FE-N.4</w:t>
            </w:r>
          </w:p>
        </w:tc>
      </w:tr>
      <w:tr>
        <w:tc>
          <w:tcPr>
            <w:tcW w:type="dxa" w:w="1300"/>
            <w:tcMar>
              <w:top w:type="dxa" w:w="80"/>
              <w:left w:type="dxa" w:w="100"/>
              <w:bottom w:type="dxa" w:w="80"/>
              <w:right w:type="dxa" w:w="100"/>
            </w:tcMar>
            <w:vAlign w:val="center"/>
          </w:tcPr>
          <w:p>
            <w:r>
              <w:rPr>
                <w:b w:val="false"/>
                <w:bCs w:val="false"/>
                <w:sz w:val="20"/>
                <w:szCs w:val="20"/>
              </w:rPr>
              <w:t xml:space="preserve">Section 8.2</w:t>
            </w:r>
          </w:p>
        </w:tc>
        <w:tc>
          <w:tcPr>
            <w:tcW w:type="dxa" w:w="5300"/>
            <w:tcMar>
              <w:top w:type="dxa" w:w="80"/>
              <w:left w:type="dxa" w:w="100"/>
              <w:bottom w:type="dxa" w:w="80"/>
              <w:right w:type="dxa" w:w="100"/>
            </w:tcMar>
            <w:vAlign w:val="center"/>
          </w:tcPr>
          <w:p>
            <w:r>
              <w:rPr>
                <w:b w:val="false"/>
                <w:bCs w:val="false"/>
                <w:sz w:val="20"/>
                <w:szCs w:val="20"/>
              </w:rPr>
              <w:t xml:space="preserve">ToS/Privacy acceptance at signup</w:t>
            </w:r>
          </w:p>
        </w:tc>
        <w:tc>
          <w:tcPr>
            <w:tcW w:type="dxa" w:w="2760"/>
            <w:tcMar>
              <w:top w:type="dxa" w:w="80"/>
              <w:left w:type="dxa" w:w="100"/>
              <w:bottom w:type="dxa" w:w="80"/>
              <w:right w:type="dxa" w:w="100"/>
            </w:tcMar>
            <w:vAlign w:val="center"/>
          </w:tcPr>
          <w:p>
            <w:r>
              <w:rPr>
                <w:b w:val="false"/>
                <w:bCs w:val="false"/>
                <w:sz w:val="20"/>
                <w:szCs w:val="20"/>
              </w:rPr>
              <w:t xml:space="preserve">FE-1.3</w:t>
            </w:r>
          </w:p>
        </w:tc>
      </w:tr>
      <w:tr>
        <w:tc>
          <w:tcPr>
            <w:tcW w:type="dxa" w:w="1300"/>
            <w:tcMar>
              <w:top w:type="dxa" w:w="80"/>
              <w:left w:type="dxa" w:w="100"/>
              <w:bottom w:type="dxa" w:w="80"/>
              <w:right w:type="dxa" w:w="100"/>
            </w:tcMar>
            <w:vAlign w:val="center"/>
          </w:tcPr>
          <w:p>
            <w:r>
              <w:rPr>
                <w:b w:val="false"/>
                <w:bCs w:val="false"/>
                <w:sz w:val="20"/>
                <w:szCs w:val="20"/>
              </w:rPr>
              <w:t xml:space="preserve">Section 8.4</w:t>
            </w:r>
          </w:p>
        </w:tc>
        <w:tc>
          <w:tcPr>
            <w:tcW w:type="dxa" w:w="5300"/>
            <w:tcMar>
              <w:top w:type="dxa" w:w="80"/>
              <w:left w:type="dxa" w:w="100"/>
              <w:bottom w:type="dxa" w:w="80"/>
              <w:right w:type="dxa" w:w="100"/>
            </w:tcMar>
            <w:vAlign w:val="center"/>
          </w:tcPr>
          <w:p>
            <w:r>
              <w:rPr>
                <w:b w:val="false"/>
                <w:bCs w:val="false"/>
                <w:sz w:val="20"/>
                <w:szCs w:val="20"/>
              </w:rPr>
              <w:t xml:space="preserve">Separate, unbundled bank-linking consent</w:t>
            </w:r>
          </w:p>
        </w:tc>
        <w:tc>
          <w:tcPr>
            <w:tcW w:type="dxa" w:w="2760"/>
            <w:tcMar>
              <w:top w:type="dxa" w:w="80"/>
              <w:left w:type="dxa" w:w="100"/>
              <w:bottom w:type="dxa" w:w="80"/>
              <w:right w:type="dxa" w:w="100"/>
            </w:tcMar>
            <w:vAlign w:val="center"/>
          </w:tcPr>
          <w:p>
            <w:r>
              <w:rPr>
                <w:b w:val="false"/>
                <w:bCs w:val="false"/>
                <w:sz w:val="20"/>
                <w:szCs w:val="20"/>
              </w:rPr>
              <w:t xml:space="preserve">FE-14.4, FE-14.6</w:t>
            </w:r>
          </w:p>
        </w:tc>
      </w:tr>
    </w:tbl>
    <w:p>
      <w:pPr>
        <w:spacing w:after="120"/>
      </w:pPr>
    </w:p>
    <w:p>
      <w:pPr>
        <w:pStyle w:val="Heading3"/>
        <w:spacing w:after="100" w:before="200"/>
      </w:pPr>
      <w:r>
        <w:t xml:space="preserve">A.3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D9D9D9" w:color="auto" w:val="clear"/>
            <w:tcMar>
              <w:top w:type="dxa" w:w="80"/>
              <w:left w:type="dxa" w:w="100"/>
              <w:bottom w:type="dxa" w:w="80"/>
              <w:right w:type="dxa" w:w="100"/>
            </w:tcMar>
            <w:vAlign w:val="center"/>
          </w:tcPr>
          <w:p>
            <w:r>
              <w:rPr>
                <w:b/>
                <w:bCs/>
                <w:sz w:val="20"/>
                <w:szCs w:val="20"/>
              </w:rPr>
              <w:t xml:space="preserve">Metric</w:t>
            </w:r>
          </w:p>
        </w:tc>
        <w:tc>
          <w:tcPr>
            <w:tcW w:type="dxa" w:w="4360"/>
            <w:shd w:fill="D9D9D9" w:color="auto" w:val="clear"/>
            <w:tcMar>
              <w:top w:type="dxa" w:w="80"/>
              <w:left w:type="dxa" w:w="100"/>
              <w:bottom w:type="dxa" w:w="80"/>
              <w:right w:type="dxa" w:w="100"/>
            </w:tcMar>
            <w:vAlign w:val="center"/>
          </w:tcPr>
          <w:p>
            <w:r>
              <w:rPr>
                <w:b/>
                <w:bCs/>
                <w:sz w:val="20"/>
                <w:szCs w:val="20"/>
              </w:rPr>
              <w:t xml:space="preserve">Count</w:t>
            </w:r>
          </w:p>
        </w:tc>
      </w:tr>
      <w:tr>
        <w:tc>
          <w:tcPr>
            <w:tcW w:type="dxa" w:w="5000"/>
            <w:tcMar>
              <w:top w:type="dxa" w:w="80"/>
              <w:left w:type="dxa" w:w="100"/>
              <w:bottom w:type="dxa" w:w="80"/>
              <w:right w:type="dxa" w:w="100"/>
            </w:tcMar>
            <w:vAlign w:val="center"/>
          </w:tcPr>
          <w:p>
            <w:r>
              <w:rPr>
                <w:b w:val="false"/>
                <w:bCs w:val="false"/>
                <w:sz w:val="20"/>
                <w:szCs w:val="20"/>
              </w:rPr>
              <w:t xml:space="preserve">SRS functional requirements (FR)</w:t>
            </w:r>
          </w:p>
        </w:tc>
        <w:tc>
          <w:tcPr>
            <w:tcW w:type="dxa" w:w="4360"/>
            <w:tcMar>
              <w:top w:type="dxa" w:w="80"/>
              <w:left w:type="dxa" w:w="100"/>
              <w:bottom w:type="dxa" w:w="80"/>
              <w:right w:type="dxa" w:w="100"/>
            </w:tcMar>
            <w:vAlign w:val="center"/>
          </w:tcPr>
          <w:p>
            <w:r>
              <w:rPr>
                <w:b w:val="false"/>
                <w:bCs w:val="false"/>
                <w:sz w:val="20"/>
                <w:szCs w:val="20"/>
              </w:rPr>
              <w:t xml:space="preserve">68</w:t>
            </w:r>
          </w:p>
        </w:tc>
      </w:tr>
      <w:tr>
        <w:tc>
          <w:tcPr>
            <w:tcW w:type="dxa" w:w="5000"/>
            <w:tcMar>
              <w:top w:type="dxa" w:w="80"/>
              <w:left w:type="dxa" w:w="100"/>
              <w:bottom w:type="dxa" w:w="80"/>
              <w:right w:type="dxa" w:w="100"/>
            </w:tcMar>
            <w:vAlign w:val="center"/>
          </w:tcPr>
          <w:p>
            <w:r>
              <w:rPr>
                <w:b w:val="false"/>
                <w:bCs w:val="false"/>
                <w:sz w:val="20"/>
                <w:szCs w:val="20"/>
              </w:rPr>
              <w:t xml:space="preserve">Traced to a frontend requirement</w:t>
            </w:r>
          </w:p>
        </w:tc>
        <w:tc>
          <w:tcPr>
            <w:tcW w:type="dxa" w:w="4360"/>
            <w:tcMar>
              <w:top w:type="dxa" w:w="80"/>
              <w:left w:type="dxa" w:w="100"/>
              <w:bottom w:type="dxa" w:w="80"/>
              <w:right w:type="dxa" w:w="100"/>
            </w:tcMar>
            <w:vAlign w:val="center"/>
          </w:tcPr>
          <w:p>
            <w:r>
              <w:rPr>
                <w:b w:val="false"/>
                <w:bCs w:val="false"/>
                <w:sz w:val="20"/>
                <w:szCs w:val="20"/>
              </w:rPr>
              <w:t xml:space="preserve">65</w:t>
            </w:r>
          </w:p>
        </w:tc>
      </w:tr>
      <w:tr>
        <w:tc>
          <w:tcPr>
            <w:tcW w:type="dxa" w:w="5000"/>
            <w:tcMar>
              <w:top w:type="dxa" w:w="80"/>
              <w:left w:type="dxa" w:w="100"/>
              <w:bottom w:type="dxa" w:w="80"/>
              <w:right w:type="dxa" w:w="100"/>
            </w:tcMar>
            <w:vAlign w:val="center"/>
          </w:tcPr>
          <w:p>
            <w:r>
              <w:rPr>
                <w:b w:val="false"/>
                <w:bCs w:val="false"/>
                <w:sz w:val="20"/>
                <w:szCs w:val="20"/>
              </w:rPr>
              <w:t xml:space="preserve">Explicitly marked as requiring no interface</w:t>
            </w:r>
          </w:p>
        </w:tc>
        <w:tc>
          <w:tcPr>
            <w:tcW w:type="dxa" w:w="4360"/>
            <w:tcMar>
              <w:top w:type="dxa" w:w="80"/>
              <w:left w:type="dxa" w:w="100"/>
              <w:bottom w:type="dxa" w:w="80"/>
              <w:right w:type="dxa" w:w="100"/>
            </w:tcMar>
            <w:vAlign w:val="center"/>
          </w:tcPr>
          <w:p>
            <w:r>
              <w:rPr>
                <w:b w:val="false"/>
                <w:bCs w:val="false"/>
                <w:sz w:val="20"/>
                <w:szCs w:val="20"/>
              </w:rPr>
              <w:t xml:space="preserve">3 (FR-1.2, FR-1.4, FR-10.2)</w:t>
            </w:r>
          </w:p>
        </w:tc>
      </w:tr>
      <w:tr>
        <w:tc>
          <w:tcPr>
            <w:tcW w:type="dxa" w:w="5000"/>
            <w:tcMar>
              <w:top w:type="dxa" w:w="80"/>
              <w:left w:type="dxa" w:w="100"/>
              <w:bottom w:type="dxa" w:w="80"/>
              <w:right w:type="dxa" w:w="100"/>
            </w:tcMar>
            <w:vAlign w:val="center"/>
          </w:tcPr>
          <w:p>
            <w:r>
              <w:rPr>
                <w:b w:val="false"/>
                <w:bCs w:val="false"/>
                <w:sz w:val="20"/>
                <w:szCs w:val="20"/>
              </w:rPr>
              <w:t xml:space="preserve">Untraced / unaccounted</w:t>
            </w:r>
          </w:p>
        </w:tc>
        <w:tc>
          <w:tcPr>
            <w:tcW w:type="dxa" w:w="4360"/>
            <w:tcMar>
              <w:top w:type="dxa" w:w="80"/>
              <w:left w:type="dxa" w:w="100"/>
              <w:bottom w:type="dxa" w:w="80"/>
              <w:right w:type="dxa" w:w="100"/>
            </w:tcMar>
            <w:vAlign w:val="center"/>
          </w:tcPr>
          <w:p>
            <w:r>
              <w:rPr>
                <w:b w:val="false"/>
                <w:bCs w:val="false"/>
                <w:sz w:val="20"/>
                <w:szCs w:val="20"/>
              </w:rPr>
              <w:t xml:space="preserve">0</w:t>
            </w:r>
          </w:p>
        </w:tc>
      </w:tr>
      <w:tr>
        <w:tc>
          <w:tcPr>
            <w:tcW w:type="dxa" w:w="5000"/>
            <w:tcMar>
              <w:top w:type="dxa" w:w="80"/>
              <w:left w:type="dxa" w:w="100"/>
              <w:bottom w:type="dxa" w:w="80"/>
              <w:right w:type="dxa" w:w="100"/>
            </w:tcMar>
            <w:vAlign w:val="center"/>
          </w:tcPr>
          <w:p>
            <w:r>
              <w:rPr>
                <w:b w:val="false"/>
                <w:bCs w:val="false"/>
                <w:sz w:val="20"/>
                <w:szCs w:val="20"/>
              </w:rPr>
              <w:t xml:space="preserve">SRS non-functional requirements with client impact</w:t>
            </w:r>
          </w:p>
        </w:tc>
        <w:tc>
          <w:tcPr>
            <w:tcW w:type="dxa" w:w="4360"/>
            <w:tcMar>
              <w:top w:type="dxa" w:w="80"/>
              <w:left w:type="dxa" w:w="100"/>
              <w:bottom w:type="dxa" w:w="80"/>
              <w:right w:type="dxa" w:w="100"/>
            </w:tcMar>
            <w:vAlign w:val="center"/>
          </w:tcPr>
          <w:p>
            <w:r>
              <w:rPr>
                <w:b w:val="false"/>
                <w:bCs w:val="false"/>
                <w:sz w:val="20"/>
                <w:szCs w:val="20"/>
              </w:rPr>
              <w:t xml:space="preserve">17, all traced</w:t>
            </w:r>
          </w:p>
        </w:tc>
      </w:tr>
    </w:tbl>
    <w:p>
      <w:pPr>
        <w:spacing w:after="120"/>
      </w:pPr>
    </w:p>
    <w:p>
      <w:pPr>
        <w:pStyle w:val="Heading2"/>
        <w:spacing w:after="120" w:before="300"/>
      </w:pPr>
      <w:r>
        <w:t xml:space="preserve">Appendix B —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D9D9D9" w:color="auto" w:val="clear"/>
            <w:tcMar>
              <w:top w:type="dxa" w:w="80"/>
              <w:left w:type="dxa" w:w="100"/>
              <w:bottom w:type="dxa" w:w="80"/>
              <w:right w:type="dxa" w:w="100"/>
            </w:tcMar>
            <w:vAlign w:val="center"/>
          </w:tcPr>
          <w:p>
            <w:r>
              <w:rPr>
                <w:b/>
                <w:bCs/>
                <w:sz w:val="20"/>
                <w:szCs w:val="20"/>
              </w:rPr>
              <w:t xml:space="preserve">Group</w:t>
            </w:r>
          </w:p>
        </w:tc>
        <w:tc>
          <w:tcPr>
            <w:tcW w:type="dxa" w:w="7360"/>
            <w:shd w:fill="D9D9D9" w:color="auto" w:val="clear"/>
            <w:tcMar>
              <w:top w:type="dxa" w:w="80"/>
              <w:left w:type="dxa" w:w="100"/>
              <w:bottom w:type="dxa" w:w="80"/>
              <w:right w:type="dxa" w:w="100"/>
            </w:tcMar>
            <w:vAlign w:val="center"/>
          </w:tcPr>
          <w:p>
            <w:r>
              <w:rPr>
                <w:b/>
                <w:bCs/>
                <w:sz w:val="20"/>
                <w:szCs w:val="20"/>
              </w:rPr>
              <w:t xml:space="preserve">Screens</w:t>
            </w:r>
          </w:p>
        </w:tc>
      </w:tr>
      <w:tr>
        <w:tc>
          <w:tcPr>
            <w:tcW w:type="dxa" w:w="2000"/>
            <w:tcMar>
              <w:top w:type="dxa" w:w="80"/>
              <w:left w:type="dxa" w:w="100"/>
              <w:bottom w:type="dxa" w:w="80"/>
              <w:right w:type="dxa" w:w="100"/>
            </w:tcMar>
            <w:vAlign w:val="center"/>
          </w:tcPr>
          <w:p>
            <w:r>
              <w:rPr>
                <w:b w:val="false"/>
                <w:bCs w:val="false"/>
                <w:sz w:val="20"/>
                <w:szCs w:val="20"/>
              </w:rPr>
              <w:t xml:space="preserve">Public</w:t>
            </w:r>
          </w:p>
        </w:tc>
        <w:tc>
          <w:tcPr>
            <w:tcW w:type="dxa" w:w="7360"/>
            <w:tcMar>
              <w:top w:type="dxa" w:w="80"/>
              <w:left w:type="dxa" w:w="100"/>
              <w:bottom w:type="dxa" w:w="80"/>
              <w:right w:type="dxa" w:w="100"/>
            </w:tcMar>
            <w:vAlign w:val="center"/>
          </w:tcPr>
          <w:p>
            <w:r>
              <w:rPr>
                <w:b w:val="false"/>
                <w:bCs w:val="false"/>
                <w:sz w:val="20"/>
                <w:szCs w:val="20"/>
              </w:rPr>
              <w:t xml:space="preserve">Signup, Login, Email verification, Forgot password, Reset password</w:t>
            </w:r>
          </w:p>
        </w:tc>
      </w:tr>
      <w:tr>
        <w:tc>
          <w:tcPr>
            <w:tcW w:type="dxa" w:w="2000"/>
            <w:tcMar>
              <w:top w:type="dxa" w:w="80"/>
              <w:left w:type="dxa" w:w="100"/>
              <w:bottom w:type="dxa" w:w="80"/>
              <w:right w:type="dxa" w:w="100"/>
            </w:tcMar>
            <w:vAlign w:val="center"/>
          </w:tcPr>
          <w:p>
            <w:r>
              <w:rPr>
                <w:b w:val="false"/>
                <w:bCs w:val="false"/>
                <w:sz w:val="20"/>
                <w:szCs w:val="20"/>
              </w:rPr>
              <w:t xml:space="preserve">Onboarding</w:t>
            </w:r>
          </w:p>
        </w:tc>
        <w:tc>
          <w:tcPr>
            <w:tcW w:type="dxa" w:w="7360"/>
            <w:tcMar>
              <w:top w:type="dxa" w:w="80"/>
              <w:left w:type="dxa" w:w="100"/>
              <w:bottom w:type="dxa" w:w="80"/>
              <w:right w:type="dxa" w:w="100"/>
            </w:tcMar>
            <w:vAlign w:val="center"/>
          </w:tcPr>
          <w:p>
            <w:r>
              <w:rPr>
                <w:b w:val="false"/>
                <w:bCs w:val="false"/>
                <w:sz w:val="20"/>
                <w:szCs w:val="20"/>
              </w:rPr>
              <w:t xml:space="preserve">Display currency selection, starter categories review</w:t>
            </w:r>
          </w:p>
        </w:tc>
      </w:tr>
      <w:tr>
        <w:tc>
          <w:tcPr>
            <w:tcW w:type="dxa" w:w="2000"/>
            <w:tcMar>
              <w:top w:type="dxa" w:w="80"/>
              <w:left w:type="dxa" w:w="100"/>
              <w:bottom w:type="dxa" w:w="80"/>
              <w:right w:type="dxa" w:w="100"/>
            </w:tcMar>
            <w:vAlign w:val="center"/>
          </w:tcPr>
          <w:p>
            <w:r>
              <w:rPr>
                <w:b w:val="false"/>
                <w:bCs w:val="false"/>
                <w:sz w:val="20"/>
                <w:szCs w:val="20"/>
              </w:rPr>
              <w:t xml:space="preserve">Core</w:t>
            </w:r>
          </w:p>
        </w:tc>
        <w:tc>
          <w:tcPr>
            <w:tcW w:type="dxa" w:w="7360"/>
            <w:tcMar>
              <w:top w:type="dxa" w:w="80"/>
              <w:left w:type="dxa" w:w="100"/>
              <w:bottom w:type="dxa" w:w="80"/>
              <w:right w:type="dxa" w:w="100"/>
            </w:tcMar>
            <w:vAlign w:val="center"/>
          </w:tcPr>
          <w:p>
            <w:r>
              <w:rPr>
                <w:b w:val="false"/>
                <w:bCs w:val="false"/>
                <w:sz w:val="20"/>
                <w:szCs w:val="20"/>
              </w:rPr>
              <w:t xml:space="preserve">Dashboard, Accounts (list/detail/edit), Categories, Transactions (list/entry/import), Recurring bills, Savings goals</w:t>
            </w:r>
          </w:p>
        </w:tc>
      </w:tr>
      <w:tr>
        <w:tc>
          <w:tcPr>
            <w:tcW w:type="dxa" w:w="2000"/>
            <w:tcMar>
              <w:top w:type="dxa" w:w="80"/>
              <w:left w:type="dxa" w:w="100"/>
              <w:bottom w:type="dxa" w:w="80"/>
              <w:right w:type="dxa" w:w="100"/>
            </w:tcMar>
            <w:vAlign w:val="center"/>
          </w:tcPr>
          <w:p>
            <w:r>
              <w:rPr>
                <w:b w:val="false"/>
                <w:bCs w:val="false"/>
                <w:sz w:val="20"/>
                <w:szCs w:val="20"/>
              </w:rPr>
              <w:t xml:space="preserve">Reports</w:t>
            </w:r>
          </w:p>
        </w:tc>
        <w:tc>
          <w:tcPr>
            <w:tcW w:type="dxa" w:w="7360"/>
            <w:tcMar>
              <w:top w:type="dxa" w:w="80"/>
              <w:left w:type="dxa" w:w="100"/>
              <w:bottom w:type="dxa" w:w="80"/>
              <w:right w:type="dxa" w:w="100"/>
            </w:tcMar>
            <w:vAlign w:val="center"/>
          </w:tcPr>
          <w:p>
            <w:r>
              <w:rPr>
                <w:b w:val="false"/>
                <w:bCs w:val="false"/>
                <w:sz w:val="20"/>
                <w:szCs w:val="20"/>
              </w:rPr>
              <w:t xml:space="preserve">Spending by category, Income vs. expense, Net worth</w:t>
            </w:r>
          </w:p>
        </w:tc>
      </w:tr>
      <w:tr>
        <w:tc>
          <w:tcPr>
            <w:tcW w:type="dxa" w:w="2000"/>
            <w:tcMar>
              <w:top w:type="dxa" w:w="80"/>
              <w:left w:type="dxa" w:w="100"/>
              <w:bottom w:type="dxa" w:w="80"/>
              <w:right w:type="dxa" w:w="100"/>
            </w:tcMar>
            <w:vAlign w:val="center"/>
          </w:tcPr>
          <w:p>
            <w:r>
              <w:rPr>
                <w:b w:val="false"/>
                <w:bCs w:val="false"/>
                <w:sz w:val="20"/>
                <w:szCs w:val="20"/>
              </w:rPr>
              <w:t xml:space="preserve">Banking</w:t>
            </w:r>
          </w:p>
        </w:tc>
        <w:tc>
          <w:tcPr>
            <w:tcW w:type="dxa" w:w="7360"/>
            <w:tcMar>
              <w:top w:type="dxa" w:w="80"/>
              <w:left w:type="dxa" w:w="100"/>
              <w:bottom w:type="dxa" w:w="80"/>
              <w:right w:type="dxa" w:w="100"/>
            </w:tcMar>
            <w:vAlign w:val="center"/>
          </w:tcPr>
          <w:p>
            <w:r>
              <w:rPr>
                <w:b w:val="false"/>
                <w:bCs w:val="false"/>
                <w:sz w:val="20"/>
                <w:szCs w:val="20"/>
              </w:rPr>
              <w:t xml:space="preserve">Linked accounts, Gross Balance, Institution selection, Consent, Re-authorization, Unlink confirmation</w:t>
            </w:r>
          </w:p>
        </w:tc>
      </w:tr>
      <w:tr>
        <w:tc>
          <w:tcPr>
            <w:tcW w:type="dxa" w:w="2000"/>
            <w:tcMar>
              <w:top w:type="dxa" w:w="80"/>
              <w:left w:type="dxa" w:w="100"/>
              <w:bottom w:type="dxa" w:w="80"/>
              <w:right w:type="dxa" w:w="100"/>
            </w:tcMar>
            <w:vAlign w:val="center"/>
          </w:tcPr>
          <w:p>
            <w:r>
              <w:rPr>
                <w:b w:val="false"/>
                <w:bCs w:val="false"/>
                <w:sz w:val="20"/>
                <w:szCs w:val="20"/>
              </w:rPr>
              <w:t xml:space="preserve">Subscription</w:t>
            </w:r>
          </w:p>
        </w:tc>
        <w:tc>
          <w:tcPr>
            <w:tcW w:type="dxa" w:w="7360"/>
            <w:tcMar>
              <w:top w:type="dxa" w:w="80"/>
              <w:left w:type="dxa" w:w="100"/>
              <w:bottom w:type="dxa" w:w="80"/>
              <w:right w:type="dxa" w:w="100"/>
            </w:tcMar>
            <w:vAlign w:val="center"/>
          </w:tcPr>
          <w:p>
            <w:r>
              <w:rPr>
                <w:b w:val="false"/>
                <w:bCs w:val="false"/>
                <w:sz w:val="20"/>
                <w:szCs w:val="20"/>
              </w:rPr>
              <w:t xml:space="preserve">Paywall, Checkout, Status &amp; billing history, Cancellation</w:t>
            </w:r>
          </w:p>
        </w:tc>
      </w:tr>
      <w:tr>
        <w:tc>
          <w:tcPr>
            <w:tcW w:type="dxa" w:w="2000"/>
            <w:tcMar>
              <w:top w:type="dxa" w:w="80"/>
              <w:left w:type="dxa" w:w="100"/>
              <w:bottom w:type="dxa" w:w="80"/>
              <w:right w:type="dxa" w:w="100"/>
            </w:tcMar>
            <w:vAlign w:val="center"/>
          </w:tcPr>
          <w:p>
            <w:r>
              <w:rPr>
                <w:b w:val="false"/>
                <w:bCs w:val="false"/>
                <w:sz w:val="20"/>
                <w:szCs w:val="20"/>
              </w:rPr>
              <w:t xml:space="preserve">Settings</w:t>
            </w:r>
          </w:p>
        </w:tc>
        <w:tc>
          <w:tcPr>
            <w:tcW w:type="dxa" w:w="7360"/>
            <w:tcMar>
              <w:top w:type="dxa" w:w="80"/>
              <w:left w:type="dxa" w:w="100"/>
              <w:bottom w:type="dxa" w:w="80"/>
              <w:right w:type="dxa" w:w="100"/>
            </w:tcMar>
            <w:vAlign w:val="center"/>
          </w:tcPr>
          <w:p>
            <w:r>
              <w:rPr>
                <w:b w:val="false"/>
                <w:bCs w:val="false"/>
                <w:sz w:val="20"/>
                <w:szCs w:val="20"/>
              </w:rPr>
              <w:t xml:space="preserve">Profile, Notifications, Security, Data export &amp; deletion</w:t>
            </w:r>
          </w:p>
        </w:tc>
      </w:tr>
      <w:tr>
        <w:tc>
          <w:tcPr>
            <w:tcW w:type="dxa" w:w="2000"/>
            <w:tcMar>
              <w:top w:type="dxa" w:w="80"/>
              <w:left w:type="dxa" w:w="100"/>
              <w:bottom w:type="dxa" w:w="80"/>
              <w:right w:type="dxa" w:w="100"/>
            </w:tcMar>
            <w:vAlign w:val="center"/>
          </w:tcPr>
          <w:p>
            <w:r>
              <w:rPr>
                <w:b w:val="false"/>
                <w:bCs w:val="false"/>
                <w:sz w:val="20"/>
                <w:szCs w:val="20"/>
              </w:rPr>
              <w:t xml:space="preserve">Admin (separate)</w:t>
            </w:r>
          </w:p>
        </w:tc>
        <w:tc>
          <w:tcPr>
            <w:tcW w:type="dxa" w:w="7360"/>
            <w:tcMar>
              <w:top w:type="dxa" w:w="80"/>
              <w:left w:type="dxa" w:w="100"/>
              <w:bottom w:type="dxa" w:w="80"/>
              <w:right w:type="dxa" w:w="100"/>
            </w:tcMar>
            <w:vAlign w:val="center"/>
          </w:tcPr>
          <w:p>
            <w:r>
              <w:rPr>
                <w:b w:val="false"/>
                <w:bCs w:val="false"/>
                <w:sz w:val="20"/>
                <w:szCs w:val="20"/>
              </w:rPr>
              <w:t xml:space="preserve">Tenant lookup, Access reason capture, Health dashboard</w:t>
            </w:r>
          </w:p>
        </w:tc>
      </w:tr>
      <w:tr>
        <w:tc>
          <w:tcPr>
            <w:tcW w:type="dxa" w:w="2000"/>
            <w:tcMar>
              <w:top w:type="dxa" w:w="80"/>
              <w:left w:type="dxa" w:w="100"/>
              <w:bottom w:type="dxa" w:w="80"/>
              <w:right w:type="dxa" w:w="100"/>
            </w:tcMar>
            <w:vAlign w:val="center"/>
          </w:tcPr>
          <w:p>
            <w:r>
              <w:rPr>
                <w:b w:val="false"/>
                <w:bCs w:val="false"/>
                <w:sz w:val="20"/>
                <w:szCs w:val="20"/>
              </w:rPr>
              <w:t xml:space="preserve">System</w:t>
            </w:r>
          </w:p>
        </w:tc>
        <w:tc>
          <w:tcPr>
            <w:tcW w:type="dxa" w:w="7360"/>
            <w:tcMar>
              <w:top w:type="dxa" w:w="80"/>
              <w:left w:type="dxa" w:w="100"/>
              <w:bottom w:type="dxa" w:w="80"/>
              <w:right w:type="dxa" w:w="100"/>
            </w:tcMar>
            <w:vAlign w:val="center"/>
          </w:tcPr>
          <w:p>
            <w:r>
              <w:rPr>
                <w:b w:val="false"/>
                <w:bCs w:val="false"/>
                <w:sz w:val="20"/>
                <w:szCs w:val="20"/>
              </w:rPr>
              <w:t xml:space="preserve">Loading, Empty, Error, Offline, Not found</w:t>
            </w:r>
          </w:p>
        </w:tc>
      </w:tr>
    </w:tbl>
    <w:p>
      <w:pPr>
        <w:spacing w:after="120"/>
      </w:pPr>
    </w:p>
    <w:p>
      <w:pPr>
        <w:pStyle w:val="Heading2"/>
        <w:spacing w:after="120" w:before="300"/>
      </w:pPr>
      <w:r>
        <w:t xml:space="preserve">Appendix C — Open Items</w:t>
      </w:r>
    </w:p>
    <w:p>
      <w:pPr>
        <w:pStyle w:val="ListParagraph"/>
        <w:numPr>
          <w:ilvl w:val="0"/>
          <w:numId w:val="1"/>
        </w:numPr>
        <w:spacing w:after="60"/>
      </w:pPr>
      <w:r>
        <w:t xml:space="preserve">Visual design system and component library selection — deliberately out of scope here, to be decided separately</w:t>
      </w:r>
    </w:p>
    <w:p>
      <w:pPr>
        <w:pStyle w:val="ListParagraph"/>
        <w:numPr>
          <w:ilvl w:val="0"/>
          <w:numId w:val="1"/>
        </w:numPr>
        <w:spacing w:after="60"/>
      </w:pPr>
      <w:r>
        <w:t xml:space="preserve">Native mobile applications — responsive web is specified; native clients would require their own token-handling and secure-storage requirements</w:t>
      </w:r>
    </w:p>
    <w:p>
      <w:pPr>
        <w:pStyle w:val="ListParagraph"/>
        <w:numPr>
          <w:ilvl w:val="0"/>
          <w:numId w:val="1"/>
        </w:numPr>
        <w:spacing w:after="60"/>
      </w:pPr>
      <w:r>
        <w:t xml:space="preserve">Onboarding depth — whether first-run setup is a guided flow or progressive disclosure is a product decision not fixed by this document</w:t>
      </w:r>
    </w:p>
    <w:p>
      <w:pPr>
        <w:pStyle w:val="ListParagraph"/>
        <w:numPr>
          <w:ilvl w:val="0"/>
          <w:numId w:val="1"/>
        </w:numPr>
        <w:spacing w:after="60"/>
      </w:pPr>
      <w:r>
        <w:t xml:space="preserve">Trial length and refund policy messaging — dependent on the pricing decisions still open in SRS FR-12.5 and FR-12.8</w:t>
      </w:r>
    </w:p>
    <w:p>
      <w:pPr>
        <w:pStyle w:val="Heading2"/>
        <w:spacing w:after="120" w:before="300"/>
      </w:pPr>
      <w:r>
        <w:t xml:space="preserve">Appendix D —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shd w:fill="D9D9D9" w:color="auto" w:val="clear"/>
            <w:tcMar>
              <w:top w:type="dxa" w:w="80"/>
              <w:left w:type="dxa" w:w="100"/>
              <w:bottom w:type="dxa" w:w="80"/>
              <w:right w:type="dxa" w:w="100"/>
            </w:tcMar>
            <w:vAlign w:val="center"/>
          </w:tcPr>
          <w:p>
            <w:r>
              <w:rPr>
                <w:b/>
                <w:bCs/>
                <w:sz w:val="20"/>
                <w:szCs w:val="20"/>
              </w:rPr>
              <w:t xml:space="preserve">Version</w:t>
            </w:r>
          </w:p>
        </w:tc>
        <w:tc>
          <w:tcPr>
            <w:tcW w:type="dxa" w:w="1600"/>
            <w:shd w:fill="D9D9D9" w:color="auto" w:val="clear"/>
            <w:tcMar>
              <w:top w:type="dxa" w:w="80"/>
              <w:left w:type="dxa" w:w="100"/>
              <w:bottom w:type="dxa" w:w="80"/>
              <w:right w:type="dxa" w:w="100"/>
            </w:tcMar>
            <w:vAlign w:val="center"/>
          </w:tcPr>
          <w:p>
            <w:r>
              <w:rPr>
                <w:b/>
                <w:bCs/>
                <w:sz w:val="20"/>
                <w:szCs w:val="20"/>
              </w:rPr>
              <w:t xml:space="preserve">Date</w:t>
            </w:r>
          </w:p>
        </w:tc>
        <w:tc>
          <w:tcPr>
            <w:tcW w:type="dxa" w:w="6360"/>
            <w:shd w:fill="D9D9D9" w:color="auto" w:val="clear"/>
            <w:tcMar>
              <w:top w:type="dxa" w:w="80"/>
              <w:left w:type="dxa" w:w="100"/>
              <w:bottom w:type="dxa" w:w="80"/>
              <w:right w:type="dxa" w:w="100"/>
            </w:tcMar>
            <w:vAlign w:val="center"/>
          </w:tcPr>
          <w:p>
            <w:r>
              <w:rPr>
                <w:b/>
                <w:bCs/>
                <w:sz w:val="20"/>
                <w:szCs w:val="20"/>
              </w:rPr>
              <w:t xml:space="preserve">Change</w:t>
            </w:r>
          </w:p>
        </w:tc>
      </w:tr>
      <w:tr>
        <w:tc>
          <w:tcPr>
            <w:tcW w:type="dxa" w:w="1400"/>
            <w:tcMar>
              <w:top w:type="dxa" w:w="80"/>
              <w:left w:type="dxa" w:w="100"/>
              <w:bottom w:type="dxa" w:w="80"/>
              <w:right w:type="dxa" w:w="100"/>
            </w:tcMar>
            <w:vAlign w:val="center"/>
          </w:tcPr>
          <w:p>
            <w:r>
              <w:rPr>
                <w:b w:val="false"/>
                <w:bCs w:val="false"/>
                <w:sz w:val="20"/>
                <w:szCs w:val="20"/>
              </w:rPr>
              <w:t xml:space="preserve">1.0</w:t>
            </w:r>
          </w:p>
        </w:tc>
        <w:tc>
          <w:tcPr>
            <w:tcW w:type="dxa" w:w="1600"/>
            <w:tcMar>
              <w:top w:type="dxa" w:w="80"/>
              <w:left w:type="dxa" w:w="100"/>
              <w:bottom w:type="dxa" w:w="80"/>
              <w:right w:type="dxa" w:w="100"/>
            </w:tcMar>
            <w:vAlign w:val="center"/>
          </w:tcPr>
          <w:p>
            <w:r>
              <w:rPr>
                <w:b w:val="false"/>
                <w:bCs w:val="false"/>
                <w:sz w:val="20"/>
                <w:szCs w:val="20"/>
              </w:rPr>
              <w:t xml:space="preserve">2026-08-08</w:t>
            </w:r>
          </w:p>
        </w:tc>
        <w:tc>
          <w:tcPr>
            <w:tcW w:type="dxa" w:w="6360"/>
            <w:tcMar>
              <w:top w:type="dxa" w:w="80"/>
              <w:left w:type="dxa" w:w="100"/>
              <w:bottom w:type="dxa" w:w="80"/>
              <w:right w:type="dxa" w:w="100"/>
            </w:tcMar>
            <w:vAlign w:val="center"/>
          </w:tcPr>
          <w:p>
            <w:r>
              <w:rPr>
                <w:b w:val="false"/>
                <w:bCs w:val="false"/>
                <w:sz w:val="20"/>
                <w:szCs w:val="20"/>
              </w:rPr>
              <w:t xml:space="preserve">Initial frontend requirements specification, providing complete interface coverage for SRS v3.5 with full traceability matrix (Appendix 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FRS — Finance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1F3864"/>
      <w:sz w:val="32"/>
      <w:szCs w:val="32"/>
    </w:rPr>
  </w:style>
  <w:style w:type="paragraph" w:styleId="Heading2">
    <w:name w:val="Heading 2"/>
    <w:basedOn w:val="Normal"/>
    <w:next w:val="Normal"/>
    <w:qFormat/>
    <w:pPr>
      <w:spacing w:after="120" w:before="240"/>
    </w:pPr>
    <w:rPr>
      <w:b/>
      <w:bCs/>
      <w:color w:val="2E5395"/>
      <w:sz w:val="26"/>
      <w:szCs w:val="26"/>
    </w:rPr>
  </w:style>
  <w:style w:type="paragraph" w:styleId="Heading3">
    <w:name w:val="Heading 3"/>
    <w:basedOn w:val="Normal"/>
    <w:next w:val="Normal"/>
    <w:qFormat/>
    <w:pPr>
      <w:spacing w:after="100" w:before="18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Requirements Specification — Finance Management Platform</dc:title>
  <dc:creator>Finance Management Platform — Product / Frontend Engineering</dc:creator>
  <cp:lastModifiedBy>Un-named</cp:lastModifiedBy>
  <cp:revision>1</cp:revision>
  <dcterms:created xsi:type="dcterms:W3CDTF">2026-08-13T08:06:45.818Z</dcterms:created>
  <dcterms:modified xsi:type="dcterms:W3CDTF">2026-08-13T08:06:45.834Z</dcterms:modified>
</cp:coreProperties>
</file>

<file path=docProps/custom.xml><?xml version="1.0" encoding="utf-8"?>
<Properties xmlns="http://schemas.openxmlformats.org/officeDocument/2006/custom-properties" xmlns:vt="http://schemas.openxmlformats.org/officeDocument/2006/docPropsVTypes"/>
</file>