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320"/>
        <w:jc w:val="center"/>
      </w:pPr>
      <w:r>
        <w:rPr>
          <w:rFonts w:ascii="Calibri" w:hAnsi="Calibri" w:eastAsia="Calibri"/>
          <w:b/>
          <w:color w:val="A66A00"/>
          <w:sz w:val="26"/>
        </w:rPr>
        <w:t>KENADDME IT LINKS</w:t>
      </w:r>
    </w:p>
    <w:p>
      <w:pPr>
        <w:spacing w:after="160"/>
        <w:jc w:val="center"/>
      </w:pPr>
      <w:r>
        <w:rPr>
          <w:rFonts w:ascii="Calibri" w:hAnsi="Calibri" w:eastAsia="Calibri"/>
          <w:b/>
          <w:color w:val="0B2545"/>
          <w:sz w:val="60"/>
        </w:rPr>
        <w:t>Software Development</w:t>
        <w:br/>
        <w:t>and Engineering Framework</w:t>
      </w:r>
    </w:p>
    <w:p>
      <w:pPr>
        <w:spacing w:after="600"/>
        <w:jc w:val="center"/>
      </w:pPr>
      <w:r>
        <w:rPr>
          <w:rFonts w:ascii="Calibri" w:hAnsi="Calibri" w:eastAsia="Calibri"/>
          <w:i/>
          <w:color w:val="1F4D78"/>
          <w:sz w:val="30"/>
        </w:rPr>
        <w:t>Institutional Policy, Lifecycle Standard and Operating Manual</w:t>
      </w:r>
    </w:p>
    <w:p>
      <w:pPr>
        <w:spacing w:before="1320" w:after="100"/>
        <w:jc w:val="center"/>
      </w:pPr>
      <w:r>
        <w:rPr>
          <w:rFonts w:ascii="Calibri" w:hAnsi="Calibri" w:eastAsia="Calibri"/>
          <w:b/>
          <w:color w:val="0B2545"/>
          <w:sz w:val="24"/>
        </w:rPr>
        <w:t>Version 1.2</w:t>
      </w:r>
    </w:p>
    <w:p>
      <w:pPr>
        <w:spacing w:after="100"/>
        <w:jc w:val="center"/>
      </w:pPr>
      <w:r>
        <w:rPr>
          <w:rFonts w:ascii="Calibri" w:hAnsi="Calibri" w:eastAsia="Calibri"/>
          <w:b/>
          <w:color w:val="2E6B4F"/>
          <w:sz w:val="22"/>
        </w:rPr>
        <w:t>Approved for Use</w:t>
      </w:r>
    </w:p>
    <w:p>
      <w:pPr>
        <w:spacing w:after="80"/>
        <w:jc w:val="center"/>
      </w:pPr>
      <w:r>
        <w:rPr>
          <w:rFonts w:ascii="Calibri" w:hAnsi="Calibri" w:eastAsia="Calibri"/>
          <w:color w:val="5B6573"/>
          <w:sz w:val="21"/>
        </w:rPr>
        <w:t>Approval date: 2 September 2026</w:t>
      </w:r>
    </w:p>
    <w:p>
      <w:pPr>
        <w:spacing w:after="80"/>
        <w:jc w:val="center"/>
      </w:pPr>
      <w:r>
        <w:rPr>
          <w:rFonts w:ascii="Calibri" w:hAnsi="Calibri" w:eastAsia="Calibri"/>
          <w:color w:val="5B6573"/>
          <w:sz w:val="21"/>
        </w:rPr>
        <w:t>Effective date: 31 October 2026</w:t>
      </w:r>
    </w:p>
    <w:p>
      <w:pPr>
        <w:spacing w:after="80"/>
        <w:jc w:val="center"/>
      </w:pPr>
      <w:r>
        <w:rPr>
          <w:rFonts w:ascii="Calibri" w:hAnsi="Calibri" w:eastAsia="Calibri"/>
          <w:color w:val="5B6573"/>
          <w:sz w:val="21"/>
        </w:rPr>
        <w:t>Document owner and custodian: Freston Kenny Adedeme</w:t>
      </w:r>
    </w:p>
    <w:p>
      <w:pPr>
        <w:jc w:val="center"/>
      </w:pPr>
      <w:r>
        <w:rPr>
          <w:rFonts w:ascii="Calibri" w:hAnsi="Calibri" w:eastAsia="Calibri"/>
          <w:color w:val="5B6573"/>
          <w:sz w:val="21"/>
        </w:rPr>
        <w:t>Classification: Internal</w:t>
      </w:r>
    </w:p>
    <w:p>
      <w:r>
        <w:br w:type="page"/>
      </w:r>
    </w:p>
    <w:p>
      <w:pPr>
        <w:pStyle w:val="Heading1"/>
      </w:pPr>
      <w:r>
        <w:t>Document control</w:t>
      </w:r>
    </w:p>
    <w:tbl>
      <w:tblPr>
        <w:tblLook w:firstColumn="1" w:firstRow="1" w:lastColumn="0" w:lastRow="0" w:noHBand="0" w:noVBand="1" w:val="04A0"/>
        <w:tblStyle w:val="TableGrid"/>
        <w:jc w:val="left"/>
        <w:tblW w:w="9360" w:type="dxa"/>
        <w:tblInd w:w="120" w:type="dxa"/>
        <w:tblLayout w:type="fixed"/>
      </w:tblPr>
      <w:tblGrid>
        <w:gridCol w:w="2400"/>
        <w:gridCol w:w="6960"/>
      </w:tblGrid>
      <w:tr>
        <w:trPr>
          <w:cantSplit/>
          <w:tblHeader w:val="true"/>
        </w:trPr>
        <w:tc>
          <w:tcPr>
            <w:tcW w:type="dxa" w:w="24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Field</w:t>
            </w:r>
          </w:p>
        </w:tc>
        <w:tc>
          <w:tcPr>
            <w:tcW w:type="dxa" w:w="69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Controlled value</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Document title</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KenAddme IT Links Software Development and Engineering Framework</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Document owner and custodian</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Freston Kenny Adedeme</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Version</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1.2</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Status</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Approved for Use</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Approval date</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2 September 2026</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Effective date</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31 October 2026</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Transition period</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2 September to 30 October 2026; full compliance is mandatory from the effective date of 31 October 2026. Neither the ownership amendment nor the Version 1.2 corrections reset the original implementation period</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Review cycle</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At least annually and after a major legal, security, technology or organisational change</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Applies to</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Employees, contractors, interns, consultants, project partners and approved suppliers involved in software work</w:t>
            </w:r>
          </w:p>
        </w:tc>
      </w:tr>
      <w:tr>
        <w:trPr>
          <w:cantSplit/>
        </w:trPr>
        <w:tc>
          <w:tcPr>
            <w:tcW w:type="dxa" w:w="2400"/>
            <w:tcMar>
              <w:top w:w="80" w:type="dxa"/>
              <w:start w:w="120" w:type="dxa"/>
              <w:bottom w:w="80" w:type="dxa"/>
              <w:end w:w="120" w:type="dxa"/>
            </w:tcMar>
            <w:vAlign w:val="top"/>
          </w:tcPr>
          <w:p>
            <w:pPr>
              <w:spacing w:after="0" w:line="259" w:lineRule="auto"/>
            </w:pPr>
            <w:r>
              <w:rPr>
                <w:rFonts w:ascii="Calibri" w:hAnsi="Calibri" w:eastAsia="Calibri"/>
                <w:b/>
                <w:color w:val="20252B"/>
                <w:sz w:val="18"/>
              </w:rPr>
              <w:t>Classification</w:t>
            </w:r>
          </w:p>
        </w:tc>
        <w:tc>
          <w:tcPr>
            <w:tcW w:type="dxa" w:w="69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Internal; controlled copies may be shared with clients or partners when authorised</w:t>
            </w:r>
          </w:p>
        </w:tc>
      </w:tr>
    </w:tbl>
    <w:p>
      <w:pPr>
        <w:spacing w:after="20"/>
      </w:pPr>
    </w:p>
    <w:p>
      <w:pPr>
        <w:pStyle w:val="Heading2"/>
      </w:pPr>
      <w:r>
        <w:t>Approval record</w:t>
      </w:r>
    </w:p>
    <w:p>
      <w:r>
        <w:rPr>
          <w:rFonts w:ascii="Calibri" w:hAnsi="Calibri" w:eastAsia="Calibri"/>
          <w:i w:val="0"/>
        </w:rPr>
        <w:t>This framework was approved by authorised management after closure of the independent pre-approval review findings. The approval is recorded electronically as a controlled institutional decision.</w:t>
      </w:r>
    </w:p>
    <w:tbl>
      <w:tblPr>
        <w:tblLook w:firstColumn="1" w:firstRow="1" w:lastColumn="0" w:lastRow="0" w:noHBand="0" w:noVBand="1" w:val="04A0"/>
        <w:tblStyle w:val="TableGrid"/>
        <w:jc w:val="left"/>
        <w:tblW w:w="9360" w:type="dxa"/>
        <w:tblInd w:w="120" w:type="dxa"/>
        <w:tblLayout w:type="fixed"/>
      </w:tblPr>
      <w:tblGrid>
        <w:gridCol w:w="1900"/>
        <w:gridCol w:w="3000"/>
        <w:gridCol w:w="2360"/>
        <w:gridCol w:w="2100"/>
      </w:tblGrid>
      <w:tr>
        <w:trPr>
          <w:cantSplit/>
          <w:tblHeader w:val="true"/>
        </w:trPr>
        <w:tc>
          <w:tcPr>
            <w:tcW w:type="dxa" w:w="19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Role</w:t>
            </w:r>
          </w:p>
        </w:tc>
        <w:tc>
          <w:tcPr>
            <w:tcW w:type="dxa" w:w="30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Name</w:t>
            </w:r>
          </w:p>
        </w:tc>
        <w:tc>
          <w:tcPr>
            <w:tcW w:type="dxa" w:w="23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Signature</w:t>
            </w:r>
          </w:p>
        </w:tc>
        <w:tc>
          <w:tcPr>
            <w:tcW w:type="dxa" w:w="21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Date</w:t>
            </w:r>
          </w:p>
        </w:tc>
      </w:tr>
      <w:tr>
        <w:trPr>
          <w:cantSplit/>
        </w:trPr>
        <w:tc>
          <w:tcPr>
            <w:tcW w:type="dxa" w:w="19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Prepared by</w:t>
            </w:r>
          </w:p>
        </w:tc>
        <w:tc>
          <w:tcPr>
            <w:tcW w:type="dxa" w:w="30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Software Engineering and Technology Leadership</w:t>
            </w:r>
          </w:p>
        </w:tc>
        <w:tc>
          <w:tcPr>
            <w:tcW w:type="dxa" w:w="2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Controlled document</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1 September 2026</w:t>
            </w:r>
          </w:p>
        </w:tc>
      </w:tr>
      <w:tr>
        <w:trPr>
          <w:cantSplit/>
        </w:trPr>
        <w:tc>
          <w:tcPr>
            <w:tcW w:type="dxa" w:w="19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Technical review</w:t>
            </w:r>
          </w:p>
        </w:tc>
        <w:tc>
          <w:tcPr>
            <w:tcW w:type="dxa" w:w="30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Independent editorial and technical review</w:t>
            </w:r>
          </w:p>
        </w:tc>
        <w:tc>
          <w:tcPr>
            <w:tcW w:type="dxa" w:w="2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Findings accepted and closed</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1 September 2026</w:t>
            </w:r>
          </w:p>
        </w:tc>
      </w:tr>
      <w:tr>
        <w:trPr>
          <w:cantSplit/>
        </w:trPr>
        <w:tc>
          <w:tcPr>
            <w:tcW w:type="dxa" w:w="19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Security/privacy review</w:t>
            </w:r>
          </w:p>
        </w:tc>
        <w:tc>
          <w:tcPr>
            <w:tcW w:type="dxa" w:w="30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Software Engineering and Technology Leadership</w:t>
            </w:r>
          </w:p>
        </w:tc>
        <w:tc>
          <w:tcPr>
            <w:tcW w:type="dxa" w:w="2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Controls confirmed</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1 September 2026</w:t>
            </w:r>
          </w:p>
        </w:tc>
      </w:tr>
      <w:tr>
        <w:trPr>
          <w:cantSplit/>
        </w:trPr>
        <w:tc>
          <w:tcPr>
            <w:tcW w:type="dxa" w:w="19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Approved by</w:t>
            </w:r>
          </w:p>
        </w:tc>
        <w:tc>
          <w:tcPr>
            <w:tcW w:type="dxa" w:w="30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KenAddme IT Links Management</w:t>
            </w:r>
          </w:p>
        </w:tc>
        <w:tc>
          <w:tcPr>
            <w:tcW w:type="dxa" w:w="2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Approved electronically for institutional use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2 September 2026</w:t>
            </w:r>
          </w:p>
        </w:tc>
      </w:tr>
    </w:tbl>
    <w:p>
      <w:pPr>
        <w:spacing w:after="20"/>
      </w:pPr>
    </w:p>
    <w:p>
      <w:pPr>
        <w:pStyle w:val="Heading2"/>
      </w:pPr>
      <w:r>
        <w:t>Revision history</w:t>
      </w:r>
    </w:p>
    <w:tbl>
      <w:tblPr>
        <w:tblLook w:firstColumn="1" w:firstRow="1" w:lastColumn="0" w:lastRow="0" w:noHBand="0" w:noVBand="1" w:val="04A0"/>
        <w:tblStyle w:val="TableGrid"/>
        <w:jc w:val="left"/>
        <w:tblW w:w="9360" w:type="dxa"/>
        <w:tblInd w:w="120" w:type="dxa"/>
        <w:tblLayout w:type="fixed"/>
      </w:tblPr>
      <w:tblGrid>
        <w:gridCol w:w="1250"/>
        <w:gridCol w:w="1750"/>
        <w:gridCol w:w="4260"/>
        <w:gridCol w:w="2100"/>
      </w:tblGrid>
      <w:tr>
        <w:trPr>
          <w:cantSplit/>
          <w:tblHeader w:val="true"/>
        </w:trPr>
        <w:tc>
          <w:tcPr>
            <w:tcW w:type="dxa" w:w="12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Version</w:t>
            </w:r>
          </w:p>
        </w:tc>
        <w:tc>
          <w:tcPr>
            <w:tcW w:type="dxa" w:w="17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Date</w:t>
            </w:r>
          </w:p>
        </w:tc>
        <w:tc>
          <w:tcPr>
            <w:tcW w:type="dxa" w:w="42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Change</w:t>
            </w:r>
          </w:p>
        </w:tc>
        <w:tc>
          <w:tcPr>
            <w:tcW w:type="dxa" w:w="21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Owner</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0.9</w:t>
            </w:r>
          </w:p>
        </w:tc>
        <w:tc>
          <w:tcPr>
            <w:tcW w:type="dxa" w:w="175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1 September 2026</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Draft submitted for independent editorial and technical review</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Software Engineering and Technology Leadership</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1.0</w:t>
            </w:r>
          </w:p>
        </w:tc>
        <w:tc>
          <w:tcPr>
            <w:tcW w:type="dxa" w:w="175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2 September 2026</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All eight pre-approval findings closed; framework approved for institutional use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KenAddme IT Links Management</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1.1</w:t>
            </w:r>
          </w:p>
        </w:tc>
        <w:tc>
          <w:tcPr>
            <w:tcW w:type="dxa" w:w="175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2 September 2026</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Document ownership and custodianship assigned to Freston Kenny Adedeme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Freston Kenny Adedeme</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 xml:space="preserve">1.2</w:t>
            </w:r>
          </w:p>
        </w:tc>
        <w:tc>
          <w:tcPr>
            <w:tcW w:type="dxa" w:w="175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 xml:space="preserve">2 September 2026</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 xml:space="preserve">Closure verification corrections applied (N2, N4, N5, N6): cross-references to the Project Management Framework and its Appendix I added, release authority defined in the role table, emergency-change procedure extended to project-raised changes, and approval date, transition window and versioning convention corrected.</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 xml:space="preserve">Freston Kenny Adedeme</w:t>
            </w:r>
          </w:p>
        </w:tc>
      </w:tr>
    </w:tbl>
    <w:p>
      <w:pPr>
        <w:spacing w:after="20"/>
      </w:pP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FF8E8"/>
            <w:tcBorders>
              <w:top w:val="single" w:sz="4" w:space="0" w:color="B7C2CF"/>
              <w:start w:val="single" w:sz="18" w:space="0" w:color="A66A00"/>
              <w:bottom w:val="single" w:sz="4" w:space="0" w:color="B7C2CF"/>
              <w:end w:val="single" w:sz="4" w:space="0" w:color="B7C2CF"/>
            </w:tcBorders>
          </w:tcPr>
          <w:p>
            <w:pPr>
              <w:spacing w:after="0" w:line="276" w:lineRule="auto"/>
            </w:pPr>
            <w:r>
              <w:rPr>
                <w:rFonts w:ascii="Calibri" w:hAnsi="Calibri" w:eastAsia="Calibri"/>
                <w:b/>
                <w:color w:val="A66A00"/>
                <w:sz w:val="20"/>
              </w:rPr>
              <w:t xml:space="preserve">Controlled-document notice: </w:t>
            </w:r>
            <w:r>
              <w:rPr>
                <w:rFonts w:ascii="Calibri" w:hAnsi="Calibri" w:eastAsia="Calibri"/>
                <w:color w:val="20252B"/>
                <w:sz w:val="20"/>
              </w:rPr>
              <w:t>The approved electronic copy is the authoritative version. Printed or exported copies are uncontrolled unless their version and approval status are verified before use.</w:t>
            </w:r>
          </w:p>
        </w:tc>
      </w:tr>
    </w:tbl>
    <w:p>
      <w:pPr>
        <w:spacing w:after="20"/>
      </w:pP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EAF4EF"/>
            <w:tcBorders>
              <w:top w:val="single" w:sz="4" w:space="0" w:color="B7C2CF"/>
              <w:start w:val="single" w:sz="18" w:space="0" w:color="2E6B4F"/>
              <w:bottom w:val="single" w:sz="4" w:space="0" w:color="B7C2CF"/>
              <w:end w:val="single" w:sz="4" w:space="0" w:color="B7C2CF"/>
            </w:tcBorders>
          </w:tcPr>
          <w:p>
            <w:pPr>
              <w:spacing w:after="0" w:line="276" w:lineRule="auto"/>
            </w:pPr>
            <w:r>
              <w:rPr>
                <w:rFonts w:ascii="Calibri" w:hAnsi="Calibri" w:eastAsia="Calibri"/>
                <w:b/>
                <w:color w:val="2E6B4F"/>
                <w:sz w:val="20"/>
              </w:rPr>
              <w:t xml:space="preserve">Approval basis: </w:t>
            </w:r>
            <w:r>
              <w:rPr>
                <w:rFonts w:ascii="Calibri" w:hAnsi="Calibri" w:eastAsia="Calibri"/>
                <w:color w:val="20252B"/>
                <w:sz w:val="20"/>
              </w:rPr>
              <w:t>The independent review dated 1 September 2026 recommended approval subject to correction. Findings 1-8 have all been incorporated in this controlled edition; none is deferred to a later release. A closure verification dated 2 September 2026 confirmed all eight closures and raised seven consequential items (N1-N7) across both institutional frameworks; those affecting this framework are incorporated in Version 1.2.</w:t>
            </w:r>
          </w:p>
        </w:tc>
      </w:tr>
    </w:tbl>
    <w:p>
      <w:pPr>
        <w:spacing w:after="20"/>
      </w:pPr>
    </w:p>
    <w:p>
      <w:pPr>
        <w:pStyle w:val="Heading1"/>
      </w:pPr>
      <w:r>
        <w:t>Contents</w:t>
      </w:r>
    </w:p>
    <w:p>
      <w:pPr>
        <w:pStyle w:val="SmallNote"/>
      </w:pPr>
      <w:r>
        <w:rPr>
          <w:rFonts w:ascii="Calibri" w:hAnsi="Calibri" w:eastAsia="Calibri"/>
          <w:i w:val="0"/>
        </w:rPr>
        <w:t>The electronic document uses Word Heading styles, so readers can also navigate with the Navigation Pane.</w:t>
      </w:r>
    </w:p>
    <w:p>
      <w:pPr>
        <w:spacing w:before="0" w:after="80" w:line="300" w:lineRule="auto"/>
        <w:numPr>
          <w:ilvl w:val="0"/>
          <w:numId w:val="11"/>
        </w:numPr>
      </w:pPr>
      <w:r>
        <w:rPr>
          <w:rFonts w:ascii="Calibri" w:hAnsi="Calibri" w:eastAsia="Calibri"/>
        </w:rPr>
        <w:t>Executive summary</w:t>
      </w:r>
    </w:p>
    <w:p>
      <w:pPr>
        <w:spacing w:before="0" w:after="80" w:line="300" w:lineRule="auto"/>
        <w:numPr>
          <w:ilvl w:val="0"/>
          <w:numId w:val="11"/>
        </w:numPr>
      </w:pPr>
      <w:r>
        <w:rPr>
          <w:rFonts w:ascii="Calibri" w:hAnsi="Calibri" w:eastAsia="Calibri"/>
        </w:rPr>
        <w:t>Institutional purpose, scope and objectives</w:t>
      </w:r>
    </w:p>
    <w:p>
      <w:pPr>
        <w:spacing w:before="0" w:after="80" w:line="300" w:lineRule="auto"/>
        <w:numPr>
          <w:ilvl w:val="0"/>
          <w:numId w:val="11"/>
        </w:numPr>
      </w:pPr>
      <w:r>
        <w:rPr>
          <w:rFonts w:ascii="Calibri" w:hAnsi="Calibri" w:eastAsia="Calibri"/>
        </w:rPr>
        <w:t>Engineering principles and mandatory language</w:t>
      </w:r>
    </w:p>
    <w:p>
      <w:pPr>
        <w:spacing w:before="0" w:after="80" w:line="300" w:lineRule="auto"/>
        <w:numPr>
          <w:ilvl w:val="0"/>
          <w:numId w:val="11"/>
        </w:numPr>
      </w:pPr>
      <w:r>
        <w:rPr>
          <w:rFonts w:ascii="Calibri" w:hAnsi="Calibri" w:eastAsia="Calibri"/>
        </w:rPr>
        <w:t>Governance, project classification and accountability</w:t>
      </w:r>
    </w:p>
    <w:p>
      <w:pPr>
        <w:spacing w:before="0" w:after="80" w:line="300" w:lineRule="auto"/>
        <w:numPr>
          <w:ilvl w:val="0"/>
          <w:numId w:val="11"/>
        </w:numPr>
      </w:pPr>
      <w:r>
        <w:rPr>
          <w:rFonts w:ascii="Calibri" w:hAnsi="Calibri" w:eastAsia="Calibri"/>
        </w:rPr>
        <w:t>Lifecycle model and approval gates</w:t>
      </w:r>
    </w:p>
    <w:p>
      <w:pPr>
        <w:spacing w:before="0" w:after="80" w:line="300" w:lineRule="auto"/>
        <w:numPr>
          <w:ilvl w:val="0"/>
          <w:numId w:val="11"/>
        </w:numPr>
      </w:pPr>
      <w:r>
        <w:rPr>
          <w:rFonts w:ascii="Calibri" w:hAnsi="Calibri" w:eastAsia="Calibri"/>
        </w:rPr>
        <w:t>Stage: Initiation and feasibility</w:t>
      </w:r>
    </w:p>
    <w:p>
      <w:pPr>
        <w:spacing w:before="0" w:after="80" w:line="300" w:lineRule="auto"/>
        <w:numPr>
          <w:ilvl w:val="0"/>
          <w:numId w:val="11"/>
        </w:numPr>
      </w:pPr>
      <w:r>
        <w:rPr>
          <w:rFonts w:ascii="Calibri" w:hAnsi="Calibri" w:eastAsia="Calibri"/>
        </w:rPr>
        <w:t>Stage: Discovery and requirements engineering</w:t>
      </w:r>
    </w:p>
    <w:p>
      <w:pPr>
        <w:spacing w:before="0" w:after="80" w:line="300" w:lineRule="auto"/>
        <w:numPr>
          <w:ilvl w:val="0"/>
          <w:numId w:val="11"/>
        </w:numPr>
      </w:pPr>
      <w:r>
        <w:rPr>
          <w:rFonts w:ascii="Calibri" w:hAnsi="Calibri" w:eastAsia="Calibri"/>
        </w:rPr>
        <w:t>Stage: Planning, architecture and detailed design</w:t>
      </w:r>
    </w:p>
    <w:p>
      <w:pPr>
        <w:spacing w:before="0" w:after="80" w:line="300" w:lineRule="auto"/>
        <w:numPr>
          <w:ilvl w:val="0"/>
          <w:numId w:val="11"/>
        </w:numPr>
      </w:pPr>
      <w:r>
        <w:rPr>
          <w:rFonts w:ascii="Calibri" w:hAnsi="Calibri" w:eastAsia="Calibri"/>
        </w:rPr>
        <w:t>Stage: Implementation and integration</w:t>
      </w:r>
    </w:p>
    <w:p>
      <w:pPr>
        <w:spacing w:before="0" w:after="80" w:line="300" w:lineRule="auto"/>
        <w:numPr>
          <w:ilvl w:val="0"/>
          <w:numId w:val="11"/>
        </w:numPr>
      </w:pPr>
      <w:r>
        <w:rPr>
          <w:rFonts w:ascii="Calibri" w:hAnsi="Calibri" w:eastAsia="Calibri"/>
        </w:rPr>
        <w:t>Stage: Verification, validation and acceptance</w:t>
      </w:r>
    </w:p>
    <w:p>
      <w:pPr>
        <w:spacing w:before="0" w:after="80" w:line="300" w:lineRule="auto"/>
        <w:numPr>
          <w:ilvl w:val="0"/>
          <w:numId w:val="11"/>
        </w:numPr>
      </w:pPr>
      <w:r>
        <w:rPr>
          <w:rFonts w:ascii="Calibri" w:hAnsi="Calibri" w:eastAsia="Calibri"/>
        </w:rPr>
        <w:t>Stage: Release and deployment</w:t>
      </w:r>
    </w:p>
    <w:p>
      <w:pPr>
        <w:spacing w:before="0" w:after="80" w:line="300" w:lineRule="auto"/>
        <w:numPr>
          <w:ilvl w:val="0"/>
          <w:numId w:val="11"/>
        </w:numPr>
      </w:pPr>
      <w:r>
        <w:rPr>
          <w:rFonts w:ascii="Calibri" w:hAnsi="Calibri" w:eastAsia="Calibri"/>
        </w:rPr>
        <w:t>Stage: Operations, maintenance and support</w:t>
      </w:r>
    </w:p>
    <w:p>
      <w:pPr>
        <w:spacing w:before="0" w:after="80" w:line="300" w:lineRule="auto"/>
        <w:numPr>
          <w:ilvl w:val="0"/>
          <w:numId w:val="11"/>
        </w:numPr>
      </w:pPr>
      <w:r>
        <w:rPr>
          <w:rFonts w:ascii="Calibri" w:hAnsi="Calibri" w:eastAsia="Calibri"/>
        </w:rPr>
        <w:t>Stage: Retirement and project closure</w:t>
      </w:r>
    </w:p>
    <w:p>
      <w:pPr>
        <w:spacing w:before="0" w:after="80" w:line="300" w:lineRule="auto"/>
        <w:numPr>
          <w:ilvl w:val="0"/>
          <w:numId w:val="11"/>
        </w:numPr>
      </w:pPr>
      <w:r>
        <w:rPr>
          <w:rFonts w:ascii="Calibri" w:hAnsi="Calibri" w:eastAsia="Calibri"/>
        </w:rPr>
        <w:t>Secure software development and privacy engineering</w:t>
      </w:r>
    </w:p>
    <w:p>
      <w:pPr>
        <w:spacing w:before="0" w:after="80" w:line="300" w:lineRule="auto"/>
        <w:numPr>
          <w:ilvl w:val="0"/>
          <w:numId w:val="11"/>
        </w:numPr>
      </w:pPr>
      <w:r>
        <w:rPr>
          <w:rFonts w:ascii="Calibri" w:hAnsi="Calibri" w:eastAsia="Calibri"/>
        </w:rPr>
        <w:t>DevOps, environments and configuration management</w:t>
      </w:r>
    </w:p>
    <w:p>
      <w:pPr>
        <w:spacing w:before="0" w:after="80" w:line="300" w:lineRule="auto"/>
        <w:numPr>
          <w:ilvl w:val="0"/>
          <w:numId w:val="11"/>
        </w:numPr>
      </w:pPr>
      <w:r>
        <w:rPr>
          <w:rFonts w:ascii="Calibri" w:hAnsi="Calibri" w:eastAsia="Calibri"/>
        </w:rPr>
        <w:t>Data, database and integration engineering</w:t>
      </w:r>
    </w:p>
    <w:p>
      <w:pPr>
        <w:spacing w:before="0" w:after="80" w:line="300" w:lineRule="auto"/>
        <w:numPr>
          <w:ilvl w:val="0"/>
          <w:numId w:val="11"/>
        </w:numPr>
      </w:pPr>
      <w:r>
        <w:rPr>
          <w:rFonts w:ascii="Calibri" w:hAnsi="Calibri" w:eastAsia="Calibri"/>
        </w:rPr>
        <w:t>User experience, accessibility and local usability</w:t>
      </w:r>
    </w:p>
    <w:p>
      <w:pPr>
        <w:spacing w:before="0" w:after="80" w:line="300" w:lineRule="auto"/>
        <w:numPr>
          <w:ilvl w:val="0"/>
          <w:numId w:val="11"/>
        </w:numPr>
      </w:pPr>
      <w:r>
        <w:rPr>
          <w:rFonts w:ascii="Calibri" w:hAnsi="Calibri" w:eastAsia="Calibri"/>
        </w:rPr>
        <w:t>Documentation and knowledge management</w:t>
      </w:r>
    </w:p>
    <w:p>
      <w:pPr>
        <w:spacing w:before="0" w:after="80" w:line="300" w:lineRule="auto"/>
        <w:numPr>
          <w:ilvl w:val="0"/>
          <w:numId w:val="11"/>
        </w:numPr>
      </w:pPr>
      <w:r>
        <w:rPr>
          <w:rFonts w:ascii="Calibri" w:hAnsi="Calibri" w:eastAsia="Calibri"/>
        </w:rPr>
        <w:t>Open-source, supplier and AI governance</w:t>
      </w:r>
    </w:p>
    <w:p>
      <w:pPr>
        <w:spacing w:before="0" w:after="80" w:line="300" w:lineRule="auto"/>
        <w:numPr>
          <w:ilvl w:val="0"/>
          <w:numId w:val="11"/>
        </w:numPr>
      </w:pPr>
      <w:r>
        <w:rPr>
          <w:rFonts w:ascii="Calibri" w:hAnsi="Calibri" w:eastAsia="Calibri"/>
        </w:rPr>
        <w:t>Measurement, audit and continuous improvement</w:t>
      </w:r>
    </w:p>
    <w:p>
      <w:pPr>
        <w:spacing w:before="0" w:after="80" w:line="300" w:lineRule="auto"/>
        <w:numPr>
          <w:ilvl w:val="0"/>
          <w:numId w:val="11"/>
        </w:numPr>
      </w:pPr>
      <w:r>
        <w:rPr>
          <w:rFonts w:ascii="Calibri" w:hAnsi="Calibri" w:eastAsia="Calibri"/>
        </w:rPr>
        <w:t>Competence, ethics and professional conduct</w:t>
      </w:r>
    </w:p>
    <w:p>
      <w:pPr>
        <w:spacing w:before="0" w:after="80" w:line="300" w:lineRule="auto"/>
        <w:numPr>
          <w:ilvl w:val="0"/>
          <w:numId w:val="11"/>
        </w:numPr>
      </w:pPr>
      <w:r>
        <w:rPr>
          <w:rFonts w:ascii="Calibri" w:hAnsi="Calibri" w:eastAsia="Calibri"/>
        </w:rPr>
        <w:t>Compliance, exceptions and framework review</w:t>
      </w:r>
    </w:p>
    <w:p>
      <w:pPr>
        <w:spacing w:before="0" w:after="80" w:line="300" w:lineRule="auto"/>
        <w:numPr>
          <w:ilvl w:val="0"/>
          <w:numId w:val="11"/>
        </w:numPr>
      </w:pPr>
      <w:r>
        <w:rPr>
          <w:rFonts w:ascii="Calibri" w:hAnsi="Calibri" w:eastAsia="Calibri"/>
        </w:rPr>
        <w:t>Appendices: templates, checklists and glossary</w:t>
      </w:r>
    </w:p>
    <w:p>
      <w:r>
        <w:br w:type="page"/>
      </w:r>
    </w:p>
    <w:p>
      <w:pPr>
        <w:pStyle w:val="Heading1"/>
      </w:pPr>
      <w:r>
        <w:t>Executive summary</w:t>
      </w:r>
    </w:p>
    <w:p>
      <w:r>
        <w:rPr>
          <w:rFonts w:ascii="Calibri" w:hAnsi="Calibri" w:eastAsia="Calibri"/>
          <w:i w:val="0"/>
        </w:rPr>
        <w:t>This framework establishes how KenAddme IT Links will propose, design, build, test, release, operate, maintain and retire software. It is intended to make delivery consistent, secure, auditable and centred on genuine user and business needs. The framework applies to internal products, client projects, websites, mobile and desktop applications, APIs, databases, automation, cloud services, data products and software containing artificial-intelligence capabilities.</w:t>
      </w:r>
    </w:p>
    <w:p>
      <w:r>
        <w:rPr>
          <w:rFonts w:ascii="Calibri" w:hAnsi="Calibri" w:eastAsia="Calibri"/>
          <w:i w:val="0"/>
        </w:rPr>
        <w:t>The framework is based on a governed Software Development Life Cycle. Every project must identify an accountable owner, define measurable requirements, assess risk, create an appropriate design, maintain controlled source code, produce test evidence, obtain release approval and establish operational ownership. Agile delivery is supported, but short iterations do not remove these controls; they distribute them across increments.</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EAF4EF"/>
            <w:tcBorders>
              <w:top w:val="single" w:sz="4" w:space="0" w:color="B7C2CF"/>
              <w:start w:val="single" w:sz="18" w:space="0" w:color="2E6B4F"/>
              <w:bottom w:val="single" w:sz="4" w:space="0" w:color="B7C2CF"/>
              <w:end w:val="single" w:sz="4" w:space="0" w:color="B7C2CF"/>
            </w:tcBorders>
          </w:tcPr>
          <w:p>
            <w:pPr>
              <w:spacing w:after="0" w:line="276" w:lineRule="auto"/>
            </w:pPr>
            <w:r>
              <w:rPr>
                <w:rFonts w:ascii="Calibri" w:hAnsi="Calibri" w:eastAsia="Calibri"/>
                <w:b/>
                <w:color w:val="2E6B4F"/>
                <w:sz w:val="20"/>
              </w:rPr>
              <w:t xml:space="preserve">Institutional rule: </w:t>
            </w:r>
            <w:r>
              <w:rPr>
                <w:rFonts w:ascii="Calibri" w:hAnsi="Calibri" w:eastAsia="Calibri"/>
                <w:color w:val="20252B"/>
                <w:sz w:val="20"/>
              </w:rPr>
              <w:t>No software may enter production merely because coding is complete. Production release requires traceable requirements, reviewed code, acceptable test results, security and privacy checks, an approved deployment and rollback plan, and named operational ownership.</w:t>
            </w:r>
          </w:p>
        </w:tc>
      </w:tr>
    </w:tbl>
    <w:p>
      <w:pPr>
        <w:spacing w:after="20"/>
      </w:pPr>
    </w:p>
    <w:p>
      <w:r>
        <w:rPr>
          <w:rFonts w:ascii="Calibri" w:hAnsi="Calibri" w:eastAsia="Calibri"/>
          <w:i w:val="0"/>
        </w:rPr>
        <w:t>Projects may tailor the depth of documentation to their size and risk. They may not silently remove controls. Any skipped mandatory control requires a recorded exception, a risk owner, compensating safeguards, an expiry date and approval at the level defined in this framework.</w:t>
      </w:r>
    </w:p>
    <w:p>
      <w:pPr>
        <w:pStyle w:val="Heading1"/>
      </w:pPr>
      <w:r>
        <w:t>Institutional purpose, scope and objectives</w:t>
      </w:r>
    </w:p>
    <w:p>
      <w:pPr>
        <w:pStyle w:val="Heading2"/>
      </w:pPr>
      <w:r>
        <w:t>Purpose</w:t>
      </w:r>
    </w:p>
    <w:p>
      <w:r>
        <w:rPr>
          <w:rFonts w:ascii="Calibri" w:hAnsi="Calibri" w:eastAsia="Calibri"/>
          <w:i w:val="0"/>
        </w:rPr>
        <w:t>The purpose of this framework is to provide one institutional method for converting an idea or client need into reliable software and sustaining that software throughout its useful life. It operates together with the KenAddme IT Links Project Management Framework, which governs project selection, funding authority, tolerances, reporting, closure and benefits for the same work. Both frameworks share an effective date of 31 October 2026.</w:t>
      </w:r>
    </w:p>
    <w:p>
      <w:pPr>
        <w:pStyle w:val="Heading2"/>
      </w:pPr>
      <w:r>
        <w:t>Objectives</w:t>
      </w:r>
    </w:p>
    <w:p>
      <w:pPr>
        <w:spacing w:before="0" w:after="80" w:line="300" w:lineRule="auto"/>
        <w:numPr>
          <w:ilvl w:val="0"/>
          <w:numId w:val="10"/>
        </w:numPr>
      </w:pPr>
      <w:r>
        <w:rPr>
          <w:rFonts w:ascii="Calibri" w:hAnsi="Calibri" w:eastAsia="Calibri"/>
        </w:rPr>
        <w:t>Deliver software that solves an approved problem and satisfies agreed acceptance criteria.</w:t>
      </w:r>
    </w:p>
    <w:p>
      <w:pPr>
        <w:spacing w:before="0" w:after="80" w:line="300" w:lineRule="auto"/>
        <w:numPr>
          <w:ilvl w:val="0"/>
          <w:numId w:val="10"/>
        </w:numPr>
      </w:pPr>
      <w:r>
        <w:rPr>
          <w:rFonts w:ascii="Calibri" w:hAnsi="Calibri" w:eastAsia="Calibri"/>
        </w:rPr>
        <w:t>Protect users, clients, institutional information and personal data throughout the lifecycle.</w:t>
      </w:r>
    </w:p>
    <w:p>
      <w:pPr>
        <w:spacing w:before="0" w:after="80" w:line="300" w:lineRule="auto"/>
        <w:numPr>
          <w:ilvl w:val="0"/>
          <w:numId w:val="10"/>
        </w:numPr>
      </w:pPr>
      <w:r>
        <w:rPr>
          <w:rFonts w:ascii="Calibri" w:hAnsi="Calibri" w:eastAsia="Calibri"/>
        </w:rPr>
        <w:t>Make technical decisions, changes and approvals traceable and reviewable.</w:t>
      </w:r>
    </w:p>
    <w:p>
      <w:pPr>
        <w:spacing w:before="0" w:after="80" w:line="300" w:lineRule="auto"/>
        <w:numPr>
          <w:ilvl w:val="0"/>
          <w:numId w:val="10"/>
        </w:numPr>
      </w:pPr>
      <w:r>
        <w:rPr>
          <w:rFonts w:ascii="Calibri" w:hAnsi="Calibri" w:eastAsia="Calibri"/>
        </w:rPr>
        <w:t>Reduce defects, rework, operational failures and avoidable project delays.</w:t>
      </w:r>
    </w:p>
    <w:p>
      <w:pPr>
        <w:spacing w:before="0" w:after="80" w:line="300" w:lineRule="auto"/>
        <w:numPr>
          <w:ilvl w:val="0"/>
          <w:numId w:val="10"/>
        </w:numPr>
      </w:pPr>
      <w:r>
        <w:rPr>
          <w:rFonts w:ascii="Calibri" w:hAnsi="Calibri" w:eastAsia="Calibri"/>
        </w:rPr>
        <w:t>Standardise engineering records while allowing proportional tailoring for project risk and size.</w:t>
      </w:r>
    </w:p>
    <w:p>
      <w:pPr>
        <w:spacing w:before="0" w:after="80" w:line="300" w:lineRule="auto"/>
        <w:numPr>
          <w:ilvl w:val="0"/>
          <w:numId w:val="10"/>
        </w:numPr>
      </w:pPr>
      <w:r>
        <w:rPr>
          <w:rFonts w:ascii="Calibri" w:hAnsi="Calibri" w:eastAsia="Calibri"/>
        </w:rPr>
        <w:t>Improve maintainability, knowledge transfer, staff development and continuity of service.</w:t>
      </w:r>
    </w:p>
    <w:p>
      <w:pPr>
        <w:spacing w:before="0" w:after="80" w:line="300" w:lineRule="auto"/>
        <w:numPr>
          <w:ilvl w:val="0"/>
          <w:numId w:val="10"/>
        </w:numPr>
      </w:pPr>
      <w:r>
        <w:rPr>
          <w:rFonts w:ascii="Calibri" w:hAnsi="Calibri" w:eastAsia="Calibri"/>
        </w:rPr>
        <w:t>Support responsible use of open-source components, cloud services and artificial intelligence.</w:t>
      </w:r>
    </w:p>
    <w:p>
      <w:pPr>
        <w:spacing w:before="0" w:after="80" w:line="300" w:lineRule="auto"/>
        <w:numPr>
          <w:ilvl w:val="0"/>
          <w:numId w:val="10"/>
        </w:numPr>
      </w:pPr>
      <w:r>
        <w:rPr>
          <w:rFonts w:ascii="Calibri" w:hAnsi="Calibri" w:eastAsia="Calibri"/>
        </w:rPr>
        <w:t>Create evidence for client assurance, management review, audits and continuous improvement.</w:t>
      </w:r>
    </w:p>
    <w:p>
      <w:pPr>
        <w:pStyle w:val="Heading2"/>
      </w:pPr>
      <w:r>
        <w:t>Scope</w:t>
      </w:r>
    </w:p>
    <w:p>
      <w:r>
        <w:rPr>
          <w:rFonts w:ascii="Calibri" w:hAnsi="Calibri" w:eastAsia="Calibri"/>
          <w:i w:val="0"/>
        </w:rPr>
        <w:t>This framework applies from the earliest project discussion through disposal of the final production asset. It covers:</w:t>
      </w:r>
    </w:p>
    <w:p>
      <w:pPr>
        <w:spacing w:before="0" w:after="80" w:line="300" w:lineRule="auto"/>
        <w:numPr>
          <w:ilvl w:val="0"/>
          <w:numId w:val="10"/>
        </w:numPr>
      </w:pPr>
      <w:r>
        <w:rPr>
          <w:rFonts w:ascii="Calibri" w:hAnsi="Calibri" w:eastAsia="Calibri"/>
        </w:rPr>
        <w:t>software commissioned by a client or developed as a KenAddme IT Links product;</w:t>
      </w:r>
    </w:p>
    <w:p>
      <w:pPr>
        <w:spacing w:before="0" w:after="80" w:line="300" w:lineRule="auto"/>
        <w:numPr>
          <w:ilvl w:val="0"/>
          <w:numId w:val="10"/>
        </w:numPr>
      </w:pPr>
      <w:r>
        <w:rPr>
          <w:rFonts w:ascii="Calibri" w:hAnsi="Calibri" w:eastAsia="Calibri"/>
        </w:rPr>
        <w:t>internal tools, prototypes and proof-of-concept systems when they use institutional resources or data;</w:t>
      </w:r>
    </w:p>
    <w:p>
      <w:pPr>
        <w:spacing w:before="0" w:after="80" w:line="300" w:lineRule="auto"/>
        <w:numPr>
          <w:ilvl w:val="0"/>
          <w:numId w:val="10"/>
        </w:numPr>
      </w:pPr>
      <w:r>
        <w:rPr>
          <w:rFonts w:ascii="Calibri" w:hAnsi="Calibri" w:eastAsia="Calibri"/>
        </w:rPr>
        <w:t>web, mobile, desktop, embedded, API, database, integration, cloud, analytics, automation and AI-enabled solutions;</w:t>
      </w:r>
    </w:p>
    <w:p>
      <w:pPr>
        <w:spacing w:before="0" w:after="80" w:line="300" w:lineRule="auto"/>
        <w:numPr>
          <w:ilvl w:val="0"/>
          <w:numId w:val="10"/>
        </w:numPr>
      </w:pPr>
      <w:r>
        <w:rPr>
          <w:rFonts w:ascii="Calibri" w:hAnsi="Calibri" w:eastAsia="Calibri"/>
        </w:rPr>
        <w:t>software changes, upgrades, migrations, re-platforming and major configuration work; and</w:t>
      </w:r>
    </w:p>
    <w:p>
      <w:pPr>
        <w:spacing w:before="0" w:after="80" w:line="300" w:lineRule="auto"/>
        <w:numPr>
          <w:ilvl w:val="0"/>
          <w:numId w:val="10"/>
        </w:numPr>
      </w:pPr>
      <w:r>
        <w:rPr>
          <w:rFonts w:ascii="Calibri" w:hAnsi="Calibri" w:eastAsia="Calibri"/>
        </w:rPr>
        <w:t>third-party software acquisition or integration where KenAddme IT Links remains accountable for delivery or operation.</w:t>
      </w:r>
    </w:p>
    <w:p>
      <w:pPr>
        <w:pStyle w:val="Heading2"/>
      </w:pPr>
      <w:r>
        <w:t>Intended users</w:t>
      </w:r>
    </w:p>
    <w:p>
      <w:r>
        <w:rPr>
          <w:rFonts w:ascii="Calibri" w:hAnsi="Calibri" w:eastAsia="Calibri"/>
          <w:i w:val="0"/>
        </w:rPr>
        <w:t>The framework is written for directors, project sponsors, managers, product owners, analysts, architects, developers, testers, security and privacy personnel, DevOps and platform engineers, data specialists, designers, support staff, interns, contractors and project partners.</w:t>
      </w:r>
    </w:p>
    <w:p>
      <w:pPr>
        <w:pStyle w:val="Heading2"/>
      </w:pPr>
      <w:r>
        <w:t>Tailoring</w:t>
      </w:r>
    </w:p>
    <w:p>
      <w:r>
        <w:rPr>
          <w:rFonts w:ascii="Calibri" w:hAnsi="Calibri" w:eastAsia="Calibri"/>
          <w:i w:val="0"/>
        </w:rPr>
        <w:t>A project may simplify forms, combine compatible roles or deliver records incrementally. Tailoring must be documented in the project plan and must not fall below the applicable class floor in Appendix A unless an approved, time-bound exception exists. High-risk projects must use stronger independence, evidence, security review and release approval than low-risk experiments. A Class 1 project must not enter production; production use requires reclassification at least to Class 2.</w:t>
      </w:r>
    </w:p>
    <w:p>
      <w:pPr>
        <w:pStyle w:val="Heading1"/>
      </w:pPr>
      <w:r>
        <w:t>Engineering principles and mandatory language</w:t>
      </w:r>
    </w:p>
    <w:p>
      <w:pPr>
        <w:pStyle w:val="Heading2"/>
      </w:pPr>
      <w:r>
        <w:t>Core principles</w:t>
      </w:r>
    </w:p>
    <w:p>
      <w:pPr>
        <w:spacing w:before="0" w:after="80" w:line="300" w:lineRule="auto"/>
        <w:numPr>
          <w:ilvl w:val="0"/>
          <w:numId w:val="10"/>
        </w:numPr>
      </w:pPr>
      <w:r>
        <w:rPr>
          <w:rFonts w:ascii="Calibri" w:hAnsi="Calibri" w:eastAsia="Calibri"/>
          <w:b/>
        </w:rPr>
        <w:t xml:space="preserve">Value before activity. </w:t>
      </w:r>
      <w:r>
        <w:rPr>
          <w:rFonts w:ascii="Calibri" w:hAnsi="Calibri" w:eastAsia="Calibri"/>
        </w:rPr>
        <w:t>Work must be linked to a user, institutional or client outcome; activity alone is not evidence of progress.</w:t>
      </w:r>
    </w:p>
    <w:p>
      <w:pPr>
        <w:spacing w:before="0" w:after="80" w:line="300" w:lineRule="auto"/>
        <w:numPr>
          <w:ilvl w:val="0"/>
          <w:numId w:val="10"/>
        </w:numPr>
      </w:pPr>
      <w:r>
        <w:rPr>
          <w:rFonts w:ascii="Calibri" w:hAnsi="Calibri" w:eastAsia="Calibri"/>
          <w:b/>
        </w:rPr>
        <w:t xml:space="preserve">Evidence before approval. </w:t>
      </w:r>
      <w:r>
        <w:rPr>
          <w:rFonts w:ascii="Calibri" w:hAnsi="Calibri" w:eastAsia="Calibri"/>
        </w:rPr>
        <w:t>Claims about readiness must be supported by requirements, reviews, tests, measurements or operational records.</w:t>
      </w:r>
    </w:p>
    <w:p>
      <w:pPr>
        <w:spacing w:before="0" w:after="80" w:line="300" w:lineRule="auto"/>
        <w:numPr>
          <w:ilvl w:val="0"/>
          <w:numId w:val="10"/>
        </w:numPr>
      </w:pPr>
      <w:r>
        <w:rPr>
          <w:rFonts w:ascii="Calibri" w:hAnsi="Calibri" w:eastAsia="Calibri"/>
          <w:b/>
        </w:rPr>
        <w:t xml:space="preserve">Security and privacy by design. </w:t>
      </w:r>
      <w:r>
        <w:rPr>
          <w:rFonts w:ascii="Calibri" w:hAnsi="Calibri" w:eastAsia="Calibri"/>
        </w:rPr>
        <w:t>Protection must be designed into requirements, architecture, code, testing and operation rather than added only before release.</w:t>
      </w:r>
    </w:p>
    <w:p>
      <w:pPr>
        <w:spacing w:before="0" w:after="80" w:line="300" w:lineRule="auto"/>
        <w:numPr>
          <w:ilvl w:val="0"/>
          <w:numId w:val="10"/>
        </w:numPr>
      </w:pPr>
      <w:r>
        <w:rPr>
          <w:rFonts w:ascii="Calibri" w:hAnsi="Calibri" w:eastAsia="Calibri"/>
          <w:b/>
        </w:rPr>
        <w:t xml:space="preserve">Quality is built in. </w:t>
      </w:r>
      <w:r>
        <w:rPr>
          <w:rFonts w:ascii="Calibri" w:hAnsi="Calibri" w:eastAsia="Calibri"/>
        </w:rPr>
        <w:t>Teams should prefer prevention, review, automation and early testing to discovering defects after deployment.</w:t>
      </w:r>
    </w:p>
    <w:p>
      <w:pPr>
        <w:spacing w:before="0" w:after="80" w:line="300" w:lineRule="auto"/>
        <w:numPr>
          <w:ilvl w:val="0"/>
          <w:numId w:val="10"/>
        </w:numPr>
      </w:pPr>
      <w:r>
        <w:rPr>
          <w:rFonts w:ascii="Calibri" w:hAnsi="Calibri" w:eastAsia="Calibri"/>
          <w:b/>
        </w:rPr>
        <w:t xml:space="preserve">Small and reversible change. </w:t>
      </w:r>
      <w:r>
        <w:rPr>
          <w:rFonts w:ascii="Calibri" w:hAnsi="Calibri" w:eastAsia="Calibri"/>
        </w:rPr>
        <w:t>Teams should use controlled increments, automated checks and rollback paths to reduce the impact of failure.</w:t>
      </w:r>
    </w:p>
    <w:p>
      <w:pPr>
        <w:spacing w:before="0" w:after="80" w:line="300" w:lineRule="auto"/>
        <w:numPr>
          <w:ilvl w:val="0"/>
          <w:numId w:val="10"/>
        </w:numPr>
      </w:pPr>
      <w:r>
        <w:rPr>
          <w:rFonts w:ascii="Calibri" w:hAnsi="Calibri" w:eastAsia="Calibri"/>
          <w:b/>
        </w:rPr>
        <w:t xml:space="preserve">Clear ownership. </w:t>
      </w:r>
      <w:r>
        <w:rPr>
          <w:rFonts w:ascii="Calibri" w:hAnsi="Calibri" w:eastAsia="Calibri"/>
        </w:rPr>
        <w:t>Every product, risk, decision, data set, environment and service must have an accountable owner.</w:t>
      </w:r>
    </w:p>
    <w:p>
      <w:pPr>
        <w:spacing w:before="0" w:after="80" w:line="300" w:lineRule="auto"/>
        <w:numPr>
          <w:ilvl w:val="0"/>
          <w:numId w:val="10"/>
        </w:numPr>
      </w:pPr>
      <w:r>
        <w:rPr>
          <w:rFonts w:ascii="Calibri" w:hAnsi="Calibri" w:eastAsia="Calibri"/>
          <w:b/>
        </w:rPr>
        <w:t xml:space="preserve">Traceability. </w:t>
      </w:r>
      <w:r>
        <w:rPr>
          <w:rFonts w:ascii="Calibri" w:hAnsi="Calibri" w:eastAsia="Calibri"/>
        </w:rPr>
        <w:t>Requirements, design decisions, code changes, test results, releases and incidents must be connected through controlled identifiers or records.</w:t>
      </w:r>
    </w:p>
    <w:p>
      <w:pPr>
        <w:spacing w:before="0" w:after="80" w:line="300" w:lineRule="auto"/>
        <w:numPr>
          <w:ilvl w:val="0"/>
          <w:numId w:val="10"/>
        </w:numPr>
      </w:pPr>
      <w:r>
        <w:rPr>
          <w:rFonts w:ascii="Calibri" w:hAnsi="Calibri" w:eastAsia="Calibri"/>
          <w:b/>
        </w:rPr>
        <w:t xml:space="preserve">Inclusive and contextual design. </w:t>
      </w:r>
      <w:r>
        <w:rPr>
          <w:rFonts w:ascii="Calibri" w:hAnsi="Calibri" w:eastAsia="Calibri"/>
        </w:rPr>
        <w:t>Solutions should work for the intended users, devices, connectivity conditions, abilities and operating environment.</w:t>
      </w:r>
    </w:p>
    <w:p>
      <w:pPr>
        <w:spacing w:before="0" w:after="80" w:line="300" w:lineRule="auto"/>
        <w:numPr>
          <w:ilvl w:val="0"/>
          <w:numId w:val="10"/>
        </w:numPr>
      </w:pPr>
      <w:r>
        <w:rPr>
          <w:rFonts w:ascii="Calibri" w:hAnsi="Calibri" w:eastAsia="Calibri"/>
          <w:b/>
        </w:rPr>
        <w:t xml:space="preserve">Maintainable simplicity. </w:t>
      </w:r>
      <w:r>
        <w:rPr>
          <w:rFonts w:ascii="Calibri" w:hAnsi="Calibri" w:eastAsia="Calibri"/>
        </w:rPr>
        <w:t>Teams should choose the simplest design that meets current and reasonably foreseeable requirements.</w:t>
      </w:r>
    </w:p>
    <w:p>
      <w:pPr>
        <w:spacing w:before="0" w:after="80" w:line="300" w:lineRule="auto"/>
        <w:numPr>
          <w:ilvl w:val="0"/>
          <w:numId w:val="10"/>
        </w:numPr>
      </w:pPr>
      <w:r>
        <w:rPr>
          <w:rFonts w:ascii="Calibri" w:hAnsi="Calibri" w:eastAsia="Calibri"/>
          <w:b/>
        </w:rPr>
        <w:t xml:space="preserve">Continuous learning. </w:t>
      </w:r>
      <w:r>
        <w:rPr>
          <w:rFonts w:ascii="Calibri" w:hAnsi="Calibri" w:eastAsia="Calibri"/>
        </w:rPr>
        <w:t>Reviews, incidents, client feedback and metrics must lead to corrective action and process improvement.</w:t>
      </w:r>
    </w:p>
    <w:p>
      <w:pPr>
        <w:pStyle w:val="Heading2"/>
      </w:pPr>
      <w:r>
        <w:t>Meaning of mandatory terms</w:t>
      </w:r>
    </w:p>
    <w:tbl>
      <w:tblPr>
        <w:tblLook w:firstColumn="1" w:firstRow="1" w:lastColumn="0" w:lastRow="0" w:noHBand="0" w:noVBand="1" w:val="04A0"/>
        <w:tblStyle w:val="TableGrid"/>
        <w:jc w:val="left"/>
        <w:tblW w:w="9360" w:type="dxa"/>
        <w:tblInd w:w="120" w:type="dxa"/>
        <w:tblLayout w:type="fixed"/>
      </w:tblPr>
      <w:tblGrid>
        <w:gridCol w:w="1700"/>
        <w:gridCol w:w="7660"/>
      </w:tblGrid>
      <w:tr>
        <w:trPr>
          <w:cantSplit/>
          <w:tblHeader w:val="true"/>
        </w:trPr>
        <w:tc>
          <w:tcPr>
            <w:tcW w:type="dxa" w:w="17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Term</w:t>
            </w:r>
          </w:p>
        </w:tc>
        <w:tc>
          <w:tcPr>
            <w:tcW w:type="dxa" w:w="76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Meaning in this framework</w:t>
            </w:r>
          </w:p>
        </w:tc>
      </w:tr>
      <w:tr>
        <w:trPr>
          <w:cantSplit/>
        </w:trPr>
        <w:tc>
          <w:tcPr>
            <w:tcW w:type="dxa" w:w="1700"/>
            <w:tcMar>
              <w:top w:w="80" w:type="dxa"/>
              <w:start w:w="120" w:type="dxa"/>
              <w:bottom w:w="80" w:type="dxa"/>
              <w:end w:w="120" w:type="dxa"/>
            </w:tcMar>
            <w:vAlign w:val="top"/>
          </w:tcPr>
          <w:p>
            <w:pPr>
              <w:spacing w:after="0" w:line="259" w:lineRule="auto"/>
            </w:pPr>
            <w:r>
              <w:rPr>
                <w:rFonts w:ascii="Calibri" w:hAnsi="Calibri" w:eastAsia="Calibri"/>
                <w:b/>
                <w:color w:val="20252B"/>
                <w:sz w:val="18"/>
              </w:rPr>
              <w:t>Must</w:t>
            </w:r>
          </w:p>
        </w:tc>
        <w:tc>
          <w:tcPr>
            <w:tcW w:type="dxa" w:w="76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A mandatory requirement. Non-compliance requires an approved, time-bound exception.</w:t>
            </w:r>
          </w:p>
        </w:tc>
      </w:tr>
      <w:tr>
        <w:trPr>
          <w:cantSplit/>
        </w:trPr>
        <w:tc>
          <w:tcPr>
            <w:tcW w:type="dxa" w:w="1700"/>
            <w:tcMar>
              <w:top w:w="80" w:type="dxa"/>
              <w:start w:w="120" w:type="dxa"/>
              <w:bottom w:w="80" w:type="dxa"/>
              <w:end w:w="120" w:type="dxa"/>
            </w:tcMar>
            <w:vAlign w:val="top"/>
          </w:tcPr>
          <w:p>
            <w:pPr>
              <w:spacing w:after="0" w:line="259" w:lineRule="auto"/>
            </w:pPr>
            <w:r>
              <w:rPr>
                <w:rFonts w:ascii="Calibri" w:hAnsi="Calibri" w:eastAsia="Calibri"/>
                <w:b/>
                <w:color w:val="20252B"/>
                <w:sz w:val="18"/>
              </w:rPr>
              <w:t>Should</w:t>
            </w:r>
          </w:p>
        </w:tc>
        <w:tc>
          <w:tcPr>
            <w:tcW w:type="dxa" w:w="76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The normal expected practice. A project may use another method when it records a sound reason and equivalent outcome.</w:t>
            </w:r>
          </w:p>
        </w:tc>
      </w:tr>
      <w:tr>
        <w:trPr>
          <w:cantSplit/>
        </w:trPr>
        <w:tc>
          <w:tcPr>
            <w:tcW w:type="dxa" w:w="1700"/>
            <w:tcMar>
              <w:top w:w="80" w:type="dxa"/>
              <w:start w:w="120" w:type="dxa"/>
              <w:bottom w:w="80" w:type="dxa"/>
              <w:end w:w="120" w:type="dxa"/>
            </w:tcMar>
            <w:vAlign w:val="top"/>
          </w:tcPr>
          <w:p>
            <w:pPr>
              <w:spacing w:after="0" w:line="259" w:lineRule="auto"/>
            </w:pPr>
            <w:r>
              <w:rPr>
                <w:rFonts w:ascii="Calibri" w:hAnsi="Calibri" w:eastAsia="Calibri"/>
                <w:b/>
                <w:color w:val="20252B"/>
                <w:sz w:val="18"/>
              </w:rPr>
              <w:t>May</w:t>
            </w:r>
          </w:p>
        </w:tc>
        <w:tc>
          <w:tcPr>
            <w:tcW w:type="dxa" w:w="76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An allowed option selected according to context, cost and risk.</w:t>
            </w:r>
          </w:p>
        </w:tc>
      </w:tr>
      <w:tr>
        <w:trPr>
          <w:cantSplit/>
        </w:trPr>
        <w:tc>
          <w:tcPr>
            <w:tcW w:type="dxa" w:w="1700"/>
            <w:tcMar>
              <w:top w:w="80" w:type="dxa"/>
              <w:start w:w="120" w:type="dxa"/>
              <w:bottom w:w="80" w:type="dxa"/>
              <w:end w:w="120" w:type="dxa"/>
            </w:tcMar>
            <w:vAlign w:val="top"/>
          </w:tcPr>
          <w:p>
            <w:pPr>
              <w:spacing w:after="0" w:line="259" w:lineRule="auto"/>
            </w:pPr>
            <w:r>
              <w:rPr>
                <w:rFonts w:ascii="Calibri" w:hAnsi="Calibri" w:eastAsia="Calibri"/>
                <w:b/>
                <w:color w:val="20252B"/>
                <w:sz w:val="18"/>
              </w:rPr>
              <w:t>Evidence</w:t>
            </w:r>
          </w:p>
        </w:tc>
        <w:tc>
          <w:tcPr>
            <w:tcW w:type="dxa" w:w="76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A controlled record such as an approved requirement, decision, review, test result, scan, log, checklist or acceptance record.</w:t>
            </w:r>
          </w:p>
        </w:tc>
      </w:tr>
    </w:tbl>
    <w:p>
      <w:pPr>
        <w:spacing w:after="20"/>
      </w:pP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Normative interpretation: </w:t>
            </w:r>
            <w:r>
              <w:rPr>
                <w:rFonts w:ascii="Calibri" w:hAnsi="Calibri" w:eastAsia="Calibri"/>
                <w:color w:val="20252B"/>
                <w:sz w:val="20"/>
              </w:rPr>
              <w:t>Every unqualified imperative instruction (for example: identify, define, record, test, protect or approve) is a Must requirement. Every item under Required activities, Mandatory evidence, Exit criteria, Minimum, Institutional requirements, rules, controls, handling requirements or a checklist is also a Must requirement unless it explicitly says Should or May. Purpose statements, examples, definitions, management questions and typical-record lists are informative unless they contain Must, Should or May. A missed Must requirement requires the exception process.</w:t>
            </w:r>
          </w:p>
        </w:tc>
      </w:tr>
    </w:tbl>
    <w:p>
      <w:pPr>
        <w:spacing w:after="20"/>
      </w:pPr>
    </w:p>
    <w:p>
      <w:pPr>
        <w:pStyle w:val="Heading1"/>
      </w:pPr>
      <w:r>
        <w:t>Governance, project classification and accountability</w:t>
      </w:r>
    </w:p>
    <w:p>
      <w:pPr>
        <w:pStyle w:val="Heading2"/>
      </w:pPr>
      <w:r>
        <w:t>Governance structure</w:t>
      </w:r>
    </w:p>
    <w:p>
      <w:r>
        <w:rPr>
          <w:rFonts w:ascii="Calibri" w:hAnsi="Calibri" w:eastAsia="Calibri"/>
          <w:i w:val="0"/>
        </w:rPr>
        <w:t>Management owns the framework; project and product teams execute it. Each project must name an executive or client sponsor, a delivery owner and a technical owner. Security, privacy, financial and contractual responsibilities must be assigned whenever they apply.</w:t>
      </w:r>
    </w:p>
    <w:p>
      <w:pPr>
        <w:pStyle w:val="Heading2"/>
      </w:pPr>
      <w:r>
        <w:t>Project risk classification</w:t>
      </w:r>
    </w:p>
    <w:p>
      <w:r>
        <w:rPr>
          <w:rFonts w:ascii="Calibri" w:hAnsi="Calibri" w:eastAsia="Calibri"/>
          <w:i w:val="0"/>
        </w:rPr>
        <w:t>The classification must determine the minimum depth of review and evidence. The highest applicable condition must control the classification. Appendix A states the enforceable artefact floor for each class.</w:t>
      </w:r>
    </w:p>
    <w:tbl>
      <w:tblPr>
        <w:tblLook w:firstColumn="1" w:firstRow="1" w:lastColumn="0" w:lastRow="0" w:noHBand="0" w:noVBand="1" w:val="04A0"/>
        <w:tblStyle w:val="TableGrid"/>
        <w:jc w:val="left"/>
        <w:tblW w:w="9360" w:type="dxa"/>
        <w:tblInd w:w="120" w:type="dxa"/>
        <w:tblLayout w:type="fixed"/>
      </w:tblPr>
      <w:tblGrid>
        <w:gridCol w:w="1550"/>
        <w:gridCol w:w="2200"/>
        <w:gridCol w:w="3000"/>
        <w:gridCol w:w="2610"/>
      </w:tblGrid>
      <w:tr>
        <w:trPr>
          <w:cantSplit/>
          <w:tblHeader w:val="true"/>
        </w:trPr>
        <w:tc>
          <w:tcPr>
            <w:tcW w:type="dxa" w:w="15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Class</w:t>
            </w:r>
          </w:p>
        </w:tc>
        <w:tc>
          <w:tcPr>
            <w:tcW w:type="dxa" w:w="22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Typical use</w:t>
            </w:r>
          </w:p>
        </w:tc>
        <w:tc>
          <w:tcPr>
            <w:tcW w:type="dxa" w:w="30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Risk indicators</w:t>
            </w:r>
          </w:p>
        </w:tc>
        <w:tc>
          <w:tcPr>
            <w:tcW w:type="dxa" w:w="261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Minimum control level</w:t>
            </w:r>
          </w:p>
        </w:tc>
      </w:tr>
      <w:tr>
        <w:trPr>
          <w:cantSplit/>
        </w:trPr>
        <w:tc>
          <w:tcPr>
            <w:tcW w:type="dxa" w:w="1550"/>
            <w:tcMar>
              <w:top w:w="80" w:type="dxa"/>
              <w:start w:w="120" w:type="dxa"/>
              <w:bottom w:w="80" w:type="dxa"/>
              <w:end w:w="120" w:type="dxa"/>
            </w:tcMar>
            <w:vAlign w:val="top"/>
          </w:tcPr>
          <w:p>
            <w:pPr>
              <w:spacing w:after="0" w:line="259" w:lineRule="auto"/>
            </w:pPr>
            <w:r>
              <w:rPr>
                <w:rFonts w:ascii="Calibri" w:hAnsi="Calibri" w:eastAsia="Calibri"/>
                <w:b/>
                <w:color w:val="20252B"/>
                <w:sz w:val="16"/>
              </w:rPr>
              <w:t>Class 1 — Experimental</w:t>
            </w:r>
          </w:p>
        </w:tc>
        <w:tc>
          <w:tcPr>
            <w:tcW w:type="dxa" w:w="22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Time-limited prototype, demonstration or learning exercise</w:t>
            </w:r>
          </w:p>
        </w:tc>
        <w:tc>
          <w:tcPr>
            <w:tcW w:type="dxa" w:w="3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No production use; no real personal, client-confidential or payment data; limited users</w:t>
            </w:r>
          </w:p>
        </w:tc>
        <w:tc>
          <w:tcPr>
            <w:tcW w:type="dxa" w:w="26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Named owner, defined purpose, source control, basic testing and disposal date</w:t>
            </w:r>
          </w:p>
        </w:tc>
      </w:tr>
      <w:tr>
        <w:trPr>
          <w:cantSplit/>
        </w:trPr>
        <w:tc>
          <w:tcPr>
            <w:tcW w:type="dxa" w:w="1550"/>
            <w:tcMar>
              <w:top w:w="80" w:type="dxa"/>
              <w:start w:w="120" w:type="dxa"/>
              <w:bottom w:w="80" w:type="dxa"/>
              <w:end w:w="120" w:type="dxa"/>
            </w:tcMar>
            <w:vAlign w:val="top"/>
          </w:tcPr>
          <w:p>
            <w:pPr>
              <w:spacing w:after="0" w:line="259" w:lineRule="auto"/>
            </w:pPr>
            <w:r>
              <w:rPr>
                <w:rFonts w:ascii="Calibri" w:hAnsi="Calibri" w:eastAsia="Calibri"/>
                <w:b/>
                <w:color w:val="20252B"/>
                <w:sz w:val="16"/>
              </w:rPr>
              <w:t>Class 2 — Standard</w:t>
            </w:r>
          </w:p>
        </w:tc>
        <w:tc>
          <w:tcPr>
            <w:tcW w:type="dxa" w:w="22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Internal business tool or ordinary client application</w:t>
            </w:r>
          </w:p>
        </w:tc>
        <w:tc>
          <w:tcPr>
            <w:tcW w:type="dxa" w:w="3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Normal business data; moderate user impact; recoverable service interruption</w:t>
            </w:r>
          </w:p>
        </w:tc>
        <w:tc>
          <w:tcPr>
            <w:tcW w:type="dxa" w:w="26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Full lifecycle records, peer review, automated tests, security baseline and release approval</w:t>
            </w:r>
          </w:p>
        </w:tc>
      </w:tr>
      <w:tr>
        <w:trPr>
          <w:cantSplit/>
        </w:trPr>
        <w:tc>
          <w:tcPr>
            <w:tcW w:type="dxa" w:w="1550"/>
            <w:tcMar>
              <w:top w:w="80" w:type="dxa"/>
              <w:start w:w="120" w:type="dxa"/>
              <w:bottom w:w="80" w:type="dxa"/>
              <w:end w:w="120" w:type="dxa"/>
            </w:tcMar>
            <w:vAlign w:val="top"/>
          </w:tcPr>
          <w:p>
            <w:pPr>
              <w:spacing w:after="0" w:line="259" w:lineRule="auto"/>
            </w:pPr>
            <w:r>
              <w:rPr>
                <w:rFonts w:ascii="Calibri" w:hAnsi="Calibri" w:eastAsia="Calibri"/>
                <w:b/>
                <w:color w:val="20252B"/>
                <w:sz w:val="16"/>
              </w:rPr>
              <w:t>Class 3 — High</w:t>
            </w:r>
          </w:p>
        </w:tc>
        <w:tc>
          <w:tcPr>
            <w:tcW w:type="dxa" w:w="22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Public service, education, finance, identity, payments or sensitive-data system</w:t>
            </w:r>
          </w:p>
        </w:tc>
        <w:tc>
          <w:tcPr>
            <w:tcW w:type="dxa" w:w="3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Personal/sensitive data, internet exposure, significant financial or reputational impact, contractual service levels</w:t>
            </w:r>
          </w:p>
        </w:tc>
        <w:tc>
          <w:tcPr>
            <w:tcW w:type="dxa" w:w="26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Independent QA, formal threat/privacy review, stronger environment controls, recovery test and management release approval</w:t>
            </w:r>
          </w:p>
        </w:tc>
      </w:tr>
      <w:tr>
        <w:trPr>
          <w:cantSplit/>
        </w:trPr>
        <w:tc>
          <w:tcPr>
            <w:tcW w:type="dxa" w:w="1550"/>
            <w:tcMar>
              <w:top w:w="80" w:type="dxa"/>
              <w:start w:w="120" w:type="dxa"/>
              <w:bottom w:w="80" w:type="dxa"/>
              <w:end w:w="120" w:type="dxa"/>
            </w:tcMar>
            <w:vAlign w:val="top"/>
          </w:tcPr>
          <w:p>
            <w:pPr>
              <w:spacing w:after="0" w:line="259" w:lineRule="auto"/>
            </w:pPr>
            <w:r>
              <w:rPr>
                <w:rFonts w:ascii="Calibri" w:hAnsi="Calibri" w:eastAsia="Calibri"/>
                <w:b/>
                <w:color w:val="20252B"/>
                <w:sz w:val="16"/>
              </w:rPr>
              <w:t>Class 4 — Critical</w:t>
            </w:r>
          </w:p>
        </w:tc>
        <w:tc>
          <w:tcPr>
            <w:tcW w:type="dxa" w:w="22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Safety-significant, critical infrastructure, large-scale restricted data or mission-critical service</w:t>
            </w:r>
          </w:p>
        </w:tc>
        <w:tc>
          <w:tcPr>
            <w:tcW w:type="dxa" w:w="3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Serious harm, legal or systemic impact from failure or misuse</w:t>
            </w:r>
          </w:p>
        </w:tc>
        <w:tc>
          <w:tcPr>
            <w:tcW w:type="dxa" w:w="26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Executive governance, specialist assurance, independent assessment, rehearsed continuity and explicit residual-risk acceptance</w:t>
            </w:r>
          </w:p>
        </w:tc>
      </w:tr>
    </w:tbl>
    <w:p>
      <w:pPr>
        <w:spacing w:after="20"/>
      </w:pP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Class floor: </w:t>
            </w:r>
            <w:r>
              <w:rPr>
                <w:rFonts w:ascii="Calibri" w:hAnsi="Calibri" w:eastAsia="Calibri"/>
                <w:color w:val="20252B"/>
                <w:sz w:val="20"/>
              </w:rPr>
              <w:t>Class 1 is limited to time-bound, non-production experimentation without real personal, client-confidential or payment data. Any intended production use, persistent operational dependency or material data exposure must be reclassified and must satisfy the corresponding Appendix A floor before release.</w:t>
            </w:r>
          </w:p>
        </w:tc>
      </w:tr>
    </w:tbl>
    <w:p>
      <w:pPr>
        <w:spacing w:after="20"/>
      </w:pPr>
    </w:p>
    <w:p>
      <w:pPr>
        <w:pStyle w:val="Heading2"/>
      </w:pPr>
      <w:r>
        <w:t>Key roles and accountabilities</w:t>
      </w:r>
    </w:p>
    <w:tbl>
      <w:tblPr>
        <w:tblLook w:firstColumn="1" w:firstRow="1" w:lastColumn="0" w:lastRow="0" w:noHBand="0" w:noVBand="1" w:val="04A0"/>
        <w:tblStyle w:val="TableGrid"/>
        <w:jc w:val="left"/>
        <w:tblW w:w="9360" w:type="dxa"/>
        <w:tblInd w:w="120" w:type="dxa"/>
        <w:tblLayout w:type="fixed"/>
      </w:tblPr>
      <w:tblGrid>
        <w:gridCol w:w="2700"/>
        <w:gridCol w:w="6660"/>
      </w:tblGrid>
      <w:tr>
        <w:trPr>
          <w:cantSplit/>
          <w:tblHeader w:val="true"/>
        </w:trPr>
        <w:tc>
          <w:tcPr>
            <w:tcW w:type="dxa" w:w="27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Role</w:t>
            </w:r>
          </w:p>
        </w:tc>
        <w:tc>
          <w:tcPr>
            <w:tcW w:type="dxa" w:w="66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Primary accountability</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Executive sponsor / client sponsor</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Authorises the purpose, funding, major scope decisions, residual business risk and final acceptance.</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Product owner / business owner</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Prioritises outcomes and requirements, answers domain questions and accepts completed increments.</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Project manager / delivery lead</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Plans and coordinates scope, schedule, cost, resources, dependencies, communication, risks and approvals.</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Business analyst</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Elicits, analyses, documents and traces requirements and acceptance criteria.</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Solution architect / technical lead</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Owns architecture, major technical decisions, engineering quality and technical risk.</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Developer / engineer</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Implements reviewed, tested, secure and maintainable code and updates associated documentation.</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QA / test engineer</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Defines test strategy, verifies requirements, records defects and provides independent quality evidence.</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Security and privacy reviewer</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Assesses threats, data protection, security requirements, vulnerabilities and residual risk.</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DevOps / platform engineer</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Controls build pipelines, environments, infrastructure, deployment, observability, backups and recovery mechanisms.</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UX / accessibility practitioner</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Validates user needs, interaction design, accessibility and usability in the target context.</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Data owner / data engineer / DBA</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Controls data definitions, quality, access, retention, integrity, migration and recovery.</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Service owner / support lead</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Owns production performance, support, incidents, maintenance, service reporting and retirement readiness.</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eastAsia="Calibri"/>
                <w:b/>
                <w:color w:val="20252B"/>
                <w:sz w:val="17"/>
              </w:rPr>
              <w:t xml:space="preserve">Release authority</w:t>
            </w:r>
          </w:p>
        </w:tc>
        <w:tc>
          <w:tcPr>
            <w:tcW w:type="dxa" w:w="66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 xml:space="preserve">Holds the final institutional decision to authorise a production deployment at G4 and to require its rollback. The Executive Sponsor or a formally recorded delegate is the release authority for Class 3 and Class 4; the Technical Lead is the release authority for Class 1 and Class 2. The role must not be held by the sole author of the release under the role-separation rule below, and it maps to the Executive / Project Authority in Appendix I.3 of the Project Management Framework.</w:t>
            </w:r>
          </w:p>
        </w:tc>
      </w:tr>
    </w:tbl>
    <w:p>
      <w:pPr>
        <w:spacing w:after="20"/>
      </w:pP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Role separation: </w:t>
            </w:r>
            <w:r>
              <w:rPr>
                <w:rFonts w:ascii="Calibri" w:hAnsi="Calibri" w:eastAsia="Calibri"/>
                <w:color w:val="20252B"/>
                <w:sz w:val="20"/>
              </w:rPr>
              <w:t>One person may hold several roles on a small project, but no individual should be the sole author, reviewer, tester and release approver for a Class 3 or Class 4 production release. Where staffing prevents separation, management must approve compensating independent review.</w:t>
            </w:r>
          </w:p>
        </w:tc>
      </w:tr>
    </w:tbl>
    <w:p>
      <w:pPr>
        <w:spacing w:after="20"/>
      </w:pPr>
    </w:p>
    <w:p>
      <w:pPr>
        <w:pStyle w:val="Heading1"/>
      </w:pPr>
      <w:r>
        <w:t>Lifecycle model and approval gates</w:t>
      </w:r>
    </w:p>
    <w:p>
      <w:r>
        <w:rPr>
          <w:rFonts w:ascii="Calibri" w:hAnsi="Calibri" w:eastAsia="Calibri"/>
          <w:i w:val="0"/>
        </w:rPr>
        <w:t>KenAddme IT Links uses a lifecycle with eight stages and seven decision gates. Stages may overlap and repeat. Every applicable gate must confirm that the required evidence exists and that identified risk is understood before additional commitment or exposure. Project governance for the same work is defined in the KenAddme IT Links Project Management Framework, whose Gates 1 to 7 run alongside G0 to G6. Appendix I of that framework maps the two classification schemes, aligns the gates, establishes role equivalence and governs where a single evidence pack and decision may satisfy both frameworks. Where the mappings differ, the higher classification, the stronger control and the more senior approver govern. Teams must not run a duplicate gate solely because the numbering differs.</w:t>
      </w:r>
    </w:p>
    <w:tbl>
      <w:tblPr>
        <w:tblLook w:firstColumn="1" w:firstRow="1" w:lastColumn="0" w:lastRow="0" w:noHBand="0" w:noVBand="1" w:val="04A0"/>
        <w:tblStyle w:val="TableGrid"/>
        <w:jc w:val="left"/>
        <w:tblW w:w="9360" w:type="dxa"/>
        <w:tblInd w:w="120" w:type="dxa"/>
        <w:tblLayout w:type="fixed"/>
      </w:tblPr>
      <w:tblGrid>
        <w:gridCol w:w="1800"/>
        <w:gridCol w:w="2100"/>
        <w:gridCol w:w="3460"/>
        <w:gridCol w:w="2000"/>
      </w:tblGrid>
      <w:tr>
        <w:trPr>
          <w:cantSplit/>
          <w:tblHeader w:val="true"/>
        </w:trPr>
        <w:tc>
          <w:tcPr>
            <w:tcW w:type="dxa" w:w="18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Gate</w:t>
            </w:r>
          </w:p>
        </w:tc>
        <w:tc>
          <w:tcPr>
            <w:tcW w:type="dxa" w:w="21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Decision</w:t>
            </w:r>
          </w:p>
        </w:tc>
        <w:tc>
          <w:tcPr>
            <w:tcW w:type="dxa" w:w="34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Minimum evidence</w:t>
            </w:r>
          </w:p>
        </w:tc>
        <w:tc>
          <w:tcPr>
            <w:tcW w:type="dxa" w:w="20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Normal approver</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G0 — Intake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Authorise discovery or decline the request</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Problem statement, sponsor, preliminary scope, feasibility and initial risk class</w:t>
            </w:r>
          </w:p>
        </w:tc>
        <w:tc>
          <w:tcPr>
            <w:tcW w:type="dxa" w:w="2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Sponsor and delivery lead</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G1 — Requirements baseline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Authorise design and delivery commitment</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Approved requirements/backlog, acceptance criteria, data classification, risks and traceability method</w:t>
            </w:r>
          </w:p>
        </w:tc>
        <w:tc>
          <w:tcPr>
            <w:tcW w:type="dxa" w:w="2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Product owner and delivery lead</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G2 — Design readiness</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Authorise implementation</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Architecture, UX/data/API designs, threat model, test strategy, delivery and assurance estimates, and deployment concept</w:t>
            </w:r>
          </w:p>
        </w:tc>
        <w:tc>
          <w:tcPr>
            <w:tcW w:type="dxa" w:w="2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Technical lead; security reviewer for higher risk</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G3 — Code complete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Authorise formal system testing</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Reviewed code, successful build, unit/integration evidence, updated technical records and known-defect list</w:t>
            </w:r>
          </w:p>
        </w:tc>
        <w:tc>
          <w:tcPr>
            <w:tcW w:type="dxa" w:w="2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Technical lead and QA lead</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G4 — Release readiness</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Authorise production deployment</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Acceptance results, security/privacy checks, release notes, migration, rollback, backup and operational readiness</w:t>
            </w:r>
          </w:p>
        </w:tc>
        <w:tc>
          <w:tcPr>
            <w:tcW w:type="dxa" w:w="2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Product owner, service owner and release authority</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G5 — Operational acceptance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Confirm stable service and close transition</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Deployment record, smoke tests, monitoring, support handover and early-life review</w:t>
            </w:r>
          </w:p>
        </w:tc>
        <w:tc>
          <w:tcPr>
            <w:tcW w:type="dxa" w:w="2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Service owner and product owner</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G6 — Retirement/closure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Authorise disposal or project closure</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Acceptance/closure report, data disposition, access removal, asset archive and lessons learned</w:t>
            </w:r>
          </w:p>
        </w:tc>
        <w:tc>
          <w:tcPr>
            <w:tcW w:type="dxa" w:w="20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Sponsor, data owner and service owner</w:t>
            </w:r>
          </w:p>
        </w:tc>
      </w:tr>
    </w:tbl>
    <w:p>
      <w:pPr>
        <w:spacing w:after="20"/>
      </w:pPr>
    </w:p>
    <w:p>
      <w:pPr>
        <w:pStyle w:val="Heading2"/>
      </w:pPr>
      <w:r>
        <w:t>Agile, iterative and DevOps delivery</w:t>
      </w:r>
    </w:p>
    <w:p>
      <w:r>
        <w:rPr>
          <w:rFonts w:ascii="Calibri" w:hAnsi="Calibri" w:eastAsia="Calibri"/>
          <w:i w:val="0"/>
        </w:rPr>
        <w:t>Agile projects may baseline a product vision and an initial set of high-level requirements, then refine stories in each iteration. Every story must still meet a Definition of Ready before implementation and a Definition of Done before acceptance. Architecture, privacy, security and operational changes must be reviewed when the iteration introduces new risk. Continuous delivery automates release steps; it does not remove release authority.</w:t>
      </w:r>
    </w:p>
    <w:p>
      <w:pPr>
        <w:pStyle w:val="Heading2"/>
      </w:pPr>
      <w:r>
        <w:t>Minimum traceability chain</w:t>
      </w:r>
    </w:p>
    <w:p>
      <w:r>
        <w:rPr>
          <w:rFonts w:ascii="Calibri" w:hAnsi="Calibri" w:eastAsia="Calibri"/>
          <w:i w:val="0"/>
        </w:rPr>
        <w:t>Each production change must be traceable through the following chain:</w:t>
      </w:r>
    </w:p>
    <w:p>
      <w:pPr>
        <w:spacing w:before="0" w:after="80" w:line="300" w:lineRule="auto"/>
        <w:numPr>
          <w:ilvl w:val="0"/>
          <w:numId w:val="12"/>
        </w:numPr>
      </w:pPr>
      <w:r>
        <w:rPr>
          <w:rFonts w:ascii="Calibri" w:hAnsi="Calibri" w:eastAsia="Calibri"/>
        </w:rPr>
        <w:t>approved need or defect → requirement or work item;</w:t>
      </w:r>
    </w:p>
    <w:p>
      <w:pPr>
        <w:spacing w:before="0" w:after="80" w:line="300" w:lineRule="auto"/>
        <w:numPr>
          <w:ilvl w:val="0"/>
          <w:numId w:val="12"/>
        </w:numPr>
      </w:pPr>
      <w:r>
        <w:rPr>
          <w:rFonts w:ascii="Calibri" w:hAnsi="Calibri" w:eastAsia="Calibri"/>
        </w:rPr>
        <w:t>requirement or work item → design decision where applicable;</w:t>
      </w:r>
    </w:p>
    <w:p>
      <w:pPr>
        <w:spacing w:before="0" w:after="80" w:line="300" w:lineRule="auto"/>
        <w:numPr>
          <w:ilvl w:val="0"/>
          <w:numId w:val="12"/>
        </w:numPr>
      </w:pPr>
      <w:r>
        <w:rPr>
          <w:rFonts w:ascii="Calibri" w:hAnsi="Calibri" w:eastAsia="Calibri"/>
        </w:rPr>
        <w:t>work item → code/configuration change and reviewer;</w:t>
      </w:r>
    </w:p>
    <w:p>
      <w:pPr>
        <w:spacing w:before="0" w:after="80" w:line="300" w:lineRule="auto"/>
        <w:numPr>
          <w:ilvl w:val="0"/>
          <w:numId w:val="12"/>
        </w:numPr>
      </w:pPr>
      <w:r>
        <w:rPr>
          <w:rFonts w:ascii="Calibri" w:hAnsi="Calibri" w:eastAsia="Calibri"/>
        </w:rPr>
        <w:t>change → tests and results;</w:t>
      </w:r>
    </w:p>
    <w:p>
      <w:pPr>
        <w:spacing w:before="0" w:after="80" w:line="300" w:lineRule="auto"/>
        <w:numPr>
          <w:ilvl w:val="0"/>
          <w:numId w:val="12"/>
        </w:numPr>
      </w:pPr>
      <w:r>
        <w:rPr>
          <w:rFonts w:ascii="Calibri" w:hAnsi="Calibri" w:eastAsia="Calibri"/>
        </w:rPr>
        <w:t>tests → release package and approval; and</w:t>
      </w:r>
    </w:p>
    <w:p>
      <w:pPr>
        <w:spacing w:before="0" w:after="80" w:line="300" w:lineRule="auto"/>
        <w:numPr>
          <w:ilvl w:val="0"/>
          <w:numId w:val="12"/>
        </w:numPr>
      </w:pPr>
      <w:r>
        <w:rPr>
          <w:rFonts w:ascii="Calibri" w:hAnsi="Calibri" w:eastAsia="Calibri"/>
        </w:rPr>
        <w:t>release → deployment record, monitoring and support ownership.</w:t>
      </w:r>
    </w:p>
    <w:p>
      <w:pPr>
        <w:pStyle w:val="Heading1"/>
      </w:pPr>
      <w:r>
        <w:t>Stage: Initiation and feasibility</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Purpose: </w:t>
            </w:r>
            <w:r>
              <w:rPr>
                <w:rFonts w:ascii="Calibri" w:hAnsi="Calibri" w:eastAsia="Calibri"/>
                <w:color w:val="20252B"/>
                <w:sz w:val="20"/>
              </w:rPr>
              <w:t>Confirm that the proposed project addresses a real, authorised need and is practical enough to justify discovery and planning.</w:t>
            </w:r>
          </w:p>
        </w:tc>
      </w:tr>
    </w:tbl>
    <w:p>
      <w:pPr>
        <w:spacing w:after="20"/>
      </w:pPr>
    </w:p>
    <w:p>
      <w:pPr>
        <w:pStyle w:val="Heading2"/>
      </w:pPr>
      <w:r>
        <w:t>Required activities</w:t>
      </w:r>
    </w:p>
    <w:p>
      <w:pPr>
        <w:spacing w:before="0" w:after="80" w:line="300" w:lineRule="auto"/>
        <w:numPr>
          <w:ilvl w:val="0"/>
          <w:numId w:val="10"/>
        </w:numPr>
      </w:pPr>
      <w:r>
        <w:rPr>
          <w:rFonts w:ascii="Calibri" w:hAnsi="Calibri" w:eastAsia="Calibri"/>
        </w:rPr>
        <w:t>Identify the problem, affected users, desired outcomes, sponsor and accountable owner.</w:t>
      </w:r>
    </w:p>
    <w:p>
      <w:pPr>
        <w:spacing w:before="0" w:after="80" w:line="300" w:lineRule="auto"/>
        <w:numPr>
          <w:ilvl w:val="0"/>
          <w:numId w:val="10"/>
        </w:numPr>
      </w:pPr>
      <w:r>
        <w:rPr>
          <w:rFonts w:ascii="Calibri" w:hAnsi="Calibri" w:eastAsia="Calibri"/>
        </w:rPr>
        <w:t>Describe the proposed scope, exclusions, assumptions, dependencies and success measures.</w:t>
      </w:r>
    </w:p>
    <w:p>
      <w:pPr>
        <w:spacing w:before="0" w:after="80" w:line="300" w:lineRule="auto"/>
        <w:numPr>
          <w:ilvl w:val="0"/>
          <w:numId w:val="10"/>
        </w:numPr>
      </w:pPr>
      <w:r>
        <w:rPr>
          <w:rFonts w:ascii="Calibri" w:hAnsi="Calibri" w:eastAsia="Calibri"/>
        </w:rPr>
        <w:t>Assess technical, economic, operational, schedule, legal, data, security and resource feasibility.</w:t>
      </w:r>
    </w:p>
    <w:p>
      <w:pPr>
        <w:spacing w:before="0" w:after="80" w:line="300" w:lineRule="auto"/>
        <w:numPr>
          <w:ilvl w:val="0"/>
          <w:numId w:val="10"/>
        </w:numPr>
      </w:pPr>
      <w:r>
        <w:rPr>
          <w:rFonts w:ascii="Calibri" w:hAnsi="Calibri" w:eastAsia="Calibri"/>
        </w:rPr>
        <w:t>Consider alternatives, including process change, configuration or acquisition instead of custom development.</w:t>
      </w:r>
    </w:p>
    <w:p>
      <w:pPr>
        <w:spacing w:before="0" w:after="80" w:line="300" w:lineRule="auto"/>
        <w:numPr>
          <w:ilvl w:val="0"/>
          <w:numId w:val="10"/>
        </w:numPr>
      </w:pPr>
      <w:r>
        <w:rPr>
          <w:rFonts w:ascii="Calibri" w:hAnsi="Calibri" w:eastAsia="Calibri"/>
        </w:rPr>
        <w:t>Assign the initial project risk classification and record high-level risks.</w:t>
      </w:r>
    </w:p>
    <w:p>
      <w:pPr>
        <w:spacing w:before="0" w:after="80" w:line="300" w:lineRule="auto"/>
        <w:numPr>
          <w:ilvl w:val="0"/>
          <w:numId w:val="10"/>
        </w:numPr>
      </w:pPr>
      <w:r>
        <w:rPr>
          <w:rFonts w:ascii="Calibri" w:hAnsi="Calibri" w:eastAsia="Calibri"/>
        </w:rPr>
        <w:t>Estimate the discovery effort and obtain authority to proceed.</w:t>
      </w:r>
    </w:p>
    <w:p>
      <w:pPr>
        <w:pStyle w:val="Heading2"/>
      </w:pPr>
      <w:r>
        <w:t>Mandatory evidence</w:t>
      </w:r>
    </w:p>
    <w:p>
      <w:pPr>
        <w:spacing w:before="0" w:after="80" w:line="300" w:lineRule="auto"/>
        <w:numPr>
          <w:ilvl w:val="0"/>
          <w:numId w:val="10"/>
        </w:numPr>
      </w:pPr>
      <w:r>
        <w:rPr>
          <w:rFonts w:ascii="Calibri" w:hAnsi="Calibri" w:eastAsia="Calibri"/>
        </w:rPr>
        <w:t>Project request or concept note.</w:t>
      </w:r>
    </w:p>
    <w:p>
      <w:pPr>
        <w:spacing w:before="0" w:after="80" w:line="300" w:lineRule="auto"/>
        <w:numPr>
          <w:ilvl w:val="0"/>
          <w:numId w:val="10"/>
        </w:numPr>
      </w:pPr>
      <w:r>
        <w:rPr>
          <w:rFonts w:ascii="Calibri" w:hAnsi="Calibri" w:eastAsia="Calibri"/>
        </w:rPr>
        <w:t>Preliminary business case and feasibility assessment.</w:t>
      </w:r>
    </w:p>
    <w:p>
      <w:pPr>
        <w:spacing w:before="0" w:after="80" w:line="300" w:lineRule="auto"/>
        <w:numPr>
          <w:ilvl w:val="0"/>
          <w:numId w:val="10"/>
        </w:numPr>
      </w:pPr>
      <w:r>
        <w:rPr>
          <w:rFonts w:ascii="Calibri" w:hAnsi="Calibri" w:eastAsia="Calibri"/>
        </w:rPr>
        <w:t>Named sponsor, delivery lead and technical owner.</w:t>
      </w:r>
    </w:p>
    <w:p>
      <w:pPr>
        <w:spacing w:before="0" w:after="80" w:line="300" w:lineRule="auto"/>
        <w:numPr>
          <w:ilvl w:val="0"/>
          <w:numId w:val="10"/>
        </w:numPr>
      </w:pPr>
      <w:r>
        <w:rPr>
          <w:rFonts w:ascii="Calibri" w:hAnsi="Calibri" w:eastAsia="Calibri"/>
        </w:rPr>
        <w:t>Initial scope, stakeholder list, risk class and risk register.</w:t>
      </w:r>
    </w:p>
    <w:p>
      <w:pPr>
        <w:spacing w:before="0" w:after="80" w:line="300" w:lineRule="auto"/>
        <w:numPr>
          <w:ilvl w:val="0"/>
          <w:numId w:val="10"/>
        </w:numPr>
      </w:pPr>
      <w:r>
        <w:rPr>
          <w:rFonts w:ascii="Calibri" w:hAnsi="Calibri" w:eastAsia="Calibri"/>
        </w:rPr>
        <w:t>G0 decision record.</w:t>
      </w:r>
    </w:p>
    <w:p>
      <w:pPr>
        <w:pStyle w:val="Heading2"/>
      </w:pPr>
      <w:r>
        <w:t>Exit criteria</w:t>
      </w:r>
    </w:p>
    <w:p>
      <w:pPr>
        <w:spacing w:before="0" w:after="80" w:line="300" w:lineRule="auto"/>
        <w:numPr>
          <w:ilvl w:val="0"/>
          <w:numId w:val="10"/>
        </w:numPr>
      </w:pPr>
      <w:r>
        <w:rPr>
          <w:rFonts w:ascii="Calibri" w:hAnsi="Calibri" w:eastAsia="Calibri"/>
        </w:rPr>
        <w:t>The problem and intended benefits are clear enough to investigate.</w:t>
      </w:r>
    </w:p>
    <w:p>
      <w:pPr>
        <w:spacing w:before="0" w:after="80" w:line="300" w:lineRule="auto"/>
        <w:numPr>
          <w:ilvl w:val="0"/>
          <w:numId w:val="10"/>
        </w:numPr>
      </w:pPr>
      <w:r>
        <w:rPr>
          <w:rFonts w:ascii="Calibri" w:hAnsi="Calibri" w:eastAsia="Calibri"/>
        </w:rPr>
        <w:t>Ownership and discovery resources are assigned.</w:t>
      </w:r>
    </w:p>
    <w:p>
      <w:pPr>
        <w:spacing w:before="0" w:after="80" w:line="300" w:lineRule="auto"/>
        <w:numPr>
          <w:ilvl w:val="0"/>
          <w:numId w:val="10"/>
        </w:numPr>
      </w:pPr>
      <w:r>
        <w:rPr>
          <w:rFonts w:ascii="Calibri" w:hAnsi="Calibri" w:eastAsia="Calibri"/>
        </w:rPr>
        <w:t>Material legal, privacy, security or procurement blockers are identified.</w:t>
      </w:r>
    </w:p>
    <w:p>
      <w:pPr>
        <w:spacing w:before="0" w:after="80" w:line="300" w:lineRule="auto"/>
        <w:numPr>
          <w:ilvl w:val="0"/>
          <w:numId w:val="10"/>
        </w:numPr>
      </w:pPr>
      <w:r>
        <w:rPr>
          <w:rFonts w:ascii="Calibri" w:hAnsi="Calibri" w:eastAsia="Calibri"/>
        </w:rPr>
        <w:t>Management has approved, deferred or declined the initiative in writing.</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DEEEE"/>
            <w:tcBorders>
              <w:top w:val="single" w:sz="4" w:space="0" w:color="B7C2CF"/>
              <w:start w:val="single" w:sz="18" w:space="0" w:color="9B1C1C"/>
              <w:bottom w:val="single" w:sz="4" w:space="0" w:color="B7C2CF"/>
              <w:end w:val="single" w:sz="4" w:space="0" w:color="B7C2CF"/>
            </w:tcBorders>
          </w:tcPr>
          <w:p>
            <w:pPr>
              <w:spacing w:after="0" w:line="276" w:lineRule="auto"/>
            </w:pPr>
            <w:r>
              <w:rPr>
                <w:rFonts w:ascii="Calibri" w:hAnsi="Calibri" w:eastAsia="Calibri"/>
                <w:b/>
                <w:color w:val="9B1C1C"/>
                <w:sz w:val="20"/>
              </w:rPr>
              <w:t xml:space="preserve">Prohibited shortcut: </w:t>
            </w:r>
            <w:r>
              <w:rPr>
                <w:rFonts w:ascii="Calibri" w:hAnsi="Calibri" w:eastAsia="Calibri"/>
                <w:color w:val="20252B"/>
                <w:sz w:val="20"/>
              </w:rPr>
              <w:t>Coding must not begin as an informal commitment to a client or manager when no owner, intended outcome, data constraints or acceptance authority has been identified.</w:t>
            </w:r>
          </w:p>
        </w:tc>
      </w:tr>
    </w:tbl>
    <w:p>
      <w:pPr>
        <w:spacing w:after="20"/>
      </w:pPr>
    </w:p>
    <w:p>
      <w:pPr>
        <w:pStyle w:val="Heading1"/>
      </w:pPr>
      <w:r>
        <w:t>Stage: Discovery and requirements engineering</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Purpose: </w:t>
            </w:r>
            <w:r>
              <w:rPr>
                <w:rFonts w:ascii="Calibri" w:hAnsi="Calibri" w:eastAsia="Calibri"/>
                <w:color w:val="20252B"/>
                <w:sz w:val="20"/>
              </w:rPr>
              <w:t>Develop a shared, testable understanding of what the solution must achieve, the constraints it must respect and how acceptance will be decided.</w:t>
            </w:r>
          </w:p>
        </w:tc>
      </w:tr>
    </w:tbl>
    <w:p>
      <w:pPr>
        <w:spacing w:after="20"/>
      </w:pPr>
    </w:p>
    <w:p>
      <w:pPr>
        <w:pStyle w:val="Heading2"/>
      </w:pPr>
      <w:r>
        <w:t>Required activities</w:t>
      </w:r>
    </w:p>
    <w:p>
      <w:pPr>
        <w:spacing w:before="0" w:after="80" w:line="300" w:lineRule="auto"/>
        <w:numPr>
          <w:ilvl w:val="0"/>
          <w:numId w:val="10"/>
        </w:numPr>
      </w:pPr>
      <w:r>
        <w:rPr>
          <w:rFonts w:ascii="Calibri" w:hAnsi="Calibri" w:eastAsia="Calibri"/>
        </w:rPr>
        <w:t>Identify stakeholders and representative users; select suitable interviews, workshops, observation, surveys, document analysis or prototypes.</w:t>
      </w:r>
    </w:p>
    <w:p>
      <w:pPr>
        <w:spacing w:before="0" w:after="80" w:line="300" w:lineRule="auto"/>
        <w:numPr>
          <w:ilvl w:val="0"/>
          <w:numId w:val="10"/>
        </w:numPr>
      </w:pPr>
      <w:r>
        <w:rPr>
          <w:rFonts w:ascii="Calibri" w:hAnsi="Calibri" w:eastAsia="Calibri"/>
        </w:rPr>
        <w:t>Document functional requirements, business rules, data needs, interfaces, roles and permissions.</w:t>
      </w:r>
    </w:p>
    <w:p>
      <w:pPr>
        <w:spacing w:before="0" w:after="80" w:line="300" w:lineRule="auto"/>
        <w:numPr>
          <w:ilvl w:val="0"/>
          <w:numId w:val="10"/>
        </w:numPr>
      </w:pPr>
      <w:r>
        <w:rPr>
          <w:rFonts w:ascii="Calibri" w:hAnsi="Calibri" w:eastAsia="Calibri"/>
        </w:rPr>
        <w:t>Define non-functional requirements for security, privacy, performance, availability, reliability, accessibility, usability, compatibility, maintainability, scalability, portability, logging, backup and recovery.</w:t>
      </w:r>
    </w:p>
    <w:p>
      <w:pPr>
        <w:spacing w:before="0" w:after="80" w:line="300" w:lineRule="auto"/>
        <w:numPr>
          <w:ilvl w:val="0"/>
          <w:numId w:val="10"/>
        </w:numPr>
      </w:pPr>
      <w:r>
        <w:rPr>
          <w:rFonts w:ascii="Calibri" w:hAnsi="Calibri" w:eastAsia="Calibri"/>
        </w:rPr>
        <w:t>Record constraints, assumptions, exclusions, dependencies and acceptance criteria.</w:t>
      </w:r>
    </w:p>
    <w:p>
      <w:pPr>
        <w:spacing w:before="0" w:after="80" w:line="300" w:lineRule="auto"/>
        <w:numPr>
          <w:ilvl w:val="0"/>
          <w:numId w:val="10"/>
        </w:numPr>
      </w:pPr>
      <w:r>
        <w:rPr>
          <w:rFonts w:ascii="Calibri" w:hAnsi="Calibri" w:eastAsia="Calibri"/>
        </w:rPr>
        <w:t>Prioritise requirements and establish a requirements-to-test traceability method.</w:t>
      </w:r>
    </w:p>
    <w:p>
      <w:pPr>
        <w:spacing w:before="0" w:after="80" w:line="300" w:lineRule="auto"/>
        <w:numPr>
          <w:ilvl w:val="0"/>
          <w:numId w:val="10"/>
        </w:numPr>
      </w:pPr>
      <w:r>
        <w:rPr>
          <w:rFonts w:ascii="Calibri" w:hAnsi="Calibri" w:eastAsia="Calibri"/>
        </w:rPr>
        <w:t>Review requirements with affected stakeholders and formally baseline the approved scope or initial backlog.</w:t>
      </w:r>
    </w:p>
    <w:p>
      <w:pPr>
        <w:pStyle w:val="Heading2"/>
      </w:pPr>
      <w:r>
        <w:t>Mandatory evidence</w:t>
      </w:r>
    </w:p>
    <w:p>
      <w:pPr>
        <w:spacing w:before="0" w:after="80" w:line="300" w:lineRule="auto"/>
        <w:numPr>
          <w:ilvl w:val="0"/>
          <w:numId w:val="10"/>
        </w:numPr>
      </w:pPr>
      <w:r>
        <w:rPr>
          <w:rFonts w:ascii="Calibri" w:hAnsi="Calibri" w:eastAsia="Calibri"/>
        </w:rPr>
        <w:t>Software Requirements Specification, product backlog or equivalent controlled requirements set.</w:t>
      </w:r>
    </w:p>
    <w:p>
      <w:pPr>
        <w:spacing w:before="0" w:after="80" w:line="300" w:lineRule="auto"/>
        <w:numPr>
          <w:ilvl w:val="0"/>
          <w:numId w:val="10"/>
        </w:numPr>
      </w:pPr>
      <w:r>
        <w:rPr>
          <w:rFonts w:ascii="Calibri" w:hAnsi="Calibri" w:eastAsia="Calibri"/>
        </w:rPr>
        <w:t>User journeys, process maps, use cases or stories as appropriate.</w:t>
      </w:r>
    </w:p>
    <w:p>
      <w:pPr>
        <w:spacing w:before="0" w:after="80" w:line="300" w:lineRule="auto"/>
        <w:numPr>
          <w:ilvl w:val="0"/>
          <w:numId w:val="10"/>
        </w:numPr>
      </w:pPr>
      <w:r>
        <w:rPr>
          <w:rFonts w:ascii="Calibri" w:hAnsi="Calibri" w:eastAsia="Calibri"/>
        </w:rPr>
        <w:t>Acceptance criteria and initial test conditions.</w:t>
      </w:r>
    </w:p>
    <w:p>
      <w:pPr>
        <w:spacing w:before="0" w:after="80" w:line="300" w:lineRule="auto"/>
        <w:numPr>
          <w:ilvl w:val="0"/>
          <w:numId w:val="10"/>
        </w:numPr>
      </w:pPr>
      <w:r>
        <w:rPr>
          <w:rFonts w:ascii="Calibri" w:hAnsi="Calibri" w:eastAsia="Calibri"/>
        </w:rPr>
        <w:t>Data inventory and classification; preliminary privacy and security requirements.</w:t>
      </w:r>
    </w:p>
    <w:p>
      <w:pPr>
        <w:spacing w:before="0" w:after="80" w:line="300" w:lineRule="auto"/>
        <w:numPr>
          <w:ilvl w:val="0"/>
          <w:numId w:val="10"/>
        </w:numPr>
      </w:pPr>
      <w:r>
        <w:rPr>
          <w:rFonts w:ascii="Calibri" w:hAnsi="Calibri" w:eastAsia="Calibri"/>
        </w:rPr>
        <w:t>Requirements traceability matrix or linked work-item structure.</w:t>
      </w:r>
    </w:p>
    <w:p>
      <w:pPr>
        <w:spacing w:before="0" w:after="80" w:line="300" w:lineRule="auto"/>
        <w:numPr>
          <w:ilvl w:val="0"/>
          <w:numId w:val="10"/>
        </w:numPr>
      </w:pPr>
      <w:r>
        <w:rPr>
          <w:rFonts w:ascii="Calibri" w:hAnsi="Calibri" w:eastAsia="Calibri"/>
        </w:rPr>
        <w:t>G1 approval and unresolved-question log.</w:t>
      </w:r>
    </w:p>
    <w:p>
      <w:pPr>
        <w:pStyle w:val="Heading2"/>
      </w:pPr>
      <w:r>
        <w:t>Exit criteria</w:t>
      </w:r>
    </w:p>
    <w:p>
      <w:pPr>
        <w:spacing w:before="0" w:after="80" w:line="300" w:lineRule="auto"/>
        <w:numPr>
          <w:ilvl w:val="0"/>
          <w:numId w:val="10"/>
        </w:numPr>
      </w:pPr>
      <w:r>
        <w:rPr>
          <w:rFonts w:ascii="Calibri" w:hAnsi="Calibri" w:eastAsia="Calibri"/>
        </w:rPr>
        <w:t>Each committed requirement is necessary, clear, feasible, testable, traceable and prioritised.</w:t>
      </w:r>
    </w:p>
    <w:p>
      <w:pPr>
        <w:spacing w:before="0" w:after="80" w:line="300" w:lineRule="auto"/>
        <w:numPr>
          <w:ilvl w:val="0"/>
          <w:numId w:val="10"/>
        </w:numPr>
      </w:pPr>
      <w:r>
        <w:rPr>
          <w:rFonts w:ascii="Calibri" w:hAnsi="Calibri" w:eastAsia="Calibri"/>
        </w:rPr>
        <w:t>Conflicts and ambiguities are resolved or assigned with dates and owners.</w:t>
      </w:r>
    </w:p>
    <w:p>
      <w:pPr>
        <w:spacing w:before="0" w:after="80" w:line="300" w:lineRule="auto"/>
        <w:numPr>
          <w:ilvl w:val="0"/>
          <w:numId w:val="10"/>
        </w:numPr>
      </w:pPr>
      <w:r>
        <w:rPr>
          <w:rFonts w:ascii="Calibri" w:hAnsi="Calibri" w:eastAsia="Calibri"/>
        </w:rPr>
        <w:t>The product owner or client acceptance authority approves the baseline.</w:t>
      </w:r>
    </w:p>
    <w:p>
      <w:pPr>
        <w:spacing w:before="0" w:after="80" w:line="300" w:lineRule="auto"/>
        <w:numPr>
          <w:ilvl w:val="0"/>
          <w:numId w:val="10"/>
        </w:numPr>
      </w:pPr>
      <w:r>
        <w:rPr>
          <w:rFonts w:ascii="Calibri" w:hAnsi="Calibri" w:eastAsia="Calibri"/>
        </w:rPr>
        <w:t>Scope, schedule and cost assumptions are aligned with the approved requirements.</w:t>
      </w:r>
    </w:p>
    <w:p>
      <w:pPr>
        <w:pStyle w:val="Heading2"/>
      </w:pPr>
      <w:r>
        <w:t>Requirement quality rules</w:t>
      </w:r>
    </w:p>
    <w:tbl>
      <w:tblPr>
        <w:tblLook w:firstColumn="1" w:firstRow="1" w:lastColumn="0" w:lastRow="0" w:noHBand="0" w:noVBand="1" w:val="04A0"/>
        <w:tblStyle w:val="TableGrid"/>
        <w:jc w:val="left"/>
        <w:tblW w:w="9360" w:type="dxa"/>
        <w:tblInd w:w="120" w:type="dxa"/>
        <w:tblLayout w:type="fixed"/>
      </w:tblPr>
      <w:tblGrid>
        <w:gridCol w:w="1800"/>
        <w:gridCol w:w="7560"/>
      </w:tblGrid>
      <w:tr>
        <w:trPr>
          <w:cantSplit/>
          <w:tblHeader w:val="true"/>
        </w:trPr>
        <w:tc>
          <w:tcPr>
            <w:tcW w:type="dxa" w:w="18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Quality</w:t>
            </w:r>
          </w:p>
        </w:tc>
        <w:tc>
          <w:tcPr>
            <w:tcW w:type="dxa" w:w="75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Required test</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8"/>
              </w:rPr>
              <w:t>Clear</w:t>
            </w:r>
          </w:p>
        </w:tc>
        <w:tc>
          <w:tcPr>
            <w:tcW w:type="dxa" w:w="75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Different competent readers should reach substantially the same interpretation.</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8"/>
              </w:rPr>
              <w:t>Atomic</w:t>
            </w:r>
          </w:p>
        </w:tc>
        <w:tc>
          <w:tcPr>
            <w:tcW w:type="dxa" w:w="75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A requirement should describe one independently verifiable obligation wherever practical.</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8"/>
              </w:rPr>
              <w:t>Feasible</w:t>
            </w:r>
          </w:p>
        </w:tc>
        <w:tc>
          <w:tcPr>
            <w:tcW w:type="dxa" w:w="75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Technology, budget, time, people and external dependencies can support it.</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8"/>
              </w:rPr>
              <w:t>Testable</w:t>
            </w:r>
          </w:p>
        </w:tc>
        <w:tc>
          <w:tcPr>
            <w:tcW w:type="dxa" w:w="75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Acceptance can be demonstrated by inspection, analysis, demonstration or test.</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8"/>
              </w:rPr>
              <w:t>Traceable</w:t>
            </w:r>
          </w:p>
        </w:tc>
        <w:tc>
          <w:tcPr>
            <w:tcW w:type="dxa" w:w="75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Its source, owner, priority, design/code implementation and test evidence can be located.</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8"/>
              </w:rPr>
              <w:t>Consistent</w:t>
            </w:r>
          </w:p>
        </w:tc>
        <w:tc>
          <w:tcPr>
            <w:tcW w:type="dxa" w:w="75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It does not conflict with other requirements, policies, contracts or known constraints.</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8"/>
              </w:rPr>
              <w:t>Controlled</w:t>
            </w:r>
          </w:p>
        </w:tc>
        <w:tc>
          <w:tcPr>
            <w:tcW w:type="dxa" w:w="75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Changes follow the agreed versioning, approval and impact-assessment process.</w:t>
            </w:r>
          </w:p>
        </w:tc>
      </w:tr>
    </w:tbl>
    <w:p>
      <w:pPr>
        <w:spacing w:after="20"/>
      </w:pPr>
    </w:p>
    <w:p>
      <w:pPr>
        <w:pStyle w:val="Heading1"/>
      </w:pPr>
      <w:r>
        <w:t>Stage: Planning, architecture and detailed design</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Purpose: </w:t>
            </w:r>
            <w:r>
              <w:rPr>
                <w:rFonts w:ascii="Calibri" w:hAnsi="Calibri" w:eastAsia="Calibri"/>
                <w:color w:val="20252B"/>
                <w:sz w:val="20"/>
              </w:rPr>
              <w:t>Translate the approved requirements into an achievable delivery plan and a design that can be built, tested, secured, operated and changed.</w:t>
            </w:r>
          </w:p>
        </w:tc>
      </w:tr>
    </w:tbl>
    <w:p>
      <w:pPr>
        <w:spacing w:after="20"/>
      </w:pPr>
    </w:p>
    <w:p>
      <w:pPr>
        <w:pStyle w:val="Heading2"/>
      </w:pPr>
      <w:r>
        <w:t>Required activities</w:t>
      </w:r>
    </w:p>
    <w:p>
      <w:pPr>
        <w:spacing w:before="0" w:after="80" w:line="300" w:lineRule="auto"/>
        <w:numPr>
          <w:ilvl w:val="0"/>
          <w:numId w:val="10"/>
        </w:numPr>
      </w:pPr>
      <w:r>
        <w:rPr>
          <w:rFonts w:ascii="Calibri" w:hAnsi="Calibri" w:eastAsia="Calibri"/>
        </w:rPr>
        <w:t>Select the delivery approach, milestones, work breakdown, estimates, resources, dependencies and communication plan.</w:t>
      </w:r>
    </w:p>
    <w:p>
      <w:pPr>
        <w:spacing w:before="0" w:after="80" w:line="300" w:lineRule="auto"/>
        <w:numPr>
          <w:ilvl w:val="0"/>
          <w:numId w:val="10"/>
        </w:numPr>
      </w:pPr>
      <w:r>
        <w:rPr>
          <w:rFonts w:ascii="Calibri" w:hAnsi="Calibri" w:eastAsia="Calibri"/>
        </w:rPr>
        <w:t>Estimate, schedule and fund assurance activities as a distinct delivery-plan line item, including QA, security, privacy, accessibility, recovery and compliance work. Class 3 and Class 4 client proposals must disclose this assurance effort during commercial scoping.</w:t>
      </w:r>
    </w:p>
    <w:p>
      <w:pPr>
        <w:spacing w:before="0" w:after="80" w:line="300" w:lineRule="auto"/>
        <w:numPr>
          <w:ilvl w:val="0"/>
          <w:numId w:val="10"/>
        </w:numPr>
      </w:pPr>
      <w:r>
        <w:rPr>
          <w:rFonts w:ascii="Calibri" w:hAnsi="Calibri" w:eastAsia="Calibri"/>
        </w:rPr>
        <w:t>Define system context, components, interfaces, technology stack, deployment topology and key quality tactics.</w:t>
      </w:r>
    </w:p>
    <w:p>
      <w:pPr>
        <w:spacing w:before="0" w:after="80" w:line="300" w:lineRule="auto"/>
        <w:numPr>
          <w:ilvl w:val="0"/>
          <w:numId w:val="10"/>
        </w:numPr>
      </w:pPr>
      <w:r>
        <w:rPr>
          <w:rFonts w:ascii="Calibri" w:hAnsi="Calibri" w:eastAsia="Calibri"/>
        </w:rPr>
        <w:t>Design user flows, interfaces, accessibility behaviour, data model, APIs, integrations and error handling.</w:t>
      </w:r>
    </w:p>
    <w:p>
      <w:pPr>
        <w:spacing w:before="0" w:after="80" w:line="300" w:lineRule="auto"/>
        <w:numPr>
          <w:ilvl w:val="0"/>
          <w:numId w:val="10"/>
        </w:numPr>
      </w:pPr>
      <w:r>
        <w:rPr>
          <w:rFonts w:ascii="Calibri" w:hAnsi="Calibri" w:eastAsia="Calibri"/>
        </w:rPr>
        <w:t>Perform threat modelling and privacy analysis; design authentication, authorisation, secrets, encryption, logging and recovery controls.</w:t>
      </w:r>
    </w:p>
    <w:p>
      <w:pPr>
        <w:spacing w:before="0" w:after="80" w:line="300" w:lineRule="auto"/>
        <w:numPr>
          <w:ilvl w:val="0"/>
          <w:numId w:val="10"/>
        </w:numPr>
      </w:pPr>
      <w:r>
        <w:rPr>
          <w:rFonts w:ascii="Calibri" w:hAnsi="Calibri" w:eastAsia="Calibri"/>
        </w:rPr>
        <w:t>Record significant architecture decisions and rejected alternatives.</w:t>
      </w:r>
    </w:p>
    <w:p>
      <w:pPr>
        <w:spacing w:before="0" w:after="80" w:line="300" w:lineRule="auto"/>
        <w:numPr>
          <w:ilvl w:val="0"/>
          <w:numId w:val="10"/>
        </w:numPr>
      </w:pPr>
      <w:r>
        <w:rPr>
          <w:rFonts w:ascii="Calibri" w:hAnsi="Calibri" w:eastAsia="Calibri"/>
        </w:rPr>
        <w:t>Define test strategy, environment plan, migration approach, observability, support model, backup and rollback concept.</w:t>
      </w:r>
    </w:p>
    <w:p>
      <w:pPr>
        <w:spacing w:before="0" w:after="80" w:line="300" w:lineRule="auto"/>
        <w:numPr>
          <w:ilvl w:val="0"/>
          <w:numId w:val="10"/>
        </w:numPr>
      </w:pPr>
      <w:r>
        <w:rPr>
          <w:rFonts w:ascii="Calibri" w:hAnsi="Calibri" w:eastAsia="Calibri"/>
        </w:rPr>
        <w:t>Validate risky assumptions with controlled prototypes or spikes before full implementation.</w:t>
      </w:r>
    </w:p>
    <w:p>
      <w:pPr>
        <w:pStyle w:val="Heading2"/>
      </w:pPr>
      <w:r>
        <w:t>Mandatory evidence</w:t>
      </w:r>
    </w:p>
    <w:p>
      <w:pPr>
        <w:spacing w:before="0" w:after="80" w:line="300" w:lineRule="auto"/>
        <w:numPr>
          <w:ilvl w:val="0"/>
          <w:numId w:val="10"/>
        </w:numPr>
      </w:pPr>
      <w:r>
        <w:rPr>
          <w:rFonts w:ascii="Calibri" w:hAnsi="Calibri" w:eastAsia="Calibri"/>
        </w:rPr>
        <w:t>Project delivery plan and updated estimates.</w:t>
      </w:r>
    </w:p>
    <w:p>
      <w:pPr>
        <w:spacing w:before="0" w:after="80" w:line="300" w:lineRule="auto"/>
        <w:numPr>
          <w:ilvl w:val="0"/>
          <w:numId w:val="10"/>
        </w:numPr>
      </w:pPr>
      <w:r>
        <w:rPr>
          <w:rFonts w:ascii="Calibri" w:hAnsi="Calibri" w:eastAsia="Calibri"/>
        </w:rPr>
        <w:t>Assurance effort, schedule and budget line; commercial disclosure for Class 3 and Class 4 client work.</w:t>
      </w:r>
    </w:p>
    <w:p>
      <w:pPr>
        <w:spacing w:before="0" w:after="80" w:line="300" w:lineRule="auto"/>
        <w:numPr>
          <w:ilvl w:val="0"/>
          <w:numId w:val="10"/>
        </w:numPr>
      </w:pPr>
      <w:r>
        <w:rPr>
          <w:rFonts w:ascii="Calibri" w:hAnsi="Calibri" w:eastAsia="Calibri"/>
        </w:rPr>
        <w:t>Architecture description with context, component, deployment and data-flow views.</w:t>
      </w:r>
    </w:p>
    <w:p>
      <w:pPr>
        <w:spacing w:before="0" w:after="80" w:line="300" w:lineRule="auto"/>
        <w:numPr>
          <w:ilvl w:val="0"/>
          <w:numId w:val="10"/>
        </w:numPr>
      </w:pPr>
      <w:r>
        <w:rPr>
          <w:rFonts w:ascii="Calibri" w:hAnsi="Calibri" w:eastAsia="Calibri"/>
        </w:rPr>
        <w:t>Architecture Decision Records for material choices.</w:t>
      </w:r>
    </w:p>
    <w:p>
      <w:pPr>
        <w:spacing w:before="0" w:after="80" w:line="300" w:lineRule="auto"/>
        <w:numPr>
          <w:ilvl w:val="0"/>
          <w:numId w:val="10"/>
        </w:numPr>
      </w:pPr>
      <w:r>
        <w:rPr>
          <w:rFonts w:ascii="Calibri" w:hAnsi="Calibri" w:eastAsia="Calibri"/>
        </w:rPr>
        <w:t>UX prototypes/designs, database model and API/interface specifications.</w:t>
      </w:r>
    </w:p>
    <w:p>
      <w:pPr>
        <w:spacing w:before="0" w:after="80" w:line="300" w:lineRule="auto"/>
        <w:numPr>
          <w:ilvl w:val="0"/>
          <w:numId w:val="10"/>
        </w:numPr>
      </w:pPr>
      <w:r>
        <w:rPr>
          <w:rFonts w:ascii="Calibri" w:hAnsi="Calibri" w:eastAsia="Calibri"/>
        </w:rPr>
        <w:t>Threat model, privacy assessment and security design.</w:t>
      </w:r>
    </w:p>
    <w:p>
      <w:pPr>
        <w:spacing w:before="0" w:after="80" w:line="300" w:lineRule="auto"/>
        <w:numPr>
          <w:ilvl w:val="0"/>
          <w:numId w:val="10"/>
        </w:numPr>
      </w:pPr>
      <w:r>
        <w:rPr>
          <w:rFonts w:ascii="Calibri" w:hAnsi="Calibri" w:eastAsia="Calibri"/>
        </w:rPr>
        <w:t>Test strategy, environment plan, deployment concept and operational requirements.</w:t>
      </w:r>
    </w:p>
    <w:p>
      <w:pPr>
        <w:spacing w:before="0" w:after="80" w:line="300" w:lineRule="auto"/>
        <w:numPr>
          <w:ilvl w:val="0"/>
          <w:numId w:val="10"/>
        </w:numPr>
      </w:pPr>
      <w:r>
        <w:rPr>
          <w:rFonts w:ascii="Calibri" w:hAnsi="Calibri" w:eastAsia="Calibri"/>
        </w:rPr>
        <w:t>G2 review and approval record.</w:t>
      </w:r>
    </w:p>
    <w:p>
      <w:pPr>
        <w:pStyle w:val="Heading2"/>
      </w:pPr>
      <w:r>
        <w:t>Exit criteria</w:t>
      </w:r>
    </w:p>
    <w:p>
      <w:pPr>
        <w:spacing w:before="0" w:after="80" w:line="300" w:lineRule="auto"/>
        <w:numPr>
          <w:ilvl w:val="0"/>
          <w:numId w:val="10"/>
        </w:numPr>
      </w:pPr>
      <w:r>
        <w:rPr>
          <w:rFonts w:ascii="Calibri" w:hAnsi="Calibri" w:eastAsia="Calibri"/>
        </w:rPr>
        <w:t>The design addresses the approved functional and non-functional requirements.</w:t>
      </w:r>
    </w:p>
    <w:p>
      <w:pPr>
        <w:spacing w:before="0" w:after="80" w:line="300" w:lineRule="auto"/>
        <w:numPr>
          <w:ilvl w:val="0"/>
          <w:numId w:val="10"/>
        </w:numPr>
      </w:pPr>
      <w:r>
        <w:rPr>
          <w:rFonts w:ascii="Calibri" w:hAnsi="Calibri" w:eastAsia="Calibri"/>
        </w:rPr>
        <w:t>Interfaces, data ownership, trust boundaries and failure modes are understood.</w:t>
      </w:r>
    </w:p>
    <w:p>
      <w:pPr>
        <w:spacing w:before="0" w:after="80" w:line="300" w:lineRule="auto"/>
        <w:numPr>
          <w:ilvl w:val="0"/>
          <w:numId w:val="10"/>
        </w:numPr>
      </w:pPr>
      <w:r>
        <w:rPr>
          <w:rFonts w:ascii="Calibri" w:hAnsi="Calibri" w:eastAsia="Calibri"/>
        </w:rPr>
        <w:t>Critical risks are reduced, accepted by an authorised owner or assigned to a dated action.</w:t>
      </w:r>
    </w:p>
    <w:p>
      <w:pPr>
        <w:spacing w:before="0" w:after="80" w:line="300" w:lineRule="auto"/>
        <w:numPr>
          <w:ilvl w:val="0"/>
          <w:numId w:val="10"/>
        </w:numPr>
      </w:pPr>
      <w:r>
        <w:rPr>
          <w:rFonts w:ascii="Calibri" w:hAnsi="Calibri" w:eastAsia="Calibri"/>
        </w:rPr>
        <w:t>Build, test, deployment and operational approaches are feasible and funded.</w:t>
      </w:r>
    </w:p>
    <w:p>
      <w:pPr>
        <w:pStyle w:val="Heading2"/>
      </w:pPr>
      <w:r>
        <w:t>Architecture expectations</w:t>
      </w:r>
    </w:p>
    <w:p>
      <w:pPr>
        <w:spacing w:before="0" w:after="80" w:line="300" w:lineRule="auto"/>
        <w:numPr>
          <w:ilvl w:val="0"/>
          <w:numId w:val="10"/>
        </w:numPr>
      </w:pPr>
      <w:r>
        <w:rPr>
          <w:rFonts w:ascii="Calibri" w:hAnsi="Calibri" w:eastAsia="Calibri"/>
          <w:b/>
        </w:rPr>
        <w:t xml:space="preserve">Modularity. </w:t>
      </w:r>
      <w:r>
        <w:rPr>
          <w:rFonts w:ascii="Calibri" w:hAnsi="Calibri" w:eastAsia="Calibri"/>
        </w:rPr>
        <w:t>Components have clear responsibilities and controlled interfaces.</w:t>
      </w:r>
    </w:p>
    <w:p>
      <w:pPr>
        <w:spacing w:before="0" w:after="80" w:line="300" w:lineRule="auto"/>
        <w:numPr>
          <w:ilvl w:val="0"/>
          <w:numId w:val="10"/>
        </w:numPr>
      </w:pPr>
      <w:r>
        <w:rPr>
          <w:rFonts w:ascii="Calibri" w:hAnsi="Calibri" w:eastAsia="Calibri"/>
          <w:b/>
        </w:rPr>
        <w:t xml:space="preserve">Least privilege. </w:t>
      </w:r>
      <w:r>
        <w:rPr>
          <w:rFonts w:ascii="Calibri" w:hAnsi="Calibri" w:eastAsia="Calibri"/>
        </w:rPr>
        <w:t>Users, services and administrators receive only the permissions needed.</w:t>
      </w:r>
    </w:p>
    <w:p>
      <w:pPr>
        <w:spacing w:before="0" w:after="80" w:line="300" w:lineRule="auto"/>
        <w:numPr>
          <w:ilvl w:val="0"/>
          <w:numId w:val="10"/>
        </w:numPr>
      </w:pPr>
      <w:r>
        <w:rPr>
          <w:rFonts w:ascii="Calibri" w:hAnsi="Calibri" w:eastAsia="Calibri"/>
          <w:b/>
        </w:rPr>
        <w:t xml:space="preserve">Failure containment. </w:t>
      </w:r>
      <w:r>
        <w:rPr>
          <w:rFonts w:ascii="Calibri" w:hAnsi="Calibri" w:eastAsia="Calibri"/>
        </w:rPr>
        <w:t>A component failure should not unnecessarily compromise the whole service or its data.</w:t>
      </w:r>
    </w:p>
    <w:p>
      <w:pPr>
        <w:spacing w:before="0" w:after="80" w:line="300" w:lineRule="auto"/>
        <w:numPr>
          <w:ilvl w:val="0"/>
          <w:numId w:val="10"/>
        </w:numPr>
      </w:pPr>
      <w:r>
        <w:rPr>
          <w:rFonts w:ascii="Calibri" w:hAnsi="Calibri" w:eastAsia="Calibri"/>
          <w:b/>
        </w:rPr>
        <w:t xml:space="preserve">Observability. </w:t>
      </w:r>
      <w:r>
        <w:rPr>
          <w:rFonts w:ascii="Calibri" w:hAnsi="Calibri" w:eastAsia="Calibri"/>
        </w:rPr>
        <w:t>Logs, metrics and traces support detection, diagnosis, audit and capacity management.</w:t>
      </w:r>
    </w:p>
    <w:p>
      <w:pPr>
        <w:spacing w:before="0" w:after="80" w:line="300" w:lineRule="auto"/>
        <w:numPr>
          <w:ilvl w:val="0"/>
          <w:numId w:val="10"/>
        </w:numPr>
      </w:pPr>
      <w:r>
        <w:rPr>
          <w:rFonts w:ascii="Calibri" w:hAnsi="Calibri" w:eastAsia="Calibri"/>
          <w:b/>
        </w:rPr>
        <w:t xml:space="preserve">Recoverability. </w:t>
      </w:r>
      <w:r>
        <w:rPr>
          <w:rFonts w:ascii="Calibri" w:hAnsi="Calibri" w:eastAsia="Calibri"/>
        </w:rPr>
        <w:t>Backups, redundancy, migration safety and rollback support approved recovery objectives.</w:t>
      </w:r>
    </w:p>
    <w:p>
      <w:pPr>
        <w:spacing w:before="0" w:after="80" w:line="300" w:lineRule="auto"/>
        <w:numPr>
          <w:ilvl w:val="0"/>
          <w:numId w:val="10"/>
        </w:numPr>
      </w:pPr>
      <w:r>
        <w:rPr>
          <w:rFonts w:ascii="Calibri" w:hAnsi="Calibri" w:eastAsia="Calibri"/>
          <w:b/>
        </w:rPr>
        <w:t xml:space="preserve">Technology fitness. </w:t>
      </w:r>
      <w:r>
        <w:rPr>
          <w:rFonts w:ascii="Calibri" w:hAnsi="Calibri" w:eastAsia="Calibri"/>
        </w:rPr>
        <w:t>Technology is selected for requirements, staff competence, lifecycle cost, supportability and risk rather than novelty.</w:t>
      </w:r>
    </w:p>
    <w:p>
      <w:pPr>
        <w:pStyle w:val="Heading1"/>
      </w:pPr>
      <w:r>
        <w:t>Stage: Implementation and integration</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Purpose: </w:t>
            </w:r>
            <w:r>
              <w:rPr>
                <w:rFonts w:ascii="Calibri" w:hAnsi="Calibri" w:eastAsia="Calibri"/>
                <w:color w:val="20252B"/>
                <w:sz w:val="20"/>
              </w:rPr>
              <w:t>Produce controlled, reviewed and testable software increments that conform to the approved design and engineering standards.</w:t>
            </w:r>
          </w:p>
        </w:tc>
      </w:tr>
    </w:tbl>
    <w:p>
      <w:pPr>
        <w:spacing w:after="20"/>
      </w:pPr>
    </w:p>
    <w:p>
      <w:pPr>
        <w:pStyle w:val="Heading2"/>
      </w:pPr>
      <w:r>
        <w:t>Required activities</w:t>
      </w:r>
    </w:p>
    <w:p>
      <w:pPr>
        <w:spacing w:before="0" w:after="80" w:line="300" w:lineRule="auto"/>
        <w:numPr>
          <w:ilvl w:val="0"/>
          <w:numId w:val="10"/>
        </w:numPr>
      </w:pPr>
      <w:r>
        <w:rPr>
          <w:rFonts w:ascii="Calibri" w:hAnsi="Calibri" w:eastAsia="Calibri"/>
        </w:rPr>
        <w:t>Create work on controlled branches or an approved trunk-based workflow and link changes to authorised work items.</w:t>
      </w:r>
    </w:p>
    <w:p>
      <w:pPr>
        <w:spacing w:before="0" w:after="80" w:line="300" w:lineRule="auto"/>
        <w:numPr>
          <w:ilvl w:val="0"/>
          <w:numId w:val="10"/>
        </w:numPr>
      </w:pPr>
      <w:r>
        <w:rPr>
          <w:rFonts w:ascii="Calibri" w:hAnsi="Calibri" w:eastAsia="Calibri"/>
        </w:rPr>
        <w:t>Follow language, framework, naming, error-handling, logging and documentation standards established for the project.</w:t>
      </w:r>
    </w:p>
    <w:p>
      <w:pPr>
        <w:spacing w:before="0" w:after="80" w:line="300" w:lineRule="auto"/>
        <w:numPr>
          <w:ilvl w:val="0"/>
          <w:numId w:val="10"/>
        </w:numPr>
      </w:pPr>
      <w:r>
        <w:rPr>
          <w:rFonts w:ascii="Calibri" w:hAnsi="Calibri" w:eastAsia="Calibri"/>
        </w:rPr>
        <w:t>Write unit tests with the code and add integration, contract or component tests when interfaces are affected.</w:t>
      </w:r>
    </w:p>
    <w:p>
      <w:pPr>
        <w:spacing w:before="0" w:after="80" w:line="300" w:lineRule="auto"/>
        <w:numPr>
          <w:ilvl w:val="0"/>
          <w:numId w:val="10"/>
        </w:numPr>
      </w:pPr>
      <w:r>
        <w:rPr>
          <w:rFonts w:ascii="Calibri" w:hAnsi="Calibri" w:eastAsia="Calibri"/>
        </w:rPr>
        <w:t>Use peer review for code, configuration, infrastructure and database changes; resolve review findings before merge.</w:t>
      </w:r>
    </w:p>
    <w:p>
      <w:pPr>
        <w:spacing w:before="0" w:after="80" w:line="300" w:lineRule="auto"/>
        <w:numPr>
          <w:ilvl w:val="0"/>
          <w:numId w:val="10"/>
        </w:numPr>
      </w:pPr>
      <w:r>
        <w:rPr>
          <w:rFonts w:ascii="Calibri" w:hAnsi="Calibri" w:eastAsia="Calibri"/>
        </w:rPr>
        <w:t>Run automated formatting, linting, build, test, secret, dependency and security checks in continuous integration.</w:t>
      </w:r>
    </w:p>
    <w:p>
      <w:pPr>
        <w:spacing w:before="0" w:after="80" w:line="300" w:lineRule="auto"/>
        <w:numPr>
          <w:ilvl w:val="0"/>
          <w:numId w:val="10"/>
        </w:numPr>
      </w:pPr>
      <w:r>
        <w:rPr>
          <w:rFonts w:ascii="Calibri" w:hAnsi="Calibri" w:eastAsia="Calibri"/>
        </w:rPr>
        <w:t>Keep secrets, production data and personal credentials out of source code, test fixtures, logs and collaboration tools.</w:t>
      </w:r>
    </w:p>
    <w:p>
      <w:pPr>
        <w:spacing w:before="0" w:after="80" w:line="300" w:lineRule="auto"/>
        <w:numPr>
          <w:ilvl w:val="0"/>
          <w:numId w:val="10"/>
        </w:numPr>
      </w:pPr>
      <w:r>
        <w:rPr>
          <w:rFonts w:ascii="Calibri" w:hAnsi="Calibri" w:eastAsia="Calibri"/>
        </w:rPr>
        <w:t>Update architecture, API, data, operational and user documentation when the change affects them.</w:t>
      </w:r>
    </w:p>
    <w:p>
      <w:pPr>
        <w:pStyle w:val="Heading2"/>
      </w:pPr>
      <w:r>
        <w:t>Mandatory evidence</w:t>
      </w:r>
    </w:p>
    <w:p>
      <w:pPr>
        <w:spacing w:before="0" w:after="80" w:line="300" w:lineRule="auto"/>
        <w:numPr>
          <w:ilvl w:val="0"/>
          <w:numId w:val="10"/>
        </w:numPr>
      </w:pPr>
      <w:r>
        <w:rPr>
          <w:rFonts w:ascii="Calibri" w:hAnsi="Calibri" w:eastAsia="Calibri"/>
        </w:rPr>
        <w:t>Version-controlled source code, configuration and infrastructure definitions.</w:t>
      </w:r>
    </w:p>
    <w:p>
      <w:pPr>
        <w:spacing w:before="0" w:after="80" w:line="300" w:lineRule="auto"/>
        <w:numPr>
          <w:ilvl w:val="0"/>
          <w:numId w:val="10"/>
        </w:numPr>
      </w:pPr>
      <w:r>
        <w:rPr>
          <w:rFonts w:ascii="Calibri" w:hAnsi="Calibri" w:eastAsia="Calibri"/>
        </w:rPr>
        <w:t>Linked work items, commits and pull/merge requests with reviewer evidence.</w:t>
      </w:r>
    </w:p>
    <w:p>
      <w:pPr>
        <w:spacing w:before="0" w:after="80" w:line="300" w:lineRule="auto"/>
        <w:numPr>
          <w:ilvl w:val="0"/>
          <w:numId w:val="10"/>
        </w:numPr>
      </w:pPr>
      <w:r>
        <w:rPr>
          <w:rFonts w:ascii="Calibri" w:hAnsi="Calibri" w:eastAsia="Calibri"/>
        </w:rPr>
        <w:t>Successful automated build and test results.</w:t>
      </w:r>
    </w:p>
    <w:p>
      <w:pPr>
        <w:spacing w:before="0" w:after="80" w:line="300" w:lineRule="auto"/>
        <w:numPr>
          <w:ilvl w:val="0"/>
          <w:numId w:val="10"/>
        </w:numPr>
      </w:pPr>
      <w:r>
        <w:rPr>
          <w:rFonts w:ascii="Calibri" w:hAnsi="Calibri" w:eastAsia="Calibri"/>
        </w:rPr>
        <w:t>Dependency and licence inventory; software bill of materials where required.</w:t>
      </w:r>
    </w:p>
    <w:p>
      <w:pPr>
        <w:spacing w:before="0" w:after="80" w:line="300" w:lineRule="auto"/>
        <w:numPr>
          <w:ilvl w:val="0"/>
          <w:numId w:val="10"/>
        </w:numPr>
      </w:pPr>
      <w:r>
        <w:rPr>
          <w:rFonts w:ascii="Calibri" w:hAnsi="Calibri" w:eastAsia="Calibri"/>
        </w:rPr>
        <w:t>Known-defect, technical-debt and deviation records.</w:t>
      </w:r>
    </w:p>
    <w:p>
      <w:pPr>
        <w:spacing w:before="0" w:after="80" w:line="300" w:lineRule="auto"/>
        <w:numPr>
          <w:ilvl w:val="0"/>
          <w:numId w:val="10"/>
        </w:numPr>
      </w:pPr>
      <w:r>
        <w:rPr>
          <w:rFonts w:ascii="Calibri" w:hAnsi="Calibri" w:eastAsia="Calibri"/>
        </w:rPr>
        <w:t>G3 code-complete decision.</w:t>
      </w:r>
    </w:p>
    <w:p>
      <w:pPr>
        <w:pStyle w:val="Heading2"/>
      </w:pPr>
      <w:r>
        <w:t>Exit criteria</w:t>
      </w:r>
    </w:p>
    <w:p>
      <w:pPr>
        <w:spacing w:before="0" w:after="80" w:line="300" w:lineRule="auto"/>
        <w:numPr>
          <w:ilvl w:val="0"/>
          <w:numId w:val="10"/>
        </w:numPr>
      </w:pPr>
      <w:r>
        <w:rPr>
          <w:rFonts w:ascii="Calibri" w:hAnsi="Calibri" w:eastAsia="Calibri"/>
        </w:rPr>
        <w:t>All committed work is merged through the approved review path.</w:t>
      </w:r>
    </w:p>
    <w:p>
      <w:pPr>
        <w:spacing w:before="0" w:after="80" w:line="300" w:lineRule="auto"/>
        <w:numPr>
          <w:ilvl w:val="0"/>
          <w:numId w:val="10"/>
        </w:numPr>
      </w:pPr>
      <w:r>
        <w:rPr>
          <w:rFonts w:ascii="Calibri" w:hAnsi="Calibri" w:eastAsia="Calibri"/>
        </w:rPr>
        <w:t>The build is reproducible and automated checks pass or have approved exceptions.</w:t>
      </w:r>
    </w:p>
    <w:p>
      <w:pPr>
        <w:spacing w:before="0" w:after="80" w:line="300" w:lineRule="auto"/>
        <w:numPr>
          <w:ilvl w:val="0"/>
          <w:numId w:val="10"/>
        </w:numPr>
      </w:pPr>
      <w:r>
        <w:rPr>
          <w:rFonts w:ascii="Calibri" w:hAnsi="Calibri" w:eastAsia="Calibri"/>
        </w:rPr>
        <w:t>No unresolved critical defect, exposed secret or prohibited component is known.</w:t>
      </w:r>
    </w:p>
    <w:p>
      <w:pPr>
        <w:spacing w:before="0" w:after="80" w:line="300" w:lineRule="auto"/>
        <w:numPr>
          <w:ilvl w:val="0"/>
          <w:numId w:val="10"/>
        </w:numPr>
      </w:pPr>
      <w:r>
        <w:rPr>
          <w:rFonts w:ascii="Calibri" w:hAnsi="Calibri" w:eastAsia="Calibri"/>
        </w:rPr>
        <w:t>The test environment contains a controlled, identifiable release candidate.</w:t>
      </w:r>
    </w:p>
    <w:p>
      <w:pPr>
        <w:pStyle w:val="Heading2"/>
      </w:pPr>
      <w:r>
        <w:t>Source-code and review standard</w:t>
      </w:r>
    </w:p>
    <w:tbl>
      <w:tblPr>
        <w:tblLook w:firstColumn="1" w:firstRow="1" w:lastColumn="0" w:lastRow="0" w:noHBand="0" w:noVBand="1" w:val="04A0"/>
        <w:tblStyle w:val="TableGrid"/>
        <w:jc w:val="left"/>
        <w:tblW w:w="9360" w:type="dxa"/>
        <w:tblInd w:w="120" w:type="dxa"/>
        <w:tblLayout w:type="fixed"/>
      </w:tblPr>
      <w:tblGrid>
        <w:gridCol w:w="2100"/>
        <w:gridCol w:w="7260"/>
      </w:tblGrid>
      <w:tr>
        <w:trPr>
          <w:cantSplit/>
          <w:tblHeader w:val="true"/>
        </w:trPr>
        <w:tc>
          <w:tcPr>
            <w:tcW w:type="dxa" w:w="21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Control</w:t>
            </w:r>
          </w:p>
        </w:tc>
        <w:tc>
          <w:tcPr>
            <w:tcW w:type="dxa" w:w="72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Institutional minimum</w:t>
            </w:r>
          </w:p>
        </w:tc>
      </w:tr>
      <w:tr>
        <w:trPr>
          <w:cantSplit/>
        </w:trPr>
        <w:tc>
          <w:tcPr>
            <w:tcW w:type="dxa" w:w="2100"/>
            <w:tcMar>
              <w:top w:w="80" w:type="dxa"/>
              <w:start w:w="120" w:type="dxa"/>
              <w:bottom w:w="80" w:type="dxa"/>
              <w:end w:w="120" w:type="dxa"/>
            </w:tcMar>
            <w:vAlign w:val="top"/>
          </w:tcPr>
          <w:p>
            <w:pPr>
              <w:spacing w:after="0" w:line="259" w:lineRule="auto"/>
            </w:pPr>
            <w:r>
              <w:rPr>
                <w:rFonts w:ascii="Calibri" w:hAnsi="Calibri" w:eastAsia="Calibri"/>
                <w:b/>
                <w:color w:val="20252B"/>
                <w:sz w:val="17"/>
              </w:rPr>
              <w:t>Repository</w:t>
            </w:r>
          </w:p>
        </w:tc>
        <w:tc>
          <w:tcPr>
            <w:tcW w:type="dxa" w:w="7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Institution-approved version control with named ownership, access review and backup/retention appropriate to risk.</w:t>
            </w:r>
          </w:p>
        </w:tc>
      </w:tr>
      <w:tr>
        <w:trPr>
          <w:cantSplit/>
        </w:trPr>
        <w:tc>
          <w:tcPr>
            <w:tcW w:type="dxa" w:w="2100"/>
            <w:tcMar>
              <w:top w:w="80" w:type="dxa"/>
              <w:start w:w="120" w:type="dxa"/>
              <w:bottom w:w="80" w:type="dxa"/>
              <w:end w:w="120" w:type="dxa"/>
            </w:tcMar>
            <w:vAlign w:val="top"/>
          </w:tcPr>
          <w:p>
            <w:pPr>
              <w:spacing w:after="0" w:line="259" w:lineRule="auto"/>
            </w:pPr>
            <w:r>
              <w:rPr>
                <w:rFonts w:ascii="Calibri" w:hAnsi="Calibri" w:eastAsia="Calibri"/>
                <w:b/>
                <w:color w:val="20252B"/>
                <w:sz w:val="17"/>
              </w:rPr>
              <w:t>Protected branches</w:t>
            </w:r>
          </w:p>
        </w:tc>
        <w:tc>
          <w:tcPr>
            <w:tcW w:type="dxa" w:w="7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Direct changes to protected release branches are blocked; merging requires successful checks and review.</w:t>
            </w:r>
          </w:p>
        </w:tc>
      </w:tr>
      <w:tr>
        <w:trPr>
          <w:cantSplit/>
        </w:trPr>
        <w:tc>
          <w:tcPr>
            <w:tcW w:type="dxa" w:w="2100"/>
            <w:tcMar>
              <w:top w:w="80" w:type="dxa"/>
              <w:start w:w="120" w:type="dxa"/>
              <w:bottom w:w="80" w:type="dxa"/>
              <w:end w:w="120" w:type="dxa"/>
            </w:tcMar>
            <w:vAlign w:val="top"/>
          </w:tcPr>
          <w:p>
            <w:pPr>
              <w:spacing w:after="0" w:line="259" w:lineRule="auto"/>
            </w:pPr>
            <w:r>
              <w:rPr>
                <w:rFonts w:ascii="Calibri" w:hAnsi="Calibri" w:eastAsia="Calibri"/>
                <w:b/>
                <w:color w:val="20252B"/>
                <w:sz w:val="17"/>
              </w:rPr>
              <w:t>Peer review</w:t>
            </w:r>
          </w:p>
        </w:tc>
        <w:tc>
          <w:tcPr>
            <w:tcW w:type="dxa" w:w="7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At least one competent reviewer; two-person or specialist review for critical security, data, payment or infrastructure changes.</w:t>
            </w:r>
          </w:p>
        </w:tc>
      </w:tr>
      <w:tr>
        <w:trPr>
          <w:cantSplit/>
        </w:trPr>
        <w:tc>
          <w:tcPr>
            <w:tcW w:type="dxa" w:w="2100"/>
            <w:tcMar>
              <w:top w:w="80" w:type="dxa"/>
              <w:start w:w="120" w:type="dxa"/>
              <w:bottom w:w="80" w:type="dxa"/>
              <w:end w:w="120" w:type="dxa"/>
            </w:tcMar>
            <w:vAlign w:val="top"/>
          </w:tcPr>
          <w:p>
            <w:pPr>
              <w:spacing w:after="0" w:line="259" w:lineRule="auto"/>
            </w:pPr>
            <w:r>
              <w:rPr>
                <w:rFonts w:ascii="Calibri" w:hAnsi="Calibri" w:eastAsia="Calibri"/>
                <w:b/>
                <w:color w:val="20252B"/>
                <w:sz w:val="17"/>
              </w:rPr>
              <w:t>Commit/change identity</w:t>
            </w:r>
          </w:p>
        </w:tc>
        <w:tc>
          <w:tcPr>
            <w:tcW w:type="dxa" w:w="7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Changes identify the author, purpose and linked requirement, defect or approved maintenance task.</w:t>
            </w:r>
          </w:p>
        </w:tc>
      </w:tr>
      <w:tr>
        <w:trPr>
          <w:cantSplit/>
        </w:trPr>
        <w:tc>
          <w:tcPr>
            <w:tcW w:type="dxa" w:w="2100"/>
            <w:tcMar>
              <w:top w:w="80" w:type="dxa"/>
              <w:start w:w="120" w:type="dxa"/>
              <w:bottom w:w="80" w:type="dxa"/>
              <w:end w:w="120" w:type="dxa"/>
            </w:tcMar>
            <w:vAlign w:val="top"/>
          </w:tcPr>
          <w:p>
            <w:pPr>
              <w:spacing w:after="0" w:line="259" w:lineRule="auto"/>
            </w:pPr>
            <w:r>
              <w:rPr>
                <w:rFonts w:ascii="Calibri" w:hAnsi="Calibri" w:eastAsia="Calibri"/>
                <w:b/>
                <w:color w:val="20252B"/>
                <w:sz w:val="17"/>
              </w:rPr>
              <w:t>Secrets</w:t>
            </w:r>
          </w:p>
        </w:tc>
        <w:tc>
          <w:tcPr>
            <w:tcW w:type="dxa" w:w="7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Secrets use an approved secret store and are rotated promptly if exposure is suspected.</w:t>
            </w:r>
          </w:p>
        </w:tc>
      </w:tr>
      <w:tr>
        <w:trPr>
          <w:cantSplit/>
        </w:trPr>
        <w:tc>
          <w:tcPr>
            <w:tcW w:type="dxa" w:w="2100"/>
            <w:tcMar>
              <w:top w:w="80" w:type="dxa"/>
              <w:start w:w="120" w:type="dxa"/>
              <w:bottom w:w="80" w:type="dxa"/>
              <w:end w:w="120" w:type="dxa"/>
            </w:tcMar>
            <w:vAlign w:val="top"/>
          </w:tcPr>
          <w:p>
            <w:pPr>
              <w:spacing w:after="0" w:line="259" w:lineRule="auto"/>
            </w:pPr>
            <w:r>
              <w:rPr>
                <w:rFonts w:ascii="Calibri" w:hAnsi="Calibri" w:eastAsia="Calibri"/>
                <w:b/>
                <w:color w:val="20252B"/>
                <w:sz w:val="17"/>
              </w:rPr>
              <w:t>Dependencies</w:t>
            </w:r>
          </w:p>
        </w:tc>
        <w:tc>
          <w:tcPr>
            <w:tcW w:type="dxa" w:w="7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Versions are controlled; provenance, maintenance status, known vulnerabilities and licence obligations are assessed.</w:t>
            </w:r>
          </w:p>
        </w:tc>
      </w:tr>
      <w:tr>
        <w:trPr>
          <w:cantSplit/>
        </w:trPr>
        <w:tc>
          <w:tcPr>
            <w:tcW w:type="dxa" w:w="2100"/>
            <w:tcMar>
              <w:top w:w="80" w:type="dxa"/>
              <w:start w:w="120" w:type="dxa"/>
              <w:bottom w:w="80" w:type="dxa"/>
              <w:end w:w="120" w:type="dxa"/>
            </w:tcMar>
            <w:vAlign w:val="top"/>
          </w:tcPr>
          <w:p>
            <w:pPr>
              <w:spacing w:after="0" w:line="259" w:lineRule="auto"/>
            </w:pPr>
            <w:r>
              <w:rPr>
                <w:rFonts w:ascii="Calibri" w:hAnsi="Calibri" w:eastAsia="Calibri"/>
                <w:b/>
                <w:color w:val="20252B"/>
                <w:sz w:val="17"/>
              </w:rPr>
              <w:t>Generated code</w:t>
            </w:r>
          </w:p>
        </w:tc>
        <w:tc>
          <w:tcPr>
            <w:tcW w:type="dxa" w:w="72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AI- or tool-generated code is treated as untrusted input until a competent human reviews, tests and accepts it.</w:t>
            </w:r>
          </w:p>
        </w:tc>
      </w:tr>
    </w:tbl>
    <w:p>
      <w:pPr>
        <w:spacing w:after="20"/>
      </w:pPr>
    </w:p>
    <w:p>
      <w:pPr>
        <w:pStyle w:val="Heading1"/>
      </w:pPr>
      <w:r>
        <w:t>Stage: Verification, validation and acceptance</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Purpose: </w:t>
            </w:r>
            <w:r>
              <w:rPr>
                <w:rFonts w:ascii="Calibri" w:hAnsi="Calibri" w:eastAsia="Calibri"/>
                <w:color w:val="20252B"/>
                <w:sz w:val="20"/>
              </w:rPr>
              <w:t>Demonstrate that the release candidate meets its requirements, is fit for intended use and has an acceptable level of residual risk.</w:t>
            </w:r>
          </w:p>
        </w:tc>
      </w:tr>
    </w:tbl>
    <w:p>
      <w:pPr>
        <w:spacing w:after="20"/>
      </w:pPr>
    </w:p>
    <w:p>
      <w:pPr>
        <w:pStyle w:val="Heading2"/>
      </w:pPr>
      <w:r>
        <w:t>Required activities</w:t>
      </w:r>
    </w:p>
    <w:p>
      <w:pPr>
        <w:spacing w:before="0" w:after="80" w:line="300" w:lineRule="auto"/>
        <w:numPr>
          <w:ilvl w:val="0"/>
          <w:numId w:val="10"/>
        </w:numPr>
      </w:pPr>
      <w:r>
        <w:rPr>
          <w:rFonts w:ascii="Calibri" w:hAnsi="Calibri" w:eastAsia="Calibri"/>
        </w:rPr>
        <w:t>Maintain a risk-based test plan that covers normal, boundary, negative, failure and recovery behaviour.</w:t>
      </w:r>
    </w:p>
    <w:p>
      <w:pPr>
        <w:spacing w:before="0" w:after="80" w:line="300" w:lineRule="auto"/>
        <w:numPr>
          <w:ilvl w:val="0"/>
          <w:numId w:val="10"/>
        </w:numPr>
      </w:pPr>
      <w:r>
        <w:rPr>
          <w:rFonts w:ascii="Calibri" w:hAnsi="Calibri" w:eastAsia="Calibri"/>
        </w:rPr>
        <w:t>Execute unit, integration, contract, system, regression and user-acceptance tests as applicable.</w:t>
      </w:r>
    </w:p>
    <w:p>
      <w:pPr>
        <w:spacing w:before="0" w:after="80" w:line="300" w:lineRule="auto"/>
        <w:numPr>
          <w:ilvl w:val="0"/>
          <w:numId w:val="10"/>
        </w:numPr>
      </w:pPr>
      <w:r>
        <w:rPr>
          <w:rFonts w:ascii="Calibri" w:hAnsi="Calibri" w:eastAsia="Calibri"/>
        </w:rPr>
        <w:t>Perform security, privacy, performance, accessibility, compatibility, migration, backup/restore and resilience testing according to risk.</w:t>
      </w:r>
    </w:p>
    <w:p>
      <w:pPr>
        <w:spacing w:before="0" w:after="80" w:line="300" w:lineRule="auto"/>
        <w:numPr>
          <w:ilvl w:val="0"/>
          <w:numId w:val="10"/>
        </w:numPr>
      </w:pPr>
      <w:r>
        <w:rPr>
          <w:rFonts w:ascii="Calibri" w:hAnsi="Calibri" w:eastAsia="Calibri"/>
        </w:rPr>
        <w:t>Use production-like environments and representative, lawful test data without uncontrolled production-data copying.</w:t>
      </w:r>
    </w:p>
    <w:p>
      <w:pPr>
        <w:spacing w:before="0" w:after="80" w:line="300" w:lineRule="auto"/>
        <w:numPr>
          <w:ilvl w:val="0"/>
          <w:numId w:val="10"/>
        </w:numPr>
      </w:pPr>
      <w:r>
        <w:rPr>
          <w:rFonts w:ascii="Calibri" w:hAnsi="Calibri" w:eastAsia="Calibri"/>
        </w:rPr>
        <w:t>Record actual results, evidence, environment, build identifier and tester; log and triage every material failure.</w:t>
      </w:r>
    </w:p>
    <w:p>
      <w:pPr>
        <w:spacing w:before="0" w:after="80" w:line="300" w:lineRule="auto"/>
        <w:numPr>
          <w:ilvl w:val="0"/>
          <w:numId w:val="10"/>
        </w:numPr>
      </w:pPr>
      <w:r>
        <w:rPr>
          <w:rFonts w:ascii="Calibri" w:hAnsi="Calibri" w:eastAsia="Calibri"/>
        </w:rPr>
        <w:t>Retest corrections and run targeted regression tests.</w:t>
      </w:r>
    </w:p>
    <w:p>
      <w:pPr>
        <w:spacing w:before="0" w:after="80" w:line="300" w:lineRule="auto"/>
        <w:numPr>
          <w:ilvl w:val="0"/>
          <w:numId w:val="10"/>
        </w:numPr>
      </w:pPr>
      <w:r>
        <w:rPr>
          <w:rFonts w:ascii="Calibri" w:hAnsi="Calibri" w:eastAsia="Calibri"/>
        </w:rPr>
        <w:t>Obtain acceptance from the authorised product owner or client representative.</w:t>
      </w:r>
    </w:p>
    <w:p>
      <w:pPr>
        <w:pStyle w:val="Heading2"/>
      </w:pPr>
      <w:r>
        <w:t>Mandatory evidence</w:t>
      </w:r>
    </w:p>
    <w:p>
      <w:pPr>
        <w:spacing w:before="0" w:after="80" w:line="300" w:lineRule="auto"/>
        <w:numPr>
          <w:ilvl w:val="0"/>
          <w:numId w:val="10"/>
        </w:numPr>
      </w:pPr>
      <w:r>
        <w:rPr>
          <w:rFonts w:ascii="Calibri" w:hAnsi="Calibri" w:eastAsia="Calibri"/>
        </w:rPr>
        <w:t>Approved test plan and traceability to requirements.</w:t>
      </w:r>
    </w:p>
    <w:p>
      <w:pPr>
        <w:spacing w:before="0" w:after="80" w:line="300" w:lineRule="auto"/>
        <w:numPr>
          <w:ilvl w:val="0"/>
          <w:numId w:val="10"/>
        </w:numPr>
      </w:pPr>
      <w:r>
        <w:rPr>
          <w:rFonts w:ascii="Calibri" w:hAnsi="Calibri" w:eastAsia="Calibri"/>
        </w:rPr>
        <w:t>Test cases, automated suites, actual results and evidence.</w:t>
      </w:r>
    </w:p>
    <w:p>
      <w:pPr>
        <w:spacing w:before="0" w:after="80" w:line="300" w:lineRule="auto"/>
        <w:numPr>
          <w:ilvl w:val="0"/>
          <w:numId w:val="10"/>
        </w:numPr>
      </w:pPr>
      <w:r>
        <w:rPr>
          <w:rFonts w:ascii="Calibri" w:hAnsi="Calibri" w:eastAsia="Calibri"/>
        </w:rPr>
        <w:t>Defect register with severity, disposition, owner and retest status.</w:t>
      </w:r>
    </w:p>
    <w:p>
      <w:pPr>
        <w:spacing w:before="0" w:after="80" w:line="300" w:lineRule="auto"/>
        <w:numPr>
          <w:ilvl w:val="0"/>
          <w:numId w:val="10"/>
        </w:numPr>
      </w:pPr>
      <w:r>
        <w:rPr>
          <w:rFonts w:ascii="Calibri" w:hAnsi="Calibri" w:eastAsia="Calibri"/>
        </w:rPr>
        <w:t>Security/privacy scan and review records.</w:t>
      </w:r>
    </w:p>
    <w:p>
      <w:pPr>
        <w:spacing w:before="0" w:after="80" w:line="300" w:lineRule="auto"/>
        <w:numPr>
          <w:ilvl w:val="0"/>
          <w:numId w:val="10"/>
        </w:numPr>
      </w:pPr>
      <w:r>
        <w:rPr>
          <w:rFonts w:ascii="Calibri" w:hAnsi="Calibri" w:eastAsia="Calibri"/>
        </w:rPr>
        <w:t>Performance, accessibility, recovery and migration results where applicable.</w:t>
      </w:r>
    </w:p>
    <w:p>
      <w:pPr>
        <w:spacing w:before="0" w:after="80" w:line="300" w:lineRule="auto"/>
        <w:numPr>
          <w:ilvl w:val="0"/>
          <w:numId w:val="10"/>
        </w:numPr>
      </w:pPr>
      <w:r>
        <w:rPr>
          <w:rFonts w:ascii="Calibri" w:hAnsi="Calibri" w:eastAsia="Calibri"/>
        </w:rPr>
        <w:t>User-acceptance record and G4 recommendation.</w:t>
      </w:r>
    </w:p>
    <w:p>
      <w:pPr>
        <w:pStyle w:val="Heading2"/>
      </w:pPr>
      <w:r>
        <w:t>Exit criteria</w:t>
      </w:r>
    </w:p>
    <w:p>
      <w:pPr>
        <w:spacing w:before="0" w:after="80" w:line="300" w:lineRule="auto"/>
        <w:numPr>
          <w:ilvl w:val="0"/>
          <w:numId w:val="10"/>
        </w:numPr>
      </w:pPr>
      <w:r>
        <w:rPr>
          <w:rFonts w:ascii="Calibri" w:hAnsi="Calibri" w:eastAsia="Calibri"/>
        </w:rPr>
        <w:t>Every release requirement has passed evidence or an explicitly accepted deviation.</w:t>
      </w:r>
    </w:p>
    <w:p>
      <w:pPr>
        <w:spacing w:before="0" w:after="80" w:line="300" w:lineRule="auto"/>
        <w:numPr>
          <w:ilvl w:val="0"/>
          <w:numId w:val="10"/>
        </w:numPr>
      </w:pPr>
      <w:r>
        <w:rPr>
          <w:rFonts w:ascii="Calibri" w:hAnsi="Calibri" w:eastAsia="Calibri"/>
        </w:rPr>
        <w:t>No open Severity 1 or unaccepted Severity 2 defect remains.</w:t>
      </w:r>
    </w:p>
    <w:p>
      <w:pPr>
        <w:spacing w:before="0" w:after="80" w:line="300" w:lineRule="auto"/>
        <w:numPr>
          <w:ilvl w:val="0"/>
          <w:numId w:val="10"/>
        </w:numPr>
      </w:pPr>
      <w:r>
        <w:rPr>
          <w:rFonts w:ascii="Calibri" w:hAnsi="Calibri" w:eastAsia="Calibri"/>
        </w:rPr>
        <w:t>Security, privacy and operational risks meet the project release criteria.</w:t>
      </w:r>
    </w:p>
    <w:p>
      <w:pPr>
        <w:spacing w:before="0" w:after="80" w:line="300" w:lineRule="auto"/>
        <w:numPr>
          <w:ilvl w:val="0"/>
          <w:numId w:val="10"/>
        </w:numPr>
      </w:pPr>
      <w:r>
        <w:rPr>
          <w:rFonts w:ascii="Calibri" w:hAnsi="Calibri" w:eastAsia="Calibri"/>
        </w:rPr>
        <w:t>The release candidate and evidence set are uniquely identified and protected from uncontrolled change.</w:t>
      </w:r>
    </w:p>
    <w:p>
      <w:pPr>
        <w:pStyle w:val="Heading2"/>
      </w:pPr>
      <w:r>
        <w:t>Defect severity and release policy</w:t>
      </w:r>
    </w:p>
    <w:tbl>
      <w:tblPr>
        <w:tblLook w:firstColumn="1" w:firstRow="1" w:lastColumn="0" w:lastRow="0" w:noHBand="0" w:noVBand="1" w:val="04A0"/>
        <w:tblStyle w:val="TableGrid"/>
        <w:jc w:val="left"/>
        <w:tblW w:w="9360" w:type="dxa"/>
        <w:tblInd w:w="120" w:type="dxa"/>
        <w:tblLayout w:type="fixed"/>
      </w:tblPr>
      <w:tblGrid>
        <w:gridCol w:w="1550"/>
        <w:gridCol w:w="4350"/>
        <w:gridCol w:w="3460"/>
      </w:tblGrid>
      <w:tr>
        <w:trPr>
          <w:cantSplit/>
          <w:tblHeader w:val="true"/>
        </w:trPr>
        <w:tc>
          <w:tcPr>
            <w:tcW w:type="dxa" w:w="15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Severity</w:t>
            </w:r>
          </w:p>
        </w:tc>
        <w:tc>
          <w:tcPr>
            <w:tcW w:type="dxa" w:w="43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Definition</w:t>
            </w:r>
          </w:p>
        </w:tc>
        <w:tc>
          <w:tcPr>
            <w:tcW w:type="dxa" w:w="34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Default release treatment</w:t>
            </w:r>
          </w:p>
        </w:tc>
      </w:tr>
      <w:tr>
        <w:trPr>
          <w:cantSplit/>
        </w:trPr>
        <w:tc>
          <w:tcPr>
            <w:tcW w:type="dxa" w:w="1550"/>
            <w:tcMar>
              <w:top w:w="80" w:type="dxa"/>
              <w:start w:w="120" w:type="dxa"/>
              <w:bottom w:w="80" w:type="dxa"/>
              <w:end w:w="120" w:type="dxa"/>
            </w:tcMar>
            <w:vAlign w:val="top"/>
          </w:tcPr>
          <w:p>
            <w:pPr>
              <w:spacing w:after="0" w:line="259" w:lineRule="auto"/>
            </w:pPr>
            <w:r>
              <w:rPr>
                <w:rFonts w:ascii="Calibri" w:hAnsi="Calibri" w:eastAsia="Calibri"/>
                <w:b/>
                <w:color w:val="20252B"/>
                <w:sz w:val="16"/>
              </w:rPr>
              <w:t>S1 — Critical</w:t>
            </w:r>
          </w:p>
        </w:tc>
        <w:tc>
          <w:tcPr>
            <w:tcW w:type="dxa" w:w="435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Data exposure, active compromise, unsafe outcome, major corruption or complete loss of a critical service with no reasonable workaround</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Release blocked; contain immediately and escalate to management/security.</w:t>
            </w:r>
          </w:p>
        </w:tc>
      </w:tr>
      <w:tr>
        <w:trPr>
          <w:cantSplit/>
        </w:trPr>
        <w:tc>
          <w:tcPr>
            <w:tcW w:type="dxa" w:w="1550"/>
            <w:tcMar>
              <w:top w:w="80" w:type="dxa"/>
              <w:start w:w="120" w:type="dxa"/>
              <w:bottom w:w="80" w:type="dxa"/>
              <w:end w:w="120" w:type="dxa"/>
            </w:tcMar>
            <w:vAlign w:val="top"/>
          </w:tcPr>
          <w:p>
            <w:pPr>
              <w:spacing w:after="0" w:line="259" w:lineRule="auto"/>
            </w:pPr>
            <w:r>
              <w:rPr>
                <w:rFonts w:ascii="Calibri" w:hAnsi="Calibri" w:eastAsia="Calibri"/>
                <w:b/>
                <w:color w:val="20252B"/>
                <w:sz w:val="16"/>
              </w:rPr>
              <w:t>S2 — High</w:t>
            </w:r>
          </w:p>
        </w:tc>
        <w:tc>
          <w:tcPr>
            <w:tcW w:type="dxa" w:w="435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Major function unavailable, significant security/reliability failure or serious business impact with limited workaround</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Release normally blocked; exception requires documented residual-risk acceptance.</w:t>
            </w:r>
          </w:p>
        </w:tc>
      </w:tr>
      <w:tr>
        <w:trPr>
          <w:cantSplit/>
        </w:trPr>
        <w:tc>
          <w:tcPr>
            <w:tcW w:type="dxa" w:w="1550"/>
            <w:tcMar>
              <w:top w:w="80" w:type="dxa"/>
              <w:start w:w="120" w:type="dxa"/>
              <w:bottom w:w="80" w:type="dxa"/>
              <w:end w:w="120" w:type="dxa"/>
            </w:tcMar>
            <w:vAlign w:val="top"/>
          </w:tcPr>
          <w:p>
            <w:pPr>
              <w:spacing w:after="0" w:line="259" w:lineRule="auto"/>
            </w:pPr>
            <w:r>
              <w:rPr>
                <w:rFonts w:ascii="Calibri" w:hAnsi="Calibri" w:eastAsia="Calibri"/>
                <w:b/>
                <w:color w:val="20252B"/>
                <w:sz w:val="16"/>
              </w:rPr>
              <w:t>S3 — Medium</w:t>
            </w:r>
          </w:p>
        </w:tc>
        <w:tc>
          <w:tcPr>
            <w:tcW w:type="dxa" w:w="435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Function works incorrectly or inefficiently but a practical workaround exists and impact is limited</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May release when recorded, owned, scheduled and accepted by product/service owners.</w:t>
            </w:r>
          </w:p>
        </w:tc>
      </w:tr>
      <w:tr>
        <w:trPr>
          <w:cantSplit/>
        </w:trPr>
        <w:tc>
          <w:tcPr>
            <w:tcW w:type="dxa" w:w="1550"/>
            <w:tcMar>
              <w:top w:w="80" w:type="dxa"/>
              <w:start w:w="120" w:type="dxa"/>
              <w:bottom w:w="80" w:type="dxa"/>
              <w:end w:w="120" w:type="dxa"/>
            </w:tcMar>
            <w:vAlign w:val="top"/>
          </w:tcPr>
          <w:p>
            <w:pPr>
              <w:spacing w:after="0" w:line="259" w:lineRule="auto"/>
            </w:pPr>
            <w:r>
              <w:rPr>
                <w:rFonts w:ascii="Calibri" w:hAnsi="Calibri" w:eastAsia="Calibri"/>
                <w:b/>
                <w:color w:val="20252B"/>
                <w:sz w:val="16"/>
              </w:rPr>
              <w:t>S4 — Low</w:t>
            </w:r>
          </w:p>
        </w:tc>
        <w:tc>
          <w:tcPr>
            <w:tcW w:type="dxa" w:w="435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Minor cosmetic, wording or low-impact usability issue</w:t>
            </w:r>
          </w:p>
        </w:tc>
        <w:tc>
          <w:tcPr>
            <w:tcW w:type="dxa" w:w="34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May release when recorded and prioritised appropriately.</w:t>
            </w:r>
          </w:p>
        </w:tc>
      </w:tr>
    </w:tbl>
    <w:p>
      <w:pPr>
        <w:spacing w:after="20"/>
      </w:pPr>
    </w:p>
    <w:p>
      <w:pPr>
        <w:pStyle w:val="Heading1"/>
      </w:pPr>
      <w:r>
        <w:t>Stage: Release and deployment</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Purpose: </w:t>
            </w:r>
            <w:r>
              <w:rPr>
                <w:rFonts w:ascii="Calibri" w:hAnsi="Calibri" w:eastAsia="Calibri"/>
                <w:color w:val="20252B"/>
                <w:sz w:val="20"/>
              </w:rPr>
              <w:t>Move an approved release into production in a controlled, observable and reversible manner.</w:t>
            </w:r>
          </w:p>
        </w:tc>
      </w:tr>
    </w:tbl>
    <w:p>
      <w:pPr>
        <w:spacing w:after="20"/>
      </w:pPr>
    </w:p>
    <w:p>
      <w:pPr>
        <w:pStyle w:val="Heading2"/>
      </w:pPr>
      <w:r>
        <w:t>Required activities</w:t>
      </w:r>
    </w:p>
    <w:p>
      <w:pPr>
        <w:spacing w:before="0" w:after="80" w:line="300" w:lineRule="auto"/>
        <w:numPr>
          <w:ilvl w:val="0"/>
          <w:numId w:val="10"/>
        </w:numPr>
      </w:pPr>
      <w:r>
        <w:rPr>
          <w:rFonts w:ascii="Calibri" w:hAnsi="Calibri" w:eastAsia="Calibri"/>
        </w:rPr>
        <w:t>Assemble a release package with version, approved changes, dependencies, configuration, migration and known limitations.</w:t>
      </w:r>
    </w:p>
    <w:p>
      <w:pPr>
        <w:spacing w:before="0" w:after="80" w:line="300" w:lineRule="auto"/>
        <w:numPr>
          <w:ilvl w:val="0"/>
          <w:numId w:val="10"/>
        </w:numPr>
      </w:pPr>
      <w:r>
        <w:rPr>
          <w:rFonts w:ascii="Calibri" w:hAnsi="Calibri" w:eastAsia="Calibri"/>
        </w:rPr>
        <w:t>Confirm production access, infrastructure, capacity, monitoring, backup, support and communication readiness.</w:t>
      </w:r>
    </w:p>
    <w:p>
      <w:pPr>
        <w:spacing w:before="0" w:after="80" w:line="300" w:lineRule="auto"/>
        <w:numPr>
          <w:ilvl w:val="0"/>
          <w:numId w:val="10"/>
        </w:numPr>
      </w:pPr>
      <w:r>
        <w:rPr>
          <w:rFonts w:ascii="Calibri" w:hAnsi="Calibri" w:eastAsia="Calibri"/>
        </w:rPr>
        <w:t>Approve an implementation plan, verification steps, rollback criteria and named decision authority.</w:t>
      </w:r>
    </w:p>
    <w:p>
      <w:pPr>
        <w:spacing w:before="0" w:after="80" w:line="300" w:lineRule="auto"/>
        <w:numPr>
          <w:ilvl w:val="0"/>
          <w:numId w:val="10"/>
        </w:numPr>
      </w:pPr>
      <w:r>
        <w:rPr>
          <w:rFonts w:ascii="Calibri" w:hAnsi="Calibri" w:eastAsia="Calibri"/>
        </w:rPr>
        <w:t>Use automated, repeatable deployment where practical; preserve separation between build and deployment credentials.</w:t>
      </w:r>
    </w:p>
    <w:p>
      <w:pPr>
        <w:spacing w:before="0" w:after="80" w:line="300" w:lineRule="auto"/>
        <w:numPr>
          <w:ilvl w:val="0"/>
          <w:numId w:val="10"/>
        </w:numPr>
      </w:pPr>
      <w:r>
        <w:rPr>
          <w:rFonts w:ascii="Calibri" w:hAnsi="Calibri" w:eastAsia="Calibri"/>
        </w:rPr>
        <w:t>Back up or checkpoint affected data and validate restoration or rollback feasibility before irreversible change.</w:t>
      </w:r>
    </w:p>
    <w:p>
      <w:pPr>
        <w:spacing w:before="0" w:after="80" w:line="300" w:lineRule="auto"/>
        <w:numPr>
          <w:ilvl w:val="0"/>
          <w:numId w:val="10"/>
        </w:numPr>
      </w:pPr>
      <w:r>
        <w:rPr>
          <w:rFonts w:ascii="Calibri" w:hAnsi="Calibri" w:eastAsia="Calibri"/>
        </w:rPr>
        <w:t>Execute deployment, smoke tests and business verification; monitor agreed indicators during early-life support.</w:t>
      </w:r>
    </w:p>
    <w:p>
      <w:pPr>
        <w:spacing w:before="0" w:after="80" w:line="300" w:lineRule="auto"/>
        <w:numPr>
          <w:ilvl w:val="0"/>
          <w:numId w:val="10"/>
        </w:numPr>
      </w:pPr>
      <w:r>
        <w:rPr>
          <w:rFonts w:ascii="Calibri" w:hAnsi="Calibri" w:eastAsia="Calibri"/>
        </w:rPr>
        <w:t>Record the actual deployment, deviations, approvers and outcome.</w:t>
      </w:r>
    </w:p>
    <w:p>
      <w:pPr>
        <w:pStyle w:val="Heading2"/>
      </w:pPr>
      <w:r>
        <w:t>Mandatory evidence</w:t>
      </w:r>
    </w:p>
    <w:p>
      <w:pPr>
        <w:spacing w:before="0" w:after="80" w:line="300" w:lineRule="auto"/>
        <w:numPr>
          <w:ilvl w:val="0"/>
          <w:numId w:val="10"/>
        </w:numPr>
      </w:pPr>
      <w:r>
        <w:rPr>
          <w:rFonts w:ascii="Calibri" w:hAnsi="Calibri" w:eastAsia="Calibri"/>
        </w:rPr>
        <w:t>Release notes and immutable release/build identifier.</w:t>
      </w:r>
    </w:p>
    <w:p>
      <w:pPr>
        <w:spacing w:before="0" w:after="80" w:line="300" w:lineRule="auto"/>
        <w:numPr>
          <w:ilvl w:val="0"/>
          <w:numId w:val="10"/>
        </w:numPr>
      </w:pPr>
      <w:r>
        <w:rPr>
          <w:rFonts w:ascii="Calibri" w:hAnsi="Calibri" w:eastAsia="Calibri"/>
        </w:rPr>
        <w:t>Approved deployment, data migration, rollback and communication plans.</w:t>
      </w:r>
    </w:p>
    <w:p>
      <w:pPr>
        <w:spacing w:before="0" w:after="80" w:line="300" w:lineRule="auto"/>
        <w:numPr>
          <w:ilvl w:val="0"/>
          <w:numId w:val="10"/>
        </w:numPr>
      </w:pPr>
      <w:r>
        <w:rPr>
          <w:rFonts w:ascii="Calibri" w:hAnsi="Calibri" w:eastAsia="Calibri"/>
        </w:rPr>
        <w:t>Operational runbook, monitoring/alert configuration and support handover.</w:t>
      </w:r>
    </w:p>
    <w:p>
      <w:pPr>
        <w:spacing w:before="0" w:after="80" w:line="300" w:lineRule="auto"/>
        <w:numPr>
          <w:ilvl w:val="0"/>
          <w:numId w:val="10"/>
        </w:numPr>
      </w:pPr>
      <w:r>
        <w:rPr>
          <w:rFonts w:ascii="Calibri" w:hAnsi="Calibri" w:eastAsia="Calibri"/>
        </w:rPr>
        <w:t>Backup/recovery evidence appropriate to the change.</w:t>
      </w:r>
    </w:p>
    <w:p>
      <w:pPr>
        <w:spacing w:before="0" w:after="80" w:line="300" w:lineRule="auto"/>
        <w:numPr>
          <w:ilvl w:val="0"/>
          <w:numId w:val="10"/>
        </w:numPr>
      </w:pPr>
      <w:r>
        <w:rPr>
          <w:rFonts w:ascii="Calibri" w:hAnsi="Calibri" w:eastAsia="Calibri"/>
        </w:rPr>
        <w:t>Deployment and post-deployment verification record.</w:t>
      </w:r>
    </w:p>
    <w:p>
      <w:pPr>
        <w:spacing w:before="0" w:after="80" w:line="300" w:lineRule="auto"/>
        <w:numPr>
          <w:ilvl w:val="0"/>
          <w:numId w:val="10"/>
        </w:numPr>
      </w:pPr>
      <w:r>
        <w:rPr>
          <w:rFonts w:ascii="Calibri" w:hAnsi="Calibri" w:eastAsia="Calibri"/>
        </w:rPr>
        <w:t>G4 release authorisation and G5 operational acceptance.</w:t>
      </w:r>
    </w:p>
    <w:p>
      <w:pPr>
        <w:pStyle w:val="Heading2"/>
      </w:pPr>
      <w:r>
        <w:t>Exit criteria</w:t>
      </w:r>
    </w:p>
    <w:p>
      <w:pPr>
        <w:spacing w:before="0" w:after="80" w:line="300" w:lineRule="auto"/>
        <w:numPr>
          <w:ilvl w:val="0"/>
          <w:numId w:val="10"/>
        </w:numPr>
      </w:pPr>
      <w:r>
        <w:rPr>
          <w:rFonts w:ascii="Calibri" w:hAnsi="Calibri" w:eastAsia="Calibri"/>
        </w:rPr>
        <w:t>Release approval is recorded before production change except under the emergency-change process.</w:t>
      </w:r>
    </w:p>
    <w:p>
      <w:pPr>
        <w:spacing w:before="0" w:after="80" w:line="300" w:lineRule="auto"/>
        <w:numPr>
          <w:ilvl w:val="0"/>
          <w:numId w:val="10"/>
        </w:numPr>
      </w:pPr>
      <w:r>
        <w:rPr>
          <w:rFonts w:ascii="Calibri" w:hAnsi="Calibri" w:eastAsia="Calibri"/>
        </w:rPr>
        <w:t>Deployment completed successfully or rollback restored the approved service state.</w:t>
      </w:r>
    </w:p>
    <w:p>
      <w:pPr>
        <w:spacing w:before="0" w:after="80" w:line="300" w:lineRule="auto"/>
        <w:numPr>
          <w:ilvl w:val="0"/>
          <w:numId w:val="10"/>
        </w:numPr>
      </w:pPr>
      <w:r>
        <w:rPr>
          <w:rFonts w:ascii="Calibri" w:hAnsi="Calibri" w:eastAsia="Calibri"/>
        </w:rPr>
        <w:t>Monitoring shows acceptable service health and no uncontained critical incident.</w:t>
      </w:r>
    </w:p>
    <w:p>
      <w:pPr>
        <w:spacing w:before="0" w:after="80" w:line="300" w:lineRule="auto"/>
        <w:numPr>
          <w:ilvl w:val="0"/>
          <w:numId w:val="10"/>
        </w:numPr>
      </w:pPr>
      <w:r>
        <w:rPr>
          <w:rFonts w:ascii="Calibri" w:hAnsi="Calibri" w:eastAsia="Calibri"/>
        </w:rPr>
        <w:t>Support and service owners accept the deployed version and known issues.</w:t>
      </w:r>
    </w:p>
    <w:p>
      <w:pPr>
        <w:pStyle w:val="Heading2"/>
      </w:pPr>
      <w:r>
        <w:t>Emergency-change procedure</w:t>
      </w:r>
    </w:p>
    <w:p>
      <w:r>
        <w:rPr>
          <w:rFonts w:ascii="Calibri" w:hAnsi="Calibri" w:eastAsia="Calibri"/>
          <w:i w:val="0"/>
        </w:rPr>
        <w:t>An emergency change may shorten normal lead time only to contain an active incident, restore a failed service, prevent imminent material harm or complete an urgent security action. It must not be used to recover schedule delay or bypass ordinary release planning. This procedure also governs an emergency change raised under the Project Management Framework wherever that change affects software, a production service or client data.</w:t>
      </w:r>
    </w:p>
    <w:tbl>
      <w:tblPr>
        <w:tblLook w:firstColumn="1" w:firstRow="1" w:lastColumn="0" w:lastRow="0" w:noHBand="0" w:noVBand="1" w:val="04A0"/>
        <w:tblStyle w:val="TableGrid"/>
        <w:jc w:val="left"/>
        <w:tblW w:w="9360" w:type="dxa"/>
        <w:tblInd w:w="120" w:type="dxa"/>
        <w:tblLayout w:type="fixed"/>
      </w:tblPr>
      <w:tblGrid>
        <w:gridCol w:w="2250"/>
        <w:gridCol w:w="7110"/>
      </w:tblGrid>
      <w:tr>
        <w:trPr>
          <w:cantSplit/>
          <w:tblHeader w:val="true"/>
        </w:trPr>
        <w:tc>
          <w:tcPr>
            <w:tcW w:type="dxa" w:w="22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Control</w:t>
            </w:r>
          </w:p>
        </w:tc>
        <w:tc>
          <w:tcPr>
            <w:tcW w:type="dxa" w:w="711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Institutional requirement</w:t>
            </w:r>
          </w:p>
        </w:tc>
      </w:tr>
      <w:tr>
        <w:trPr>
          <w:cantSplit/>
        </w:trPr>
        <w:tc>
          <w:tcPr>
            <w:tcW w:type="dxa" w:w="2250"/>
            <w:tcMar>
              <w:top w:w="80" w:type="dxa"/>
              <w:start w:w="120" w:type="dxa"/>
              <w:bottom w:w="80" w:type="dxa"/>
              <w:end w:w="120" w:type="dxa"/>
            </w:tcMar>
            <w:vAlign w:val="top"/>
          </w:tcPr>
          <w:p>
            <w:pPr>
              <w:spacing w:after="0" w:line="259" w:lineRule="auto"/>
            </w:pPr>
            <w:r>
              <w:rPr>
                <w:rFonts w:ascii="Calibri" w:hAnsi="Calibri" w:eastAsia="Calibri"/>
                <w:b/>
                <w:color w:val="20252B"/>
                <w:sz w:val="16"/>
              </w:rPr>
              <w:t>Authority and deputy</w:t>
            </w:r>
          </w:p>
        </w:tc>
        <w:tc>
          <w:tcPr>
            <w:tcW w:type="dxa" w:w="71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The named Service Owner is the primary out-of-hours authority and the named Technical Lead or on-call engineer is deputy. The service runbook must record their names, contact routes and authority limits. If both are unavailable, an Executive Sponsor or formally appointed on-call manager may authorise containment or restoration only.</w:t>
            </w:r>
          </w:p>
        </w:tc>
      </w:tr>
      <w:tr>
        <w:trPr>
          <w:cantSplit/>
        </w:trPr>
        <w:tc>
          <w:tcPr>
            <w:tcW w:type="dxa" w:w="2250"/>
            <w:tcMar>
              <w:top w:w="80" w:type="dxa"/>
              <w:start w:w="120" w:type="dxa"/>
              <w:bottom w:w="80" w:type="dxa"/>
              <w:end w:w="120" w:type="dxa"/>
            </w:tcMar>
            <w:vAlign w:val="top"/>
          </w:tcPr>
          <w:p>
            <w:pPr>
              <w:spacing w:after="0" w:line="259" w:lineRule="auto"/>
            </w:pPr>
            <w:r>
              <w:rPr>
                <w:rFonts w:ascii="Calibri" w:hAnsi="Calibri" w:eastAsia="Calibri"/>
                <w:b/>
                <w:color w:val="20252B"/>
                <w:sz w:val="16"/>
              </w:rPr>
              <w:t>Non-waivable minimum</w:t>
            </w:r>
          </w:p>
        </w:tc>
        <w:tc>
          <w:tcPr>
            <w:tcW w:type="dxa" w:w="71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The change must have an incident/change identifier; identified requester, authoriser and operator; defined scope; least-privileged access; protected activity logs; backup or a recorded reason why backup is unsafe; a rollback or containment path; and minimum smoke or safety verification.</w:t>
            </w:r>
          </w:p>
        </w:tc>
      </w:tr>
      <w:tr>
        <w:trPr>
          <w:cantSplit/>
        </w:trPr>
        <w:tc>
          <w:tcPr>
            <w:tcW w:type="dxa" w:w="2250"/>
            <w:tcMar>
              <w:top w:w="80" w:type="dxa"/>
              <w:start w:w="120" w:type="dxa"/>
              <w:bottom w:w="80" w:type="dxa"/>
              <w:end w:w="120" w:type="dxa"/>
            </w:tcMar>
            <w:vAlign w:val="top"/>
          </w:tcPr>
          <w:p>
            <w:pPr>
              <w:spacing w:after="0" w:line="259" w:lineRule="auto"/>
            </w:pPr>
            <w:r>
              <w:rPr>
                <w:rFonts w:ascii="Calibri" w:hAnsi="Calibri" w:eastAsia="Calibri"/>
                <w:b/>
                <w:color w:val="20252B"/>
                <w:sz w:val="16"/>
              </w:rPr>
              <w:t>Evidence that may be deferred</w:t>
            </w:r>
          </w:p>
        </w:tc>
        <w:tc>
          <w:tcPr>
            <w:tcW w:type="dxa" w:w="71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The complete regression pack, ordinary peer-review sequence, final release notes, routine stakeholder notice and full documentation update may be completed after stabilisation. Deferred items must receive owners and due dates before the emergency record is closed.</w:t>
            </w:r>
          </w:p>
        </w:tc>
      </w:tr>
      <w:tr>
        <w:trPr>
          <w:cantSplit/>
        </w:trPr>
        <w:tc>
          <w:tcPr>
            <w:tcW w:type="dxa" w:w="2250"/>
            <w:tcMar>
              <w:top w:w="80" w:type="dxa"/>
              <w:start w:w="120" w:type="dxa"/>
              <w:bottom w:w="80" w:type="dxa"/>
              <w:end w:w="120" w:type="dxa"/>
            </w:tcMar>
            <w:vAlign w:val="top"/>
          </w:tcPr>
          <w:p>
            <w:pPr>
              <w:spacing w:after="0" w:line="259" w:lineRule="auto"/>
            </w:pPr>
            <w:r>
              <w:rPr>
                <w:rFonts w:ascii="Calibri" w:hAnsi="Calibri" w:eastAsia="Calibri"/>
                <w:b/>
                <w:color w:val="20252B"/>
                <w:sz w:val="16"/>
              </w:rPr>
              <w:t>Retrospective review</w:t>
            </w:r>
          </w:p>
        </w:tc>
        <w:tc>
          <w:tcPr>
            <w:tcW w:type="dxa" w:w="71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The Service Owner must convene and record a review within 72 hours of stabilisation. The review must confirm the reason, authority, evidence, impact, residual risk, deferred work, root cause and whether the change remains, is revised or is rolled back.</w:t>
            </w:r>
          </w:p>
        </w:tc>
      </w:tr>
      <w:tr>
        <w:trPr>
          <w:cantSplit/>
        </w:trPr>
        <w:tc>
          <w:tcPr>
            <w:tcW w:type="dxa" w:w="2250"/>
            <w:tcMar>
              <w:top w:w="80" w:type="dxa"/>
              <w:start w:w="120" w:type="dxa"/>
              <w:bottom w:w="80" w:type="dxa"/>
              <w:end w:w="120" w:type="dxa"/>
            </w:tcMar>
            <w:vAlign w:val="top"/>
          </w:tcPr>
          <w:p>
            <w:pPr>
              <w:spacing w:after="0" w:line="259" w:lineRule="auto"/>
            </w:pPr>
            <w:r>
              <w:rPr>
                <w:rFonts w:ascii="Calibri" w:hAnsi="Calibri" w:eastAsia="Calibri"/>
                <w:b/>
                <w:color w:val="20252B"/>
                <w:sz w:val="16"/>
              </w:rPr>
              <w:t>Repeated use</w:t>
            </w:r>
          </w:p>
        </w:tc>
        <w:tc>
          <w:tcPr>
            <w:tcW w:type="dxa" w:w="71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 repeated emergency change for the same condition must create a problem record and a normally governed permanent correction; emergency authority must not become a routine release path.</w:t>
            </w:r>
          </w:p>
        </w:tc>
      </w:tr>
    </w:tbl>
    <w:p>
      <w:pPr>
        <w:spacing w:after="20"/>
      </w:pPr>
    </w:p>
    <w:p>
      <w:pPr>
        <w:pStyle w:val="Heading1"/>
      </w:pPr>
      <w:r>
        <w:t>Stage: Operations, maintenance and support</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Purpose: </w:t>
            </w:r>
            <w:r>
              <w:rPr>
                <w:rFonts w:ascii="Calibri" w:hAnsi="Calibri" w:eastAsia="Calibri"/>
                <w:color w:val="20252B"/>
                <w:sz w:val="20"/>
              </w:rPr>
              <w:t>Keep the production service reliable, secure, supported and aligned with changing user, business and technical needs.</w:t>
            </w:r>
          </w:p>
        </w:tc>
      </w:tr>
    </w:tbl>
    <w:p>
      <w:pPr>
        <w:spacing w:after="20"/>
      </w:pPr>
    </w:p>
    <w:p>
      <w:pPr>
        <w:pStyle w:val="Heading2"/>
      </w:pPr>
      <w:r>
        <w:t>Required activities</w:t>
      </w:r>
    </w:p>
    <w:p>
      <w:pPr>
        <w:spacing w:before="0" w:after="80" w:line="300" w:lineRule="auto"/>
        <w:numPr>
          <w:ilvl w:val="0"/>
          <w:numId w:val="10"/>
        </w:numPr>
      </w:pPr>
      <w:r>
        <w:rPr>
          <w:rFonts w:ascii="Calibri" w:hAnsi="Calibri" w:eastAsia="Calibri"/>
        </w:rPr>
        <w:t>Monitor availability, performance, capacity, errors, security events, backups, certificate expiry and critical dependencies.</w:t>
      </w:r>
    </w:p>
    <w:p>
      <w:pPr>
        <w:spacing w:before="0" w:after="80" w:line="300" w:lineRule="auto"/>
        <w:numPr>
          <w:ilvl w:val="0"/>
          <w:numId w:val="10"/>
        </w:numPr>
      </w:pPr>
      <w:r>
        <w:rPr>
          <w:rFonts w:ascii="Calibri" w:hAnsi="Calibri" w:eastAsia="Calibri"/>
        </w:rPr>
        <w:t>Provide documented support channels, service hours, escalation paths and response targets.</w:t>
      </w:r>
    </w:p>
    <w:p>
      <w:pPr>
        <w:spacing w:before="0" w:after="80" w:line="300" w:lineRule="auto"/>
        <w:numPr>
          <w:ilvl w:val="0"/>
          <w:numId w:val="10"/>
        </w:numPr>
      </w:pPr>
      <w:r>
        <w:rPr>
          <w:rFonts w:ascii="Calibri" w:hAnsi="Calibri" w:eastAsia="Calibri"/>
        </w:rPr>
        <w:t>Classify and manage incidents; preserve evidence and notify affected owners when security or personal data may be involved.</w:t>
      </w:r>
    </w:p>
    <w:p>
      <w:pPr>
        <w:spacing w:before="0" w:after="80" w:line="300" w:lineRule="auto"/>
        <w:numPr>
          <w:ilvl w:val="0"/>
          <w:numId w:val="10"/>
        </w:numPr>
      </w:pPr>
      <w:r>
        <w:rPr>
          <w:rFonts w:ascii="Calibri" w:hAnsi="Calibri" w:eastAsia="Calibri"/>
        </w:rPr>
        <w:t>Perform root-cause analysis for significant or recurring incidents and track corrective actions.</w:t>
      </w:r>
    </w:p>
    <w:p>
      <w:pPr>
        <w:spacing w:before="0" w:after="80" w:line="300" w:lineRule="auto"/>
        <w:numPr>
          <w:ilvl w:val="0"/>
          <w:numId w:val="10"/>
        </w:numPr>
      </w:pPr>
      <w:r>
        <w:rPr>
          <w:rFonts w:ascii="Calibri" w:hAnsi="Calibri" w:eastAsia="Calibri"/>
        </w:rPr>
        <w:t>Patch supported components, renew dependencies and address vulnerabilities according to risk and agreed service targets.</w:t>
      </w:r>
    </w:p>
    <w:p>
      <w:pPr>
        <w:spacing w:before="0" w:after="80" w:line="300" w:lineRule="auto"/>
        <w:numPr>
          <w:ilvl w:val="0"/>
          <w:numId w:val="10"/>
        </w:numPr>
      </w:pPr>
      <w:r>
        <w:rPr>
          <w:rFonts w:ascii="Calibri" w:hAnsi="Calibri" w:eastAsia="Calibri"/>
        </w:rPr>
        <w:t>Test backups and recovery procedures on an approved schedule; compare results with recovery objectives.</w:t>
      </w:r>
    </w:p>
    <w:p>
      <w:pPr>
        <w:spacing w:before="0" w:after="80" w:line="300" w:lineRule="auto"/>
        <w:numPr>
          <w:ilvl w:val="0"/>
          <w:numId w:val="10"/>
        </w:numPr>
      </w:pPr>
      <w:r>
        <w:rPr>
          <w:rFonts w:ascii="Calibri" w:hAnsi="Calibri" w:eastAsia="Calibri"/>
        </w:rPr>
        <w:t>Process enhancements and changes through the same traceability, review, testing and release controls as new development.</w:t>
      </w:r>
    </w:p>
    <w:p>
      <w:pPr>
        <w:spacing w:before="0" w:after="80" w:line="300" w:lineRule="auto"/>
        <w:numPr>
          <w:ilvl w:val="0"/>
          <w:numId w:val="10"/>
        </w:numPr>
      </w:pPr>
      <w:r>
        <w:rPr>
          <w:rFonts w:ascii="Calibri" w:hAnsi="Calibri" w:eastAsia="Calibri"/>
        </w:rPr>
        <w:t>Review service metrics, cost, user feedback, technical debt and continued fitness at planned intervals.</w:t>
      </w:r>
    </w:p>
    <w:p>
      <w:pPr>
        <w:pStyle w:val="Heading2"/>
      </w:pPr>
      <w:r>
        <w:t>Mandatory evidence</w:t>
      </w:r>
    </w:p>
    <w:p>
      <w:pPr>
        <w:spacing w:before="0" w:after="80" w:line="300" w:lineRule="auto"/>
        <w:numPr>
          <w:ilvl w:val="0"/>
          <w:numId w:val="10"/>
        </w:numPr>
      </w:pPr>
      <w:r>
        <w:rPr>
          <w:rFonts w:ascii="Calibri" w:hAnsi="Calibri" w:eastAsia="Calibri"/>
        </w:rPr>
        <w:t>Service catalogue entry, service owner and support model.</w:t>
      </w:r>
    </w:p>
    <w:p>
      <w:pPr>
        <w:spacing w:before="0" w:after="80" w:line="300" w:lineRule="auto"/>
        <w:numPr>
          <w:ilvl w:val="0"/>
          <w:numId w:val="10"/>
        </w:numPr>
      </w:pPr>
      <w:r>
        <w:rPr>
          <w:rFonts w:ascii="Calibri" w:hAnsi="Calibri" w:eastAsia="Calibri"/>
        </w:rPr>
        <w:t>Operational runbooks, monitoring dashboards, alert rules and access records.</w:t>
      </w:r>
    </w:p>
    <w:p>
      <w:pPr>
        <w:spacing w:before="0" w:after="80" w:line="300" w:lineRule="auto"/>
        <w:numPr>
          <w:ilvl w:val="0"/>
          <w:numId w:val="10"/>
        </w:numPr>
      </w:pPr>
      <w:r>
        <w:rPr>
          <w:rFonts w:ascii="Calibri" w:hAnsi="Calibri" w:eastAsia="Calibri"/>
        </w:rPr>
        <w:t>Incident, problem, change, maintenance and vulnerability records.</w:t>
      </w:r>
    </w:p>
    <w:p>
      <w:pPr>
        <w:spacing w:before="0" w:after="80" w:line="300" w:lineRule="auto"/>
        <w:numPr>
          <w:ilvl w:val="0"/>
          <w:numId w:val="10"/>
        </w:numPr>
      </w:pPr>
      <w:r>
        <w:rPr>
          <w:rFonts w:ascii="Calibri" w:hAnsi="Calibri" w:eastAsia="Calibri"/>
        </w:rPr>
        <w:t>Backup/recovery logs and periodic restoration-test evidence.</w:t>
      </w:r>
    </w:p>
    <w:p>
      <w:pPr>
        <w:spacing w:before="0" w:after="80" w:line="300" w:lineRule="auto"/>
        <w:numPr>
          <w:ilvl w:val="0"/>
          <w:numId w:val="10"/>
        </w:numPr>
      </w:pPr>
      <w:r>
        <w:rPr>
          <w:rFonts w:ascii="Calibri" w:hAnsi="Calibri" w:eastAsia="Calibri"/>
        </w:rPr>
        <w:t>Service review reports and improvement backlog.</w:t>
      </w:r>
    </w:p>
    <w:p>
      <w:pPr>
        <w:pStyle w:val="Heading2"/>
      </w:pPr>
      <w:r>
        <w:t>Exit criteria</w:t>
      </w:r>
    </w:p>
    <w:p>
      <w:pPr>
        <w:spacing w:before="0" w:after="80" w:line="300" w:lineRule="auto"/>
        <w:numPr>
          <w:ilvl w:val="0"/>
          <w:numId w:val="10"/>
        </w:numPr>
      </w:pPr>
      <w:r>
        <w:rPr>
          <w:rFonts w:ascii="Calibri" w:hAnsi="Calibri" w:eastAsia="Calibri"/>
        </w:rPr>
        <w:t>The service remains within approved operational and security limits.</w:t>
      </w:r>
    </w:p>
    <w:p>
      <w:pPr>
        <w:spacing w:before="0" w:after="80" w:line="300" w:lineRule="auto"/>
        <w:numPr>
          <w:ilvl w:val="0"/>
          <w:numId w:val="10"/>
        </w:numPr>
      </w:pPr>
      <w:r>
        <w:rPr>
          <w:rFonts w:ascii="Calibri" w:hAnsi="Calibri" w:eastAsia="Calibri"/>
        </w:rPr>
        <w:t>Incidents, vulnerabilities and maintenance obligations have accountable owners and target dates.</w:t>
      </w:r>
    </w:p>
    <w:p>
      <w:pPr>
        <w:spacing w:before="0" w:after="80" w:line="300" w:lineRule="auto"/>
        <w:numPr>
          <w:ilvl w:val="0"/>
          <w:numId w:val="10"/>
        </w:numPr>
      </w:pPr>
      <w:r>
        <w:rPr>
          <w:rFonts w:ascii="Calibri" w:hAnsi="Calibri" w:eastAsia="Calibri"/>
        </w:rPr>
        <w:t>Access, dependencies, data retention and continuity controls are reviewed periodically.</w:t>
      </w:r>
    </w:p>
    <w:p>
      <w:pPr>
        <w:spacing w:before="0" w:after="80" w:line="300" w:lineRule="auto"/>
        <w:numPr>
          <w:ilvl w:val="0"/>
          <w:numId w:val="10"/>
        </w:numPr>
      </w:pPr>
      <w:r>
        <w:rPr>
          <w:rFonts w:ascii="Calibri" w:hAnsi="Calibri" w:eastAsia="Calibri"/>
        </w:rPr>
        <w:t>Management receives sufficient evidence to continue, improve, replace or retire the service.</w:t>
      </w:r>
    </w:p>
    <w:p>
      <w:pPr>
        <w:pStyle w:val="Heading2"/>
      </w:pPr>
      <w:r>
        <w:t>Institutional default service targets</w:t>
      </w:r>
    </w:p>
    <w:p>
      <w:r>
        <w:rPr>
          <w:rFonts w:ascii="Calibri" w:hAnsi="Calibri" w:eastAsia="Calibri"/>
          <w:i w:val="0"/>
        </w:rPr>
        <w:t>The following targets are Must requirements unless an approved client or project service level is stricter. A longer target requires a documented risk assessment and approval at G2 or G4; legal, contractual and regulatory deadlines always prevail.</w:t>
      </w:r>
    </w:p>
    <w:tbl>
      <w:tblPr>
        <w:tblLook w:firstColumn="1" w:firstRow="1" w:lastColumn="0" w:lastRow="0" w:noHBand="0" w:noVBand="1" w:val="04A0"/>
        <w:tblStyle w:val="TableGrid"/>
        <w:jc w:val="left"/>
        <w:tblW w:w="9360" w:type="dxa"/>
        <w:tblInd w:w="120" w:type="dxa"/>
        <w:tblLayout w:type="fixed"/>
      </w:tblPr>
      <w:tblGrid>
        <w:gridCol w:w="2650"/>
        <w:gridCol w:w="2100"/>
        <w:gridCol w:w="2100"/>
        <w:gridCol w:w="2510"/>
      </w:tblGrid>
      <w:tr>
        <w:trPr>
          <w:cantSplit/>
          <w:tblHeader w:val="true"/>
        </w:trPr>
        <w:tc>
          <w:tcPr>
            <w:tcW w:type="dxa" w:w="26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Obligation</w:t>
            </w:r>
          </w:p>
        </w:tc>
        <w:tc>
          <w:tcPr>
            <w:tcW w:type="dxa" w:w="21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Class 1</w:t>
            </w:r>
          </w:p>
        </w:tc>
        <w:tc>
          <w:tcPr>
            <w:tcW w:type="dxa" w:w="21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Class 2</w:t>
            </w:r>
          </w:p>
        </w:tc>
        <w:tc>
          <w:tcPr>
            <w:tcW w:type="dxa" w:w="251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Class 3-4</w:t>
            </w:r>
          </w:p>
        </w:tc>
      </w:tr>
      <w:tr>
        <w:trPr>
          <w:cantSplit/>
        </w:trPr>
        <w:tc>
          <w:tcPr>
            <w:tcW w:type="dxa" w:w="2650"/>
            <w:tcMar>
              <w:top w:w="80" w:type="dxa"/>
              <w:start w:w="120" w:type="dxa"/>
              <w:bottom w:w="80" w:type="dxa"/>
              <w:end w:w="120" w:type="dxa"/>
            </w:tcMar>
            <w:vAlign w:val="top"/>
          </w:tcPr>
          <w:p>
            <w:pPr>
              <w:spacing w:after="0" w:line="259" w:lineRule="auto"/>
            </w:pPr>
            <w:r>
              <w:rPr>
                <w:rFonts w:ascii="Calibri" w:hAnsi="Calibri" w:eastAsia="Calibri"/>
                <w:b/>
                <w:color w:val="20252B"/>
                <w:sz w:val="16"/>
              </w:rPr>
              <w:t>Critical vulnerability remediation</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Before reuse or production; otherwise dispose within 14 days</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14 calendar days</w:t>
            </w:r>
          </w:p>
        </w:tc>
        <w:tc>
          <w:tcPr>
            <w:tcW w:type="dxa" w:w="25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7 calendar days</w:t>
            </w:r>
          </w:p>
        </w:tc>
      </w:tr>
      <w:tr>
        <w:trPr>
          <w:cantSplit/>
        </w:trPr>
        <w:tc>
          <w:tcPr>
            <w:tcW w:type="dxa" w:w="2650"/>
            <w:tcMar>
              <w:top w:w="80" w:type="dxa"/>
              <w:start w:w="120" w:type="dxa"/>
              <w:bottom w:w="80" w:type="dxa"/>
              <w:end w:w="120" w:type="dxa"/>
            </w:tcMar>
            <w:vAlign w:val="top"/>
          </w:tcPr>
          <w:p>
            <w:pPr>
              <w:spacing w:after="0" w:line="259" w:lineRule="auto"/>
            </w:pPr>
            <w:r>
              <w:rPr>
                <w:rFonts w:ascii="Calibri" w:hAnsi="Calibri" w:eastAsia="Calibri"/>
                <w:b/>
                <w:color w:val="20252B"/>
                <w:sz w:val="16"/>
              </w:rPr>
              <w:t>High vulnerability remediation</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60 days or before reuse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60 calendar days</w:t>
            </w:r>
          </w:p>
        </w:tc>
        <w:tc>
          <w:tcPr>
            <w:tcW w:type="dxa" w:w="25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30 calendar days</w:t>
            </w:r>
          </w:p>
        </w:tc>
      </w:tr>
      <w:tr>
        <w:trPr>
          <w:cantSplit/>
        </w:trPr>
        <w:tc>
          <w:tcPr>
            <w:tcW w:type="dxa" w:w="2650"/>
            <w:tcMar>
              <w:top w:w="80" w:type="dxa"/>
              <w:start w:w="120" w:type="dxa"/>
              <w:bottom w:w="80" w:type="dxa"/>
              <w:end w:w="120" w:type="dxa"/>
            </w:tcMar>
            <w:vAlign w:val="top"/>
          </w:tcPr>
          <w:p>
            <w:pPr>
              <w:spacing w:after="0" w:line="259" w:lineRule="auto"/>
            </w:pPr>
            <w:r>
              <w:rPr>
                <w:rFonts w:ascii="Calibri" w:hAnsi="Calibri" w:eastAsia="Calibri"/>
                <w:b/>
                <w:color w:val="20252B"/>
                <w:sz w:val="16"/>
              </w:rPr>
              <w:t>S1 incident acknowledgement</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Same business day, if applicable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Within 4 hours</w:t>
            </w:r>
          </w:p>
        </w:tc>
        <w:tc>
          <w:tcPr>
            <w:tcW w:type="dxa" w:w="25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Within 1 hour</w:t>
            </w:r>
          </w:p>
        </w:tc>
      </w:tr>
      <w:tr>
        <w:trPr>
          <w:cantSplit/>
        </w:trPr>
        <w:tc>
          <w:tcPr>
            <w:tcW w:type="dxa" w:w="2650"/>
            <w:tcMar>
              <w:top w:w="80" w:type="dxa"/>
              <w:start w:w="120" w:type="dxa"/>
              <w:bottom w:w="80" w:type="dxa"/>
              <w:end w:w="120" w:type="dxa"/>
            </w:tcMar>
            <w:vAlign w:val="top"/>
          </w:tcPr>
          <w:p>
            <w:pPr>
              <w:spacing w:after="0" w:line="259" w:lineRule="auto"/>
            </w:pPr>
            <w:r>
              <w:rPr>
                <w:rFonts w:ascii="Calibri" w:hAnsi="Calibri" w:eastAsia="Calibri"/>
                <w:b/>
                <w:color w:val="20252B"/>
                <w:sz w:val="16"/>
              </w:rPr>
              <w:t>Backup restoration test</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Before operational reliance or reuse; otherwise N/A</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At least semi-annually</w:t>
            </w:r>
          </w:p>
        </w:tc>
        <w:tc>
          <w:tcPr>
            <w:tcW w:type="dxa" w:w="25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At least quarterly</w:t>
            </w:r>
          </w:p>
        </w:tc>
      </w:tr>
      <w:tr>
        <w:trPr>
          <w:cantSplit/>
        </w:trPr>
        <w:tc>
          <w:tcPr>
            <w:tcW w:type="dxa" w:w="2650"/>
            <w:tcMar>
              <w:top w:w="80" w:type="dxa"/>
              <w:start w:w="120" w:type="dxa"/>
              <w:bottom w:w="80" w:type="dxa"/>
              <w:end w:w="120" w:type="dxa"/>
            </w:tcMar>
            <w:vAlign w:val="top"/>
          </w:tcPr>
          <w:p>
            <w:pPr>
              <w:spacing w:after="0" w:line="259" w:lineRule="auto"/>
            </w:pPr>
            <w:r>
              <w:rPr>
                <w:rFonts w:ascii="Calibri" w:hAnsi="Calibri" w:eastAsia="Calibri"/>
                <w:b/>
                <w:color w:val="20252B"/>
                <w:sz w:val="16"/>
              </w:rPr>
              <w:t>Access review</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At closure and at least every 90 days</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At least annually</w:t>
            </w:r>
          </w:p>
        </w:tc>
        <w:tc>
          <w:tcPr>
            <w:tcW w:type="dxa" w:w="25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At least quarterly</w:t>
            </w:r>
          </w:p>
        </w:tc>
      </w:tr>
      <w:tr>
        <w:trPr>
          <w:cantSplit/>
        </w:trPr>
        <w:tc>
          <w:tcPr>
            <w:tcW w:type="dxa" w:w="2650"/>
            <w:tcMar>
              <w:top w:w="80" w:type="dxa"/>
              <w:start w:w="120" w:type="dxa"/>
              <w:bottom w:w="80" w:type="dxa"/>
              <w:end w:w="120" w:type="dxa"/>
            </w:tcMar>
            <w:vAlign w:val="top"/>
          </w:tcPr>
          <w:p>
            <w:pPr>
              <w:spacing w:after="0" w:line="259" w:lineRule="auto"/>
            </w:pPr>
            <w:r>
              <w:rPr>
                <w:rFonts w:ascii="Calibri" w:hAnsi="Calibri" w:eastAsia="Calibri"/>
                <w:b/>
                <w:color w:val="20252B"/>
                <w:sz w:val="16"/>
              </w:rPr>
              <w:t>Code-review initial response</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Within 3 business days</w:t>
            </w:r>
          </w:p>
        </w:tc>
        <w:tc>
          <w:tcPr>
            <w:tcW w:type="dxa" w:w="21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Within 3 business days</w:t>
            </w:r>
          </w:p>
        </w:tc>
        <w:tc>
          <w:tcPr>
            <w:tcW w:type="dxa" w:w="251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Within 2 business days</w:t>
            </w:r>
          </w:p>
        </w:tc>
      </w:tr>
    </w:tbl>
    <w:p>
      <w:pPr>
        <w:spacing w:after="20"/>
      </w:pPr>
    </w:p>
    <w:p>
      <w:pPr>
        <w:pStyle w:val="Heading1"/>
      </w:pPr>
      <w:r>
        <w:t>Stage: Retirement and project closure</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Purpose: </w:t>
            </w:r>
            <w:r>
              <w:rPr>
                <w:rFonts w:ascii="Calibri" w:hAnsi="Calibri" w:eastAsia="Calibri"/>
                <w:color w:val="20252B"/>
                <w:sz w:val="20"/>
              </w:rPr>
              <w:t>End a project or service safely while preserving required information, protecting data and removing obsolete access and exposure.</w:t>
            </w:r>
          </w:p>
        </w:tc>
      </w:tr>
    </w:tbl>
    <w:p>
      <w:pPr>
        <w:spacing w:after="20"/>
      </w:pPr>
    </w:p>
    <w:p>
      <w:pPr>
        <w:pStyle w:val="Heading2"/>
      </w:pPr>
      <w:r>
        <w:t>Required activities</w:t>
      </w:r>
    </w:p>
    <w:p>
      <w:pPr>
        <w:spacing w:before="0" w:after="80" w:line="300" w:lineRule="auto"/>
        <w:numPr>
          <w:ilvl w:val="0"/>
          <w:numId w:val="10"/>
        </w:numPr>
      </w:pPr>
      <w:r>
        <w:rPr>
          <w:rFonts w:ascii="Calibri" w:hAnsi="Calibri" w:eastAsia="Calibri"/>
        </w:rPr>
        <w:t>Confirm the retirement reason, affected users, replacement service, dependencies and approved date.</w:t>
      </w:r>
    </w:p>
    <w:p>
      <w:pPr>
        <w:spacing w:before="0" w:after="80" w:line="300" w:lineRule="auto"/>
        <w:numPr>
          <w:ilvl w:val="0"/>
          <w:numId w:val="10"/>
        </w:numPr>
      </w:pPr>
      <w:r>
        <w:rPr>
          <w:rFonts w:ascii="Calibri" w:hAnsi="Calibri" w:eastAsia="Calibri"/>
        </w:rPr>
        <w:t>Create a transition and communication plan, including data export or migration where required.</w:t>
      </w:r>
    </w:p>
    <w:p>
      <w:pPr>
        <w:spacing w:before="0" w:after="80" w:line="300" w:lineRule="auto"/>
        <w:numPr>
          <w:ilvl w:val="0"/>
          <w:numId w:val="10"/>
        </w:numPr>
      </w:pPr>
      <w:r>
        <w:rPr>
          <w:rFonts w:ascii="Calibri" w:hAnsi="Calibri" w:eastAsia="Calibri"/>
        </w:rPr>
        <w:t>Apply approved retention, archival, transfer or secure-deletion decisions to data and records.</w:t>
      </w:r>
    </w:p>
    <w:p>
      <w:pPr>
        <w:spacing w:before="0" w:after="80" w:line="300" w:lineRule="auto"/>
        <w:numPr>
          <w:ilvl w:val="0"/>
          <w:numId w:val="10"/>
        </w:numPr>
      </w:pPr>
      <w:r>
        <w:rPr>
          <w:rFonts w:ascii="Calibri" w:hAnsi="Calibri" w:eastAsia="Calibri"/>
        </w:rPr>
        <w:t>Disable accounts, credentials, integrations, domains, certificates, pipelines, infrastructure and supplier services that are no longer needed.</w:t>
      </w:r>
    </w:p>
    <w:p>
      <w:pPr>
        <w:spacing w:before="0" w:after="80" w:line="300" w:lineRule="auto"/>
        <w:numPr>
          <w:ilvl w:val="0"/>
          <w:numId w:val="10"/>
        </w:numPr>
      </w:pPr>
      <w:r>
        <w:rPr>
          <w:rFonts w:ascii="Calibri" w:hAnsi="Calibri" w:eastAsia="Calibri"/>
        </w:rPr>
        <w:t>Archive source, releases, configuration, decisions, test evidence, licences and operational records according to retention rules.</w:t>
      </w:r>
    </w:p>
    <w:p>
      <w:pPr>
        <w:spacing w:before="0" w:after="80" w:line="300" w:lineRule="auto"/>
        <w:numPr>
          <w:ilvl w:val="0"/>
          <w:numId w:val="10"/>
        </w:numPr>
      </w:pPr>
      <w:r>
        <w:rPr>
          <w:rFonts w:ascii="Calibri" w:hAnsi="Calibri" w:eastAsia="Calibri"/>
        </w:rPr>
        <w:t>Verify financial and contractual closure and capture lessons learned, benefits achieved and outstanding actions.</w:t>
      </w:r>
    </w:p>
    <w:p>
      <w:pPr>
        <w:pStyle w:val="Heading2"/>
      </w:pPr>
      <w:r>
        <w:t>Mandatory evidence</w:t>
      </w:r>
    </w:p>
    <w:p>
      <w:pPr>
        <w:spacing w:before="0" w:after="80" w:line="300" w:lineRule="auto"/>
        <w:numPr>
          <w:ilvl w:val="0"/>
          <w:numId w:val="10"/>
        </w:numPr>
      </w:pPr>
      <w:r>
        <w:rPr>
          <w:rFonts w:ascii="Calibri" w:hAnsi="Calibri" w:eastAsia="Calibri"/>
        </w:rPr>
        <w:t>Retirement/closure plan and approval.</w:t>
      </w:r>
    </w:p>
    <w:p>
      <w:pPr>
        <w:spacing w:before="0" w:after="80" w:line="300" w:lineRule="auto"/>
        <w:numPr>
          <w:ilvl w:val="0"/>
          <w:numId w:val="10"/>
        </w:numPr>
      </w:pPr>
      <w:r>
        <w:rPr>
          <w:rFonts w:ascii="Calibri" w:hAnsi="Calibri" w:eastAsia="Calibri"/>
        </w:rPr>
        <w:t>Data disposition and migration evidence.</w:t>
      </w:r>
    </w:p>
    <w:p>
      <w:pPr>
        <w:spacing w:before="0" w:after="80" w:line="300" w:lineRule="auto"/>
        <w:numPr>
          <w:ilvl w:val="0"/>
          <w:numId w:val="10"/>
        </w:numPr>
      </w:pPr>
      <w:r>
        <w:rPr>
          <w:rFonts w:ascii="Calibri" w:hAnsi="Calibri" w:eastAsia="Calibri"/>
        </w:rPr>
        <w:t>Access, integration and infrastructure decommissioning record.</w:t>
      </w:r>
    </w:p>
    <w:p>
      <w:pPr>
        <w:spacing w:before="0" w:after="80" w:line="300" w:lineRule="auto"/>
        <w:numPr>
          <w:ilvl w:val="0"/>
          <w:numId w:val="10"/>
        </w:numPr>
      </w:pPr>
      <w:r>
        <w:rPr>
          <w:rFonts w:ascii="Calibri" w:hAnsi="Calibri" w:eastAsia="Calibri"/>
        </w:rPr>
        <w:t>Final asset inventory and archive location.</w:t>
      </w:r>
    </w:p>
    <w:p>
      <w:pPr>
        <w:spacing w:before="0" w:after="80" w:line="300" w:lineRule="auto"/>
        <w:numPr>
          <w:ilvl w:val="0"/>
          <w:numId w:val="10"/>
        </w:numPr>
      </w:pPr>
      <w:r>
        <w:rPr>
          <w:rFonts w:ascii="Calibri" w:hAnsi="Calibri" w:eastAsia="Calibri"/>
        </w:rPr>
        <w:t>Client or sponsor acceptance and lessons-learned report.</w:t>
      </w:r>
    </w:p>
    <w:p>
      <w:pPr>
        <w:spacing w:before="0" w:after="80" w:line="300" w:lineRule="auto"/>
        <w:numPr>
          <w:ilvl w:val="0"/>
          <w:numId w:val="10"/>
        </w:numPr>
      </w:pPr>
      <w:r>
        <w:rPr>
          <w:rFonts w:ascii="Calibri" w:hAnsi="Calibri" w:eastAsia="Calibri"/>
        </w:rPr>
        <w:t>G6 closure decision.</w:t>
      </w:r>
    </w:p>
    <w:p>
      <w:pPr>
        <w:pStyle w:val="Heading2"/>
      </w:pPr>
      <w:r>
        <w:t>Exit criteria</w:t>
      </w:r>
    </w:p>
    <w:p>
      <w:pPr>
        <w:spacing w:before="0" w:after="80" w:line="300" w:lineRule="auto"/>
        <w:numPr>
          <w:ilvl w:val="0"/>
          <w:numId w:val="10"/>
        </w:numPr>
      </w:pPr>
      <w:r>
        <w:rPr>
          <w:rFonts w:ascii="Calibri" w:hAnsi="Calibri" w:eastAsia="Calibri"/>
        </w:rPr>
        <w:t>Users and stakeholders have been notified and supported through transition.</w:t>
      </w:r>
    </w:p>
    <w:p>
      <w:pPr>
        <w:spacing w:before="0" w:after="80" w:line="300" w:lineRule="auto"/>
        <w:numPr>
          <w:ilvl w:val="0"/>
          <w:numId w:val="10"/>
        </w:numPr>
      </w:pPr>
      <w:r>
        <w:rPr>
          <w:rFonts w:ascii="Calibri" w:hAnsi="Calibri" w:eastAsia="Calibri"/>
        </w:rPr>
        <w:t>Required data is preserved or transferred and unneeded data is securely disposed of.</w:t>
      </w:r>
    </w:p>
    <w:p>
      <w:pPr>
        <w:spacing w:before="0" w:after="80" w:line="300" w:lineRule="auto"/>
        <w:numPr>
          <w:ilvl w:val="0"/>
          <w:numId w:val="10"/>
        </w:numPr>
      </w:pPr>
      <w:r>
        <w:rPr>
          <w:rFonts w:ascii="Calibri" w:hAnsi="Calibri" w:eastAsia="Calibri"/>
        </w:rPr>
        <w:t>No orphaned credential, public endpoint, paid service or unmanaged dependency remains.</w:t>
      </w:r>
    </w:p>
    <w:p>
      <w:pPr>
        <w:spacing w:before="0" w:after="80" w:line="300" w:lineRule="auto"/>
        <w:numPr>
          <w:ilvl w:val="0"/>
          <w:numId w:val="10"/>
        </w:numPr>
      </w:pPr>
      <w:r>
        <w:rPr>
          <w:rFonts w:ascii="Calibri" w:hAnsi="Calibri" w:eastAsia="Calibri"/>
        </w:rPr>
        <w:t>The sponsor, data owner and service owner approve closure.</w:t>
      </w:r>
    </w:p>
    <w:p>
      <w:pPr>
        <w:pStyle w:val="Heading1"/>
      </w:pPr>
      <w:r>
        <w:t>Secure software development and privacy engineering</w:t>
      </w:r>
    </w:p>
    <w:p>
      <w:r>
        <w:rPr>
          <w:rFonts w:ascii="Calibri" w:hAnsi="Calibri" w:eastAsia="Calibri"/>
          <w:i w:val="0"/>
        </w:rPr>
        <w:t>Security and privacy requirements apply across every lifecycle stage. The controls below are the institutional baseline; projects must add stronger controls when risk, contract or law requires them.</w:t>
      </w:r>
    </w:p>
    <w:p>
      <w:pPr>
        <w:pStyle w:val="Heading2"/>
      </w:pPr>
      <w:r>
        <w:t>Secure-development practices</w:t>
      </w:r>
    </w:p>
    <w:p>
      <w:pPr>
        <w:spacing w:before="0" w:after="80" w:line="300" w:lineRule="auto"/>
        <w:numPr>
          <w:ilvl w:val="0"/>
          <w:numId w:val="10"/>
        </w:numPr>
      </w:pPr>
      <w:r>
        <w:rPr>
          <w:rFonts w:ascii="Calibri" w:hAnsi="Calibri" w:eastAsia="Calibri"/>
          <w:b/>
        </w:rPr>
        <w:t xml:space="preserve">Prepare the organisation. </w:t>
      </w:r>
      <w:r>
        <w:rPr>
          <w:rFonts w:ascii="Calibri" w:hAnsi="Calibri" w:eastAsia="Calibri"/>
        </w:rPr>
        <w:t>Assign security roles, train staff, define approved tools and protect development environments.</w:t>
      </w:r>
    </w:p>
    <w:p>
      <w:pPr>
        <w:spacing w:before="0" w:after="80" w:line="300" w:lineRule="auto"/>
        <w:numPr>
          <w:ilvl w:val="0"/>
          <w:numId w:val="10"/>
        </w:numPr>
      </w:pPr>
      <w:r>
        <w:rPr>
          <w:rFonts w:ascii="Calibri" w:hAnsi="Calibri" w:eastAsia="Calibri"/>
          <w:b/>
        </w:rPr>
        <w:t xml:space="preserve">Protect software and artefacts. </w:t>
      </w:r>
      <w:r>
        <w:rPr>
          <w:rFonts w:ascii="Calibri" w:hAnsi="Calibri" w:eastAsia="Calibri"/>
        </w:rPr>
        <w:t>Control access to source, builds, signing material, secrets and deployment systems; preserve provenance and integrity.</w:t>
      </w:r>
    </w:p>
    <w:p>
      <w:pPr>
        <w:spacing w:before="0" w:after="80" w:line="300" w:lineRule="auto"/>
        <w:numPr>
          <w:ilvl w:val="0"/>
          <w:numId w:val="10"/>
        </w:numPr>
      </w:pPr>
      <w:r>
        <w:rPr>
          <w:rFonts w:ascii="Calibri" w:hAnsi="Calibri" w:eastAsia="Calibri"/>
          <w:b/>
        </w:rPr>
        <w:t xml:space="preserve">Produce well-secured software. </w:t>
      </w:r>
      <w:r>
        <w:rPr>
          <w:rFonts w:ascii="Calibri" w:hAnsi="Calibri" w:eastAsia="Calibri"/>
        </w:rPr>
        <w:t>Model threats, apply secure design and coding, review changes, test controls and remediate vulnerabilities.</w:t>
      </w:r>
    </w:p>
    <w:p>
      <w:pPr>
        <w:spacing w:before="0" w:after="80" w:line="300" w:lineRule="auto"/>
        <w:numPr>
          <w:ilvl w:val="0"/>
          <w:numId w:val="10"/>
        </w:numPr>
      </w:pPr>
      <w:r>
        <w:rPr>
          <w:rFonts w:ascii="Calibri" w:hAnsi="Calibri" w:eastAsia="Calibri"/>
          <w:b/>
        </w:rPr>
        <w:t xml:space="preserve">Respond to vulnerabilities. </w:t>
      </w:r>
      <w:r>
        <w:rPr>
          <w:rFonts w:ascii="Calibri" w:hAnsi="Calibri" w:eastAsia="Calibri"/>
        </w:rPr>
        <w:t>Receive reports, triage risk, contain exposure, fix root causes, communicate appropriately and learn from recurrence.</w:t>
      </w:r>
    </w:p>
    <w:p>
      <w:pPr>
        <w:pStyle w:val="Heading2"/>
      </w:pPr>
      <w:r>
        <w:t>Minimum technical security controls</w:t>
      </w:r>
    </w:p>
    <w:tbl>
      <w:tblPr>
        <w:tblLook w:firstColumn="1" w:firstRow="1" w:lastColumn="0" w:lastRow="0" w:noHBand="0" w:noVBand="1" w:val="04A0"/>
        <w:tblStyle w:val="TableGrid"/>
        <w:jc w:val="left"/>
        <w:tblW w:w="9360" w:type="dxa"/>
        <w:tblInd w:w="120" w:type="dxa"/>
        <w:tblLayout w:type="fixed"/>
      </w:tblPr>
      <w:tblGrid>
        <w:gridCol w:w="2350"/>
        <w:gridCol w:w="7010"/>
      </w:tblGrid>
      <w:tr>
        <w:trPr>
          <w:cantSplit/>
          <w:tblHeader w:val="true"/>
        </w:trPr>
        <w:tc>
          <w:tcPr>
            <w:tcW w:type="dxa" w:w="23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Area</w:t>
            </w:r>
          </w:p>
        </w:tc>
        <w:tc>
          <w:tcPr>
            <w:tcW w:type="dxa" w:w="701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Minimum expectation</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Identity and access</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Unique identities, least privilege, strong authentication for privileged access, controlled service accounts and timely removal of access.</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Input and output</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Validate input, encode output and use parameterised interfaces to prevent injection and unsafe interpretation.</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Session and authorisation</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Enforce access on the server side for every protected action; do not rely on hidden buttons or client checks.</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Cryptography</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Use maintained, recognised libraries and approved algorithms; protect keys separately from encrypted data.</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Secrets</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Use approved secret management; never commit passwords, keys or tokens to repositories or include them in normal logs.</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Logging and monitoring</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Record security-relevant events without exposing passwords, tokens or unnecessary personal data; protect log integrity and retention.</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Dependencies and supply chain</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Use trusted sources, pin/control versions, monitor vulnerabilities and licences, and maintain a component inventory.</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Data protection</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Collect the minimum data, define purpose and retention, control access, secure transfer/storage and support lawful data-subject handling.</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Resilience</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Define backups, recovery objectives, safe failure, rate limits and protection against dependency or resource exhaustion.</w:t>
            </w:r>
          </w:p>
        </w:tc>
      </w:tr>
      <w:tr>
        <w:trPr>
          <w:cantSplit/>
        </w:trPr>
        <w:tc>
          <w:tcPr>
            <w:tcW w:type="dxa" w:w="2350"/>
            <w:tcMar>
              <w:top w:w="80" w:type="dxa"/>
              <w:start w:w="120" w:type="dxa"/>
              <w:bottom w:w="80" w:type="dxa"/>
              <w:end w:w="120" w:type="dxa"/>
            </w:tcMar>
            <w:vAlign w:val="top"/>
          </w:tcPr>
          <w:p>
            <w:pPr>
              <w:spacing w:after="0" w:line="259" w:lineRule="auto"/>
            </w:pPr>
            <w:r>
              <w:rPr>
                <w:rFonts w:ascii="Calibri" w:hAnsi="Calibri" w:eastAsia="Calibri"/>
                <w:b/>
                <w:color w:val="20252B"/>
                <w:sz w:val="17"/>
              </w:rPr>
              <w:t>Verification</w:t>
            </w:r>
          </w:p>
        </w:tc>
        <w:tc>
          <w:tcPr>
            <w:tcW w:type="dxa" w:w="70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Use code review, automated scanning and risk-based penetration or specialist testing before higher-risk releases.</w:t>
            </w:r>
          </w:p>
        </w:tc>
      </w:tr>
    </w:tbl>
    <w:p>
      <w:pPr>
        <w:spacing w:after="20"/>
      </w:pPr>
    </w:p>
    <w:p>
      <w:pPr>
        <w:pStyle w:val="Heading2"/>
      </w:pPr>
      <w:r>
        <w:t>Privacy engineering</w:t>
      </w:r>
    </w:p>
    <w:p>
      <w:pPr>
        <w:spacing w:before="0" w:after="80" w:line="300" w:lineRule="auto"/>
        <w:numPr>
          <w:ilvl w:val="0"/>
          <w:numId w:val="10"/>
        </w:numPr>
      </w:pPr>
      <w:r>
        <w:rPr>
          <w:rFonts w:ascii="Calibri" w:hAnsi="Calibri" w:eastAsia="Calibri"/>
        </w:rPr>
        <w:t>Identify the lawful and approved purpose for personal-data processing before collection.</w:t>
      </w:r>
    </w:p>
    <w:p>
      <w:pPr>
        <w:spacing w:before="0" w:after="80" w:line="300" w:lineRule="auto"/>
        <w:numPr>
          <w:ilvl w:val="0"/>
          <w:numId w:val="10"/>
        </w:numPr>
      </w:pPr>
      <w:r>
        <w:rPr>
          <w:rFonts w:ascii="Calibri" w:hAnsi="Calibri" w:eastAsia="Calibri"/>
        </w:rPr>
        <w:t>Record data categories, sources, users, transfers, storage locations, retention and deletion rules.</w:t>
      </w:r>
    </w:p>
    <w:p>
      <w:pPr>
        <w:spacing w:before="0" w:after="80" w:line="300" w:lineRule="auto"/>
        <w:numPr>
          <w:ilvl w:val="0"/>
          <w:numId w:val="10"/>
        </w:numPr>
      </w:pPr>
      <w:r>
        <w:rPr>
          <w:rFonts w:ascii="Calibri" w:hAnsi="Calibri" w:eastAsia="Calibri"/>
        </w:rPr>
        <w:t>Use data minimisation, privacy-friendly defaults, role-based access and separation of duties.</w:t>
      </w:r>
    </w:p>
    <w:p>
      <w:pPr>
        <w:spacing w:before="0" w:after="80" w:line="300" w:lineRule="auto"/>
        <w:numPr>
          <w:ilvl w:val="0"/>
          <w:numId w:val="10"/>
        </w:numPr>
      </w:pPr>
      <w:r>
        <w:rPr>
          <w:rFonts w:ascii="Calibri" w:hAnsi="Calibri" w:eastAsia="Calibri"/>
        </w:rPr>
        <w:t>Complete a privacy impact assessment when a project introduces high-risk processing, sensitive information, systematic monitoring, children’s data or significant automated decisions.</w:t>
      </w:r>
    </w:p>
    <w:p>
      <w:pPr>
        <w:spacing w:before="0" w:after="80" w:line="300" w:lineRule="auto"/>
        <w:numPr>
          <w:ilvl w:val="0"/>
          <w:numId w:val="10"/>
        </w:numPr>
      </w:pPr>
      <w:r>
        <w:rPr>
          <w:rFonts w:ascii="Calibri" w:hAnsi="Calibri" w:eastAsia="Calibri"/>
        </w:rPr>
        <w:t>Do not place production personal data in development or test environments unless specifically authorised, minimised and protected; prefer synthetic or properly de-identified data.</w:t>
      </w:r>
    </w:p>
    <w:p>
      <w:pPr>
        <w:spacing w:before="0" w:after="80" w:line="300" w:lineRule="auto"/>
        <w:numPr>
          <w:ilvl w:val="0"/>
          <w:numId w:val="10"/>
        </w:numPr>
      </w:pPr>
      <w:r>
        <w:rPr>
          <w:rFonts w:ascii="Calibri" w:hAnsi="Calibri" w:eastAsia="Calibri"/>
        </w:rPr>
        <w:t>Plan how to detect, contain, assess, record and escalate a suspected personal-data breach.</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FF8E8"/>
            <w:tcBorders>
              <w:top w:val="single" w:sz="4" w:space="0" w:color="B7C2CF"/>
              <w:start w:val="single" w:sz="18" w:space="0" w:color="A66A00"/>
              <w:bottom w:val="single" w:sz="4" w:space="0" w:color="B7C2CF"/>
              <w:end w:val="single" w:sz="4" w:space="0" w:color="B7C2CF"/>
            </w:tcBorders>
          </w:tcPr>
          <w:p>
            <w:pPr>
              <w:spacing w:after="0" w:line="276" w:lineRule="auto"/>
            </w:pPr>
            <w:r>
              <w:rPr>
                <w:rFonts w:ascii="Calibri" w:hAnsi="Calibri" w:eastAsia="Calibri"/>
                <w:b/>
                <w:color w:val="A66A00"/>
                <w:sz w:val="20"/>
              </w:rPr>
              <w:t xml:space="preserve">Ghana compliance baseline: </w:t>
            </w:r>
            <w:r>
              <w:rPr>
                <w:rFonts w:ascii="Calibri" w:hAnsi="Calibri" w:eastAsia="Calibri"/>
                <w:color w:val="20252B"/>
                <w:sz w:val="20"/>
              </w:rPr>
              <w:t>Where KenAddme IT Links controls or processes personal data in Ghana, projects must assess obligations under the Data Protection Act, 2012 (Act 843) and applicable guidance from the Data Protection Commission. Cybersecurity activities and services must also be assessed against the Cybersecurity Act, 2020 (Act 1038) and applicable directions of the Cyber Security Authority. Qualified advice should be obtained for uncertain or high-risk obligations.</w:t>
            </w:r>
          </w:p>
        </w:tc>
      </w:tr>
    </w:tbl>
    <w:p>
      <w:pPr>
        <w:spacing w:after="20"/>
      </w:pPr>
    </w:p>
    <w:p>
      <w:pPr>
        <w:pStyle w:val="Heading1"/>
      </w:pPr>
      <w:r>
        <w:t>DevOps, environments and configuration management</w:t>
      </w:r>
    </w:p>
    <w:p>
      <w:pPr>
        <w:pStyle w:val="Heading2"/>
      </w:pPr>
      <w:r>
        <w:t>Environment model</w:t>
      </w:r>
    </w:p>
    <w:tbl>
      <w:tblPr>
        <w:tblLook w:firstColumn="1" w:firstRow="1" w:lastColumn="0" w:lastRow="0" w:noHBand="0" w:noVBand="1" w:val="04A0"/>
        <w:tblStyle w:val="TableGrid"/>
        <w:jc w:val="left"/>
        <w:tblW w:w="9360" w:type="dxa"/>
        <w:tblInd w:w="120" w:type="dxa"/>
        <w:tblLayout w:type="fixed"/>
      </w:tblPr>
      <w:tblGrid>
        <w:gridCol w:w="1600"/>
        <w:gridCol w:w="2400"/>
        <w:gridCol w:w="5360"/>
      </w:tblGrid>
      <w:tr>
        <w:trPr>
          <w:cantSplit/>
          <w:tblHeader w:val="true"/>
        </w:trPr>
        <w:tc>
          <w:tcPr>
            <w:tcW w:type="dxa" w:w="16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Environment</w:t>
            </w:r>
          </w:p>
        </w:tc>
        <w:tc>
          <w:tcPr>
            <w:tcW w:type="dxa" w:w="24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Purpose</w:t>
            </w:r>
          </w:p>
        </w:tc>
        <w:tc>
          <w:tcPr>
            <w:tcW w:type="dxa" w:w="53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Control expectations</w:t>
            </w:r>
          </w:p>
        </w:tc>
      </w:tr>
      <w:tr>
        <w:trPr>
          <w:cantSplit/>
        </w:trPr>
        <w:tc>
          <w:tcPr>
            <w:tcW w:type="dxa" w:w="1600"/>
            <w:tcMar>
              <w:top w:w="80" w:type="dxa"/>
              <w:start w:w="120" w:type="dxa"/>
              <w:bottom w:w="80" w:type="dxa"/>
              <w:end w:w="120" w:type="dxa"/>
            </w:tcMar>
            <w:vAlign w:val="top"/>
          </w:tcPr>
          <w:p>
            <w:pPr>
              <w:spacing w:after="0" w:line="259" w:lineRule="auto"/>
            </w:pPr>
            <w:r>
              <w:rPr>
                <w:rFonts w:ascii="Calibri" w:hAnsi="Calibri" w:eastAsia="Calibri"/>
                <w:b/>
                <w:color w:val="20252B"/>
                <w:sz w:val="17"/>
              </w:rPr>
              <w:t>Development</w:t>
            </w:r>
          </w:p>
        </w:tc>
        <w:tc>
          <w:tcPr>
            <w:tcW w:type="dxa" w:w="24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Local and shared engineering work</w:t>
            </w:r>
          </w:p>
        </w:tc>
        <w:tc>
          <w:tcPr>
            <w:tcW w:type="dxa" w:w="5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Non-production credentials; synthetic/minimised data; frequent change; developer access controlled by project membership.</w:t>
            </w:r>
          </w:p>
        </w:tc>
      </w:tr>
      <w:tr>
        <w:trPr>
          <w:cantSplit/>
        </w:trPr>
        <w:tc>
          <w:tcPr>
            <w:tcW w:type="dxa" w:w="1600"/>
            <w:tcMar>
              <w:top w:w="80" w:type="dxa"/>
              <w:start w:w="120" w:type="dxa"/>
              <w:bottom w:w="80" w:type="dxa"/>
              <w:end w:w="120" w:type="dxa"/>
            </w:tcMar>
            <w:vAlign w:val="top"/>
          </w:tcPr>
          <w:p>
            <w:pPr>
              <w:spacing w:after="0" w:line="259" w:lineRule="auto"/>
            </w:pPr>
            <w:r>
              <w:rPr>
                <w:rFonts w:ascii="Calibri" w:hAnsi="Calibri" w:eastAsia="Calibri"/>
                <w:b/>
                <w:color w:val="20252B"/>
                <w:sz w:val="17"/>
              </w:rPr>
              <w:t>Test / QA</w:t>
            </w:r>
          </w:p>
        </w:tc>
        <w:tc>
          <w:tcPr>
            <w:tcW w:type="dxa" w:w="24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Repeatable verification and defect reproduction</w:t>
            </w:r>
          </w:p>
        </w:tc>
        <w:tc>
          <w:tcPr>
            <w:tcW w:type="dxa" w:w="5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Identifiable builds; controlled test data; test evidence; integrations isolated or safely simulated.</w:t>
            </w:r>
          </w:p>
        </w:tc>
      </w:tr>
      <w:tr>
        <w:trPr>
          <w:cantSplit/>
        </w:trPr>
        <w:tc>
          <w:tcPr>
            <w:tcW w:type="dxa" w:w="1600"/>
            <w:tcMar>
              <w:top w:w="80" w:type="dxa"/>
              <w:start w:w="120" w:type="dxa"/>
              <w:bottom w:w="80" w:type="dxa"/>
              <w:end w:w="120" w:type="dxa"/>
            </w:tcMar>
            <w:vAlign w:val="top"/>
          </w:tcPr>
          <w:p>
            <w:pPr>
              <w:spacing w:after="0" w:line="259" w:lineRule="auto"/>
            </w:pPr>
            <w:r>
              <w:rPr>
                <w:rFonts w:ascii="Calibri" w:hAnsi="Calibri" w:eastAsia="Calibri"/>
                <w:b/>
                <w:color w:val="20252B"/>
                <w:sz w:val="17"/>
              </w:rPr>
              <w:t>Staging / pre-production</w:t>
            </w:r>
          </w:p>
        </w:tc>
        <w:tc>
          <w:tcPr>
            <w:tcW w:type="dxa" w:w="24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Production-like release and operational verification</w:t>
            </w:r>
          </w:p>
        </w:tc>
        <w:tc>
          <w:tcPr>
            <w:tcW w:type="dxa" w:w="5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Restricted access; production-like configuration; deployment, migration, monitoring and rollback rehearsal.</w:t>
            </w:r>
          </w:p>
        </w:tc>
      </w:tr>
      <w:tr>
        <w:trPr>
          <w:cantSplit/>
        </w:trPr>
        <w:tc>
          <w:tcPr>
            <w:tcW w:type="dxa" w:w="1600"/>
            <w:tcMar>
              <w:top w:w="80" w:type="dxa"/>
              <w:start w:w="120" w:type="dxa"/>
              <w:bottom w:w="80" w:type="dxa"/>
              <w:end w:w="120" w:type="dxa"/>
            </w:tcMar>
            <w:vAlign w:val="top"/>
          </w:tcPr>
          <w:p>
            <w:pPr>
              <w:spacing w:after="0" w:line="259" w:lineRule="auto"/>
            </w:pPr>
            <w:r>
              <w:rPr>
                <w:rFonts w:ascii="Calibri" w:hAnsi="Calibri" w:eastAsia="Calibri"/>
                <w:b/>
                <w:color w:val="20252B"/>
                <w:sz w:val="17"/>
              </w:rPr>
              <w:t>Production</w:t>
            </w:r>
          </w:p>
        </w:tc>
        <w:tc>
          <w:tcPr>
            <w:tcW w:type="dxa" w:w="24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Approved live service</w:t>
            </w:r>
          </w:p>
        </w:tc>
        <w:tc>
          <w:tcPr>
            <w:tcW w:type="dxa" w:w="5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Strongest access controls; monitored change; protected data; backups; logging; support; no direct experimentation.</w:t>
            </w:r>
          </w:p>
        </w:tc>
      </w:tr>
    </w:tbl>
    <w:p>
      <w:pPr>
        <w:spacing w:after="20"/>
      </w:pPr>
    </w:p>
    <w:p>
      <w:pPr>
        <w:pStyle w:val="Heading2"/>
      </w:pPr>
      <w:r>
        <w:t>Continuous-integration minimum</w:t>
      </w:r>
    </w:p>
    <w:p>
      <w:pPr>
        <w:spacing w:before="0" w:after="80" w:line="300" w:lineRule="auto"/>
        <w:numPr>
          <w:ilvl w:val="0"/>
          <w:numId w:val="13"/>
        </w:numPr>
      </w:pPr>
      <w:r>
        <w:rPr>
          <w:rFonts w:ascii="Calibri" w:hAnsi="Calibri" w:eastAsia="Calibri"/>
        </w:rPr>
        <w:t>restore or verify controlled dependencies;</w:t>
      </w:r>
    </w:p>
    <w:p>
      <w:pPr>
        <w:spacing w:before="0" w:after="80" w:line="300" w:lineRule="auto"/>
        <w:numPr>
          <w:ilvl w:val="0"/>
          <w:numId w:val="13"/>
        </w:numPr>
      </w:pPr>
      <w:r>
        <w:rPr>
          <w:rFonts w:ascii="Calibri" w:hAnsi="Calibri" w:eastAsia="Calibri"/>
        </w:rPr>
        <w:t>compile/build/package the product reproducibly;</w:t>
      </w:r>
    </w:p>
    <w:p>
      <w:pPr>
        <w:spacing w:before="0" w:after="80" w:line="300" w:lineRule="auto"/>
        <w:numPr>
          <w:ilvl w:val="0"/>
          <w:numId w:val="13"/>
        </w:numPr>
      </w:pPr>
      <w:r>
        <w:rPr>
          <w:rFonts w:ascii="Calibri" w:hAnsi="Calibri" w:eastAsia="Calibri"/>
        </w:rPr>
        <w:t>run formatting, linting and static checks appropriate to the stack;</w:t>
      </w:r>
    </w:p>
    <w:p>
      <w:pPr>
        <w:spacing w:before="0" w:after="80" w:line="300" w:lineRule="auto"/>
        <w:numPr>
          <w:ilvl w:val="0"/>
          <w:numId w:val="13"/>
        </w:numPr>
      </w:pPr>
      <w:r>
        <w:rPr>
          <w:rFonts w:ascii="Calibri" w:hAnsi="Calibri" w:eastAsia="Calibri"/>
        </w:rPr>
        <w:t>run unit and selected integration/contract tests;</w:t>
      </w:r>
    </w:p>
    <w:p>
      <w:pPr>
        <w:spacing w:before="0" w:after="80" w:line="300" w:lineRule="auto"/>
        <w:numPr>
          <w:ilvl w:val="0"/>
          <w:numId w:val="13"/>
        </w:numPr>
      </w:pPr>
      <w:r>
        <w:rPr>
          <w:rFonts w:ascii="Calibri" w:hAnsi="Calibri" w:eastAsia="Calibri"/>
        </w:rPr>
        <w:t>scan for exposed secrets and vulnerable dependencies;</w:t>
      </w:r>
    </w:p>
    <w:p>
      <w:pPr>
        <w:spacing w:before="0" w:after="80" w:line="300" w:lineRule="auto"/>
        <w:numPr>
          <w:ilvl w:val="0"/>
          <w:numId w:val="13"/>
        </w:numPr>
      </w:pPr>
      <w:r>
        <w:rPr>
          <w:rFonts w:ascii="Calibri" w:hAnsi="Calibri" w:eastAsia="Calibri"/>
        </w:rPr>
        <w:t>produce a uniquely identified, integrity-protected artefact; and</w:t>
      </w:r>
    </w:p>
    <w:p>
      <w:pPr>
        <w:spacing w:before="0" w:after="80" w:line="300" w:lineRule="auto"/>
        <w:numPr>
          <w:ilvl w:val="0"/>
          <w:numId w:val="13"/>
        </w:numPr>
      </w:pPr>
      <w:r>
        <w:rPr>
          <w:rFonts w:ascii="Calibri" w:hAnsi="Calibri" w:eastAsia="Calibri"/>
        </w:rPr>
        <w:t>retain sufficient logs to establish what source, tools and tests created the artefact.</w:t>
      </w:r>
    </w:p>
    <w:p>
      <w:pPr>
        <w:pStyle w:val="Heading2"/>
      </w:pPr>
      <w:r>
        <w:t>Configuration and infrastructure</w:t>
      </w:r>
    </w:p>
    <w:p>
      <w:r>
        <w:rPr>
          <w:rFonts w:ascii="Calibri" w:hAnsi="Calibri" w:eastAsia="Calibri"/>
          <w:i w:val="0"/>
        </w:rPr>
        <w:t>Configuration must be versioned, reviewed and separated from secrets. Infrastructure should be defined as code where practical. Manual production changes must be recorded and reconciled with the controlled baseline. Environment differences must be intentional and documented, not the accidental result of untracked actions.</w:t>
      </w:r>
    </w:p>
    <w:p>
      <w:pPr>
        <w:pStyle w:val="Heading2"/>
      </w:pPr>
      <w:r>
        <w:t>Release and rollback</w:t>
      </w:r>
    </w:p>
    <w:p>
      <w:r>
        <w:rPr>
          <w:rFonts w:ascii="Calibri" w:hAnsi="Calibri" w:eastAsia="Calibri"/>
          <w:i w:val="0"/>
        </w:rPr>
        <w:t>Each release must define expected state, validation checks, decision points and rollback or forward-fix criteria. Database changes should use safe, compatible sequences when possible. Irreversible operations require explicit backup, verification and residual-risk approval.</w:t>
      </w:r>
    </w:p>
    <w:p>
      <w:pPr>
        <w:pStyle w:val="Heading1"/>
      </w:pPr>
      <w:r>
        <w:t>Data, database and integration engineering</w:t>
      </w:r>
    </w:p>
    <w:p>
      <w:pPr>
        <w:pStyle w:val="Heading2"/>
      </w:pPr>
      <w:r>
        <w:t>Data classification</w:t>
      </w:r>
    </w:p>
    <w:tbl>
      <w:tblPr>
        <w:tblLook w:firstColumn="1" w:firstRow="1" w:lastColumn="0" w:lastRow="0" w:noHBand="0" w:noVBand="1" w:val="04A0"/>
        <w:tblStyle w:val="TableGrid"/>
        <w:jc w:val="left"/>
        <w:tblW w:w="9360" w:type="dxa"/>
        <w:tblInd w:w="120" w:type="dxa"/>
        <w:tblLayout w:type="fixed"/>
      </w:tblPr>
      <w:tblGrid>
        <w:gridCol w:w="1600"/>
        <w:gridCol w:w="3200"/>
        <w:gridCol w:w="4560"/>
      </w:tblGrid>
      <w:tr>
        <w:trPr>
          <w:cantSplit/>
          <w:tblHeader w:val="true"/>
        </w:trPr>
        <w:tc>
          <w:tcPr>
            <w:tcW w:type="dxa" w:w="16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Class</w:t>
            </w:r>
          </w:p>
        </w:tc>
        <w:tc>
          <w:tcPr>
            <w:tcW w:type="dxa" w:w="32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Examples</w:t>
            </w:r>
          </w:p>
        </w:tc>
        <w:tc>
          <w:tcPr>
            <w:tcW w:type="dxa" w:w="45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Handling requirement</w:t>
            </w:r>
          </w:p>
        </w:tc>
      </w:tr>
      <w:tr>
        <w:trPr>
          <w:cantSplit/>
        </w:trPr>
        <w:tc>
          <w:tcPr>
            <w:tcW w:type="dxa" w:w="1600"/>
            <w:tcMar>
              <w:top w:w="80" w:type="dxa"/>
              <w:start w:w="120" w:type="dxa"/>
              <w:bottom w:w="80" w:type="dxa"/>
              <w:end w:w="120" w:type="dxa"/>
            </w:tcMar>
            <w:vAlign w:val="top"/>
          </w:tcPr>
          <w:p>
            <w:pPr>
              <w:spacing w:after="0" w:line="259" w:lineRule="auto"/>
            </w:pPr>
            <w:r>
              <w:rPr>
                <w:rFonts w:ascii="Calibri" w:hAnsi="Calibri" w:eastAsia="Calibri"/>
                <w:b/>
                <w:color w:val="20252B"/>
                <w:sz w:val="17"/>
              </w:rPr>
              <w:t>Public</w:t>
            </w:r>
          </w:p>
        </w:tc>
        <w:tc>
          <w:tcPr>
            <w:tcW w:type="dxa" w:w="32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Approved public website content, published brochures</w:t>
            </w:r>
          </w:p>
        </w:tc>
        <w:tc>
          <w:tcPr>
            <w:tcW w:type="dxa" w:w="45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Integrity must remain controlled and disclosure must be authorised.</w:t>
            </w:r>
          </w:p>
        </w:tc>
      </w:tr>
      <w:tr>
        <w:trPr>
          <w:cantSplit/>
        </w:trPr>
        <w:tc>
          <w:tcPr>
            <w:tcW w:type="dxa" w:w="1600"/>
            <w:tcMar>
              <w:top w:w="80" w:type="dxa"/>
              <w:start w:w="120" w:type="dxa"/>
              <w:bottom w:w="80" w:type="dxa"/>
              <w:end w:w="120" w:type="dxa"/>
            </w:tcMar>
            <w:vAlign w:val="top"/>
          </w:tcPr>
          <w:p>
            <w:pPr>
              <w:spacing w:after="0" w:line="259" w:lineRule="auto"/>
            </w:pPr>
            <w:r>
              <w:rPr>
                <w:rFonts w:ascii="Calibri" w:hAnsi="Calibri" w:eastAsia="Calibri"/>
                <w:b/>
                <w:color w:val="20252B"/>
                <w:sz w:val="17"/>
              </w:rPr>
              <w:t>Internal</w:t>
            </w:r>
          </w:p>
        </w:tc>
        <w:tc>
          <w:tcPr>
            <w:tcW w:type="dxa" w:w="32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Internal procedures, ordinary project communication</w:t>
            </w:r>
          </w:p>
        </w:tc>
        <w:tc>
          <w:tcPr>
            <w:tcW w:type="dxa" w:w="45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Information must be shared only for legitimate institutional work.</w:t>
            </w:r>
          </w:p>
        </w:tc>
      </w:tr>
      <w:tr>
        <w:trPr>
          <w:cantSplit/>
        </w:trPr>
        <w:tc>
          <w:tcPr>
            <w:tcW w:type="dxa" w:w="1600"/>
            <w:tcMar>
              <w:top w:w="80" w:type="dxa"/>
              <w:start w:w="120" w:type="dxa"/>
              <w:bottom w:w="80" w:type="dxa"/>
              <w:end w:w="120" w:type="dxa"/>
            </w:tcMar>
            <w:vAlign w:val="top"/>
          </w:tcPr>
          <w:p>
            <w:pPr>
              <w:spacing w:after="0" w:line="259" w:lineRule="auto"/>
            </w:pPr>
            <w:r>
              <w:rPr>
                <w:rFonts w:ascii="Calibri" w:hAnsi="Calibri" w:eastAsia="Calibri"/>
                <w:b/>
                <w:color w:val="20252B"/>
                <w:sz w:val="17"/>
              </w:rPr>
              <w:t>Confidential</w:t>
            </w:r>
          </w:p>
        </w:tc>
        <w:tc>
          <w:tcPr>
            <w:tcW w:type="dxa" w:w="32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Client information, source code, contracts, non-public designs</w:t>
            </w:r>
          </w:p>
        </w:tc>
        <w:tc>
          <w:tcPr>
            <w:tcW w:type="dxa" w:w="45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Access must be need-to-know; sharing and storage/transfer must be controlled and protected.</w:t>
            </w:r>
          </w:p>
        </w:tc>
      </w:tr>
      <w:tr>
        <w:trPr>
          <w:cantSplit/>
        </w:trPr>
        <w:tc>
          <w:tcPr>
            <w:tcW w:type="dxa" w:w="1600"/>
            <w:tcMar>
              <w:top w:w="80" w:type="dxa"/>
              <w:start w:w="120" w:type="dxa"/>
              <w:bottom w:w="80" w:type="dxa"/>
              <w:end w:w="120" w:type="dxa"/>
            </w:tcMar>
            <w:vAlign w:val="top"/>
          </w:tcPr>
          <w:p>
            <w:pPr>
              <w:spacing w:after="0" w:line="259" w:lineRule="auto"/>
            </w:pPr>
            <w:r>
              <w:rPr>
                <w:rFonts w:ascii="Calibri" w:hAnsi="Calibri" w:eastAsia="Calibri"/>
                <w:b/>
                <w:color w:val="20252B"/>
                <w:sz w:val="17"/>
              </w:rPr>
              <w:t>Restricted</w:t>
            </w:r>
          </w:p>
        </w:tc>
        <w:tc>
          <w:tcPr>
            <w:tcW w:type="dxa" w:w="320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Passwords/keys, sensitive personal data, financial/identity records, critical security data</w:t>
            </w:r>
          </w:p>
        </w:tc>
        <w:tc>
          <w:tcPr>
            <w:tcW w:type="dxa" w:w="45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An explicit owner, strongest applicable access control, encryption, monitoring, minimisation and defined retention must be used.</w:t>
            </w:r>
          </w:p>
        </w:tc>
      </w:tr>
    </w:tbl>
    <w:p>
      <w:pPr>
        <w:spacing w:after="20"/>
      </w:pPr>
    </w:p>
    <w:p>
      <w:pPr>
        <w:pStyle w:val="Heading2"/>
      </w:pPr>
      <w:r>
        <w:t>Database requirements</w:t>
      </w:r>
    </w:p>
    <w:p>
      <w:pPr>
        <w:spacing w:before="0" w:after="80" w:line="300" w:lineRule="auto"/>
        <w:numPr>
          <w:ilvl w:val="0"/>
          <w:numId w:val="10"/>
        </w:numPr>
      </w:pPr>
      <w:r>
        <w:rPr>
          <w:rFonts w:ascii="Calibri" w:hAnsi="Calibri" w:eastAsia="Calibri"/>
        </w:rPr>
        <w:t>Define authoritative entities, field meanings, ownership, quality rules and relationships.</w:t>
      </w:r>
    </w:p>
    <w:p>
      <w:pPr>
        <w:spacing w:before="0" w:after="80" w:line="300" w:lineRule="auto"/>
        <w:numPr>
          <w:ilvl w:val="0"/>
          <w:numId w:val="10"/>
        </w:numPr>
      </w:pPr>
      <w:r>
        <w:rPr>
          <w:rFonts w:ascii="Calibri" w:hAnsi="Calibri" w:eastAsia="Calibri"/>
        </w:rPr>
        <w:t>Use schema migrations that are versioned, reviewed, testable and linked to the release.</w:t>
      </w:r>
    </w:p>
    <w:p>
      <w:pPr>
        <w:spacing w:before="0" w:after="80" w:line="300" w:lineRule="auto"/>
        <w:numPr>
          <w:ilvl w:val="0"/>
          <w:numId w:val="10"/>
        </w:numPr>
      </w:pPr>
      <w:r>
        <w:rPr>
          <w:rFonts w:ascii="Calibri" w:hAnsi="Calibri" w:eastAsia="Calibri"/>
        </w:rPr>
        <w:t>Protect integrity with appropriate keys, constraints, transactions and validation.</w:t>
      </w:r>
    </w:p>
    <w:p>
      <w:pPr>
        <w:spacing w:before="0" w:after="80" w:line="300" w:lineRule="auto"/>
        <w:numPr>
          <w:ilvl w:val="0"/>
          <w:numId w:val="10"/>
        </w:numPr>
      </w:pPr>
      <w:r>
        <w:rPr>
          <w:rFonts w:ascii="Calibri" w:hAnsi="Calibri" w:eastAsia="Calibri"/>
        </w:rPr>
        <w:t>Use least-privileged application identities; restrict direct production access and record privileged activity.</w:t>
      </w:r>
    </w:p>
    <w:p>
      <w:pPr>
        <w:spacing w:before="0" w:after="80" w:line="300" w:lineRule="auto"/>
        <w:numPr>
          <w:ilvl w:val="0"/>
          <w:numId w:val="10"/>
        </w:numPr>
      </w:pPr>
      <w:r>
        <w:rPr>
          <w:rFonts w:ascii="Calibri" w:hAnsi="Calibri" w:eastAsia="Calibri"/>
        </w:rPr>
        <w:t>Define backup frequency, retention, encryption, restoration testing, Recovery Point Objective and Recovery Time Objective according to service need.</w:t>
      </w:r>
    </w:p>
    <w:p>
      <w:pPr>
        <w:spacing w:before="0" w:after="80" w:line="300" w:lineRule="auto"/>
        <w:numPr>
          <w:ilvl w:val="0"/>
          <w:numId w:val="10"/>
        </w:numPr>
      </w:pPr>
      <w:r>
        <w:rPr>
          <w:rFonts w:ascii="Calibri" w:hAnsi="Calibri" w:eastAsia="Calibri"/>
        </w:rPr>
        <w:t>Plan retention, archival and secure deletion, including copies, exports and backups where technically and legally applicable.</w:t>
      </w:r>
    </w:p>
    <w:p>
      <w:pPr>
        <w:spacing w:before="0" w:after="80" w:line="300" w:lineRule="auto"/>
        <w:numPr>
          <w:ilvl w:val="0"/>
          <w:numId w:val="10"/>
        </w:numPr>
      </w:pPr>
      <w:r>
        <w:rPr>
          <w:rFonts w:ascii="Calibri" w:hAnsi="Calibri" w:eastAsia="Calibri"/>
        </w:rPr>
        <w:t>Measure and address data quality where decisions, reporting or automated outcomes depend on it.</w:t>
      </w:r>
    </w:p>
    <w:p>
      <w:pPr>
        <w:pStyle w:val="Heading2"/>
      </w:pPr>
      <w:r>
        <w:t>API and integration requirements</w:t>
      </w:r>
    </w:p>
    <w:p>
      <w:pPr>
        <w:spacing w:before="0" w:after="80" w:line="300" w:lineRule="auto"/>
        <w:numPr>
          <w:ilvl w:val="0"/>
          <w:numId w:val="10"/>
        </w:numPr>
      </w:pPr>
      <w:r>
        <w:rPr>
          <w:rFonts w:ascii="Calibri" w:hAnsi="Calibri" w:eastAsia="Calibri"/>
        </w:rPr>
        <w:t>Publish a controlled contract or specification and define versioning and compatibility policy.</w:t>
      </w:r>
    </w:p>
    <w:p>
      <w:pPr>
        <w:spacing w:before="0" w:after="80" w:line="300" w:lineRule="auto"/>
        <w:numPr>
          <w:ilvl w:val="0"/>
          <w:numId w:val="10"/>
        </w:numPr>
      </w:pPr>
      <w:r>
        <w:rPr>
          <w:rFonts w:ascii="Calibri" w:hAnsi="Calibri" w:eastAsia="Calibri"/>
        </w:rPr>
        <w:t>Authenticate and authorise each integration according to its trust level; do not share user credentials between services.</w:t>
      </w:r>
    </w:p>
    <w:p>
      <w:pPr>
        <w:spacing w:before="0" w:after="80" w:line="300" w:lineRule="auto"/>
        <w:numPr>
          <w:ilvl w:val="0"/>
          <w:numId w:val="10"/>
        </w:numPr>
      </w:pPr>
      <w:r>
        <w:rPr>
          <w:rFonts w:ascii="Calibri" w:hAnsi="Calibri" w:eastAsia="Calibri"/>
        </w:rPr>
        <w:t>Define timeouts, retries, idempotency, rate limits, error responses and dependency-failure behaviour.</w:t>
      </w:r>
    </w:p>
    <w:p>
      <w:pPr>
        <w:spacing w:before="0" w:after="80" w:line="300" w:lineRule="auto"/>
        <w:numPr>
          <w:ilvl w:val="0"/>
          <w:numId w:val="10"/>
        </w:numPr>
      </w:pPr>
      <w:r>
        <w:rPr>
          <w:rFonts w:ascii="Calibri" w:hAnsi="Calibri" w:eastAsia="Calibri"/>
        </w:rPr>
        <w:t>Validate inbound and outbound data, protect sensitive fields and log trace identifiers without leaking secrets.</w:t>
      </w:r>
    </w:p>
    <w:p>
      <w:pPr>
        <w:spacing w:before="0" w:after="80" w:line="300" w:lineRule="auto"/>
        <w:numPr>
          <w:ilvl w:val="0"/>
          <w:numId w:val="10"/>
        </w:numPr>
      </w:pPr>
      <w:r>
        <w:rPr>
          <w:rFonts w:ascii="Calibri" w:hAnsi="Calibri" w:eastAsia="Calibri"/>
        </w:rPr>
        <w:t>Monitor availability, latency, failures and quota/cost exposure for external dependencies.</w:t>
      </w:r>
    </w:p>
    <w:p>
      <w:pPr>
        <w:spacing w:before="0" w:after="80" w:line="300" w:lineRule="auto"/>
        <w:numPr>
          <w:ilvl w:val="0"/>
          <w:numId w:val="10"/>
        </w:numPr>
      </w:pPr>
      <w:r>
        <w:rPr>
          <w:rFonts w:ascii="Calibri" w:hAnsi="Calibri" w:eastAsia="Calibri"/>
        </w:rPr>
        <w:t>Document ownership, support contacts, service levels and exit/replaceability for critical third-party integrations.</w:t>
      </w:r>
    </w:p>
    <w:p>
      <w:pPr>
        <w:pStyle w:val="Heading1"/>
      </w:pPr>
      <w:r>
        <w:t>User experience, accessibility and local usability</w:t>
      </w:r>
    </w:p>
    <w:p>
      <w:r>
        <w:rPr>
          <w:rFonts w:ascii="Calibri" w:hAnsi="Calibri" w:eastAsia="Calibri"/>
          <w:i w:val="0"/>
        </w:rPr>
        <w:t>A technically correct system can still fail when users cannot understand, access or reliably complete their tasks. Design and validation must reflect the intended users and actual operating environment.</w:t>
      </w:r>
    </w:p>
    <w:p>
      <w:pPr>
        <w:pStyle w:val="Heading2"/>
      </w:pPr>
      <w:r>
        <w:t>Institutional UX requirements</w:t>
      </w:r>
    </w:p>
    <w:p>
      <w:pPr>
        <w:spacing w:before="0" w:after="80" w:line="300" w:lineRule="auto"/>
        <w:numPr>
          <w:ilvl w:val="0"/>
          <w:numId w:val="10"/>
        </w:numPr>
      </w:pPr>
      <w:r>
        <w:rPr>
          <w:rFonts w:ascii="Calibri" w:hAnsi="Calibri" w:eastAsia="Calibri"/>
        </w:rPr>
        <w:t>Identify primary users, their goals, permissions, knowledge, devices and environment.</w:t>
      </w:r>
    </w:p>
    <w:p>
      <w:pPr>
        <w:spacing w:before="0" w:after="80" w:line="300" w:lineRule="auto"/>
        <w:numPr>
          <w:ilvl w:val="0"/>
          <w:numId w:val="10"/>
        </w:numPr>
      </w:pPr>
      <w:r>
        <w:rPr>
          <w:rFonts w:ascii="Calibri" w:hAnsi="Calibri" w:eastAsia="Calibri"/>
        </w:rPr>
        <w:t>Validate important workflows with sketches or prototypes before expensive implementation.</w:t>
      </w:r>
    </w:p>
    <w:p>
      <w:pPr>
        <w:spacing w:before="0" w:after="80" w:line="300" w:lineRule="auto"/>
        <w:numPr>
          <w:ilvl w:val="0"/>
          <w:numId w:val="10"/>
        </w:numPr>
      </w:pPr>
      <w:r>
        <w:rPr>
          <w:rFonts w:ascii="Calibri" w:hAnsi="Calibri" w:eastAsia="Calibri"/>
        </w:rPr>
        <w:t>Use consistent navigation, plain language, clear labels, helpful validation and safe confirmation for destructive actions.</w:t>
      </w:r>
    </w:p>
    <w:p>
      <w:pPr>
        <w:spacing w:before="0" w:after="80" w:line="300" w:lineRule="auto"/>
        <w:numPr>
          <w:ilvl w:val="0"/>
          <w:numId w:val="10"/>
        </w:numPr>
      </w:pPr>
      <w:r>
        <w:rPr>
          <w:rFonts w:ascii="Calibri" w:hAnsi="Calibri" w:eastAsia="Calibri"/>
        </w:rPr>
        <w:t>Provide usable loading, empty, offline, error, permission-denied and recovery states.</w:t>
      </w:r>
    </w:p>
    <w:p>
      <w:pPr>
        <w:spacing w:before="0" w:after="80" w:line="300" w:lineRule="auto"/>
        <w:numPr>
          <w:ilvl w:val="0"/>
          <w:numId w:val="10"/>
        </w:numPr>
      </w:pPr>
      <w:r>
        <w:rPr>
          <w:rFonts w:ascii="Calibri" w:hAnsi="Calibri" w:eastAsia="Calibri"/>
        </w:rPr>
        <w:t>Design for realistic Ghanaian and client contexts, including mobile-first use, limited bandwidth, older devices, intermittent connectivity and support needs where applicable.</w:t>
      </w:r>
    </w:p>
    <w:p>
      <w:pPr>
        <w:spacing w:before="0" w:after="80" w:line="300" w:lineRule="auto"/>
        <w:numPr>
          <w:ilvl w:val="0"/>
          <w:numId w:val="10"/>
        </w:numPr>
      </w:pPr>
      <w:r>
        <w:rPr>
          <w:rFonts w:ascii="Calibri" w:hAnsi="Calibri" w:eastAsia="Calibri"/>
        </w:rPr>
        <w:t>Protect users from accidental disclosure when screens, exports, notifications or shared devices may expose confidential information.</w:t>
      </w:r>
    </w:p>
    <w:p>
      <w:pPr>
        <w:spacing w:before="0" w:after="80" w:line="300" w:lineRule="auto"/>
        <w:numPr>
          <w:ilvl w:val="0"/>
          <w:numId w:val="10"/>
        </w:numPr>
      </w:pPr>
      <w:r>
        <w:rPr>
          <w:rFonts w:ascii="Calibri" w:hAnsi="Calibri" w:eastAsia="Calibri"/>
        </w:rPr>
        <w:t>Collect usability feedback and correct barriers discovered during testing or operation.</w:t>
      </w:r>
    </w:p>
    <w:p>
      <w:pPr>
        <w:pStyle w:val="Heading2"/>
      </w:pPr>
      <w:r>
        <w:t>Accessibility target</w:t>
      </w:r>
    </w:p>
    <w:p>
      <w:r>
        <w:rPr>
          <w:rFonts w:ascii="Calibri" w:hAnsi="Calibri" w:eastAsia="Calibri"/>
          <w:i w:val="0"/>
        </w:rPr>
        <w:t>Public-facing and broadly used web interfaces should target WCAG 2.2 Level AA unless a documented project requirement sets a higher target or an approved exception explains a genuine limitation. Testing should combine automated checks with keyboard, focus, contrast, zoom, screen-reader and task-based human review appropriate to the product.</w:t>
      </w:r>
    </w:p>
    <w:p>
      <w:pPr>
        <w:pStyle w:val="Heading2"/>
      </w:pPr>
      <w:r>
        <w:t>Minimum accessibility checks</w:t>
      </w:r>
    </w:p>
    <w:tbl>
      <w:tblPr>
        <w:tblLook w:firstColumn="1" w:firstRow="1" w:lastColumn="0" w:lastRow="0" w:noHBand="0" w:noVBand="1" w:val="04A0"/>
        <w:tblStyle w:val="TableGrid"/>
        <w:jc w:val="left"/>
        <w:tblW w:w="9360" w:type="dxa"/>
        <w:tblInd w:w="120" w:type="dxa"/>
        <w:tblLayout w:type="fixed"/>
      </w:tblPr>
      <w:tblGrid>
        <w:gridCol w:w="2000"/>
        <w:gridCol w:w="7360"/>
      </w:tblGrid>
      <w:tr>
        <w:trPr>
          <w:cantSplit/>
          <w:tblHeader w:val="true"/>
        </w:trPr>
        <w:tc>
          <w:tcPr>
            <w:tcW w:type="dxa" w:w="20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Area</w:t>
            </w:r>
          </w:p>
        </w:tc>
        <w:tc>
          <w:tcPr>
            <w:tcW w:type="dxa" w:w="73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Acceptance focus</w:t>
            </w:r>
          </w:p>
        </w:tc>
      </w:tr>
      <w:tr>
        <w:trPr>
          <w:cantSplit/>
        </w:trPr>
        <w:tc>
          <w:tcPr>
            <w:tcW w:type="dxa" w:w="2000"/>
            <w:tcMar>
              <w:top w:w="80" w:type="dxa"/>
              <w:start w:w="120" w:type="dxa"/>
              <w:bottom w:w="80" w:type="dxa"/>
              <w:end w:w="120" w:type="dxa"/>
            </w:tcMar>
            <w:vAlign w:val="top"/>
          </w:tcPr>
          <w:p>
            <w:pPr>
              <w:spacing w:after="0" w:line="259" w:lineRule="auto"/>
            </w:pPr>
            <w:r>
              <w:rPr>
                <w:rFonts w:ascii="Calibri" w:hAnsi="Calibri" w:eastAsia="Calibri"/>
                <w:b/>
                <w:color w:val="20252B"/>
                <w:sz w:val="18"/>
              </w:rPr>
              <w:t>Perceivable</w:t>
            </w:r>
          </w:p>
        </w:tc>
        <w:tc>
          <w:tcPr>
            <w:tcW w:type="dxa" w:w="73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Text alternatives, meaningful structure, readable contrast, adaptable layout and captions/transcripts where needed.</w:t>
            </w:r>
          </w:p>
        </w:tc>
      </w:tr>
      <w:tr>
        <w:trPr>
          <w:cantSplit/>
        </w:trPr>
        <w:tc>
          <w:tcPr>
            <w:tcW w:type="dxa" w:w="2000"/>
            <w:tcMar>
              <w:top w:w="80" w:type="dxa"/>
              <w:start w:w="120" w:type="dxa"/>
              <w:bottom w:w="80" w:type="dxa"/>
              <w:end w:w="120" w:type="dxa"/>
            </w:tcMar>
            <w:vAlign w:val="top"/>
          </w:tcPr>
          <w:p>
            <w:pPr>
              <w:spacing w:after="0" w:line="259" w:lineRule="auto"/>
            </w:pPr>
            <w:r>
              <w:rPr>
                <w:rFonts w:ascii="Calibri" w:hAnsi="Calibri" w:eastAsia="Calibri"/>
                <w:b/>
                <w:color w:val="20252B"/>
                <w:sz w:val="18"/>
              </w:rPr>
              <w:t>Operable</w:t>
            </w:r>
          </w:p>
        </w:tc>
        <w:tc>
          <w:tcPr>
            <w:tcW w:type="dxa" w:w="73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Keyboard access, visible focus, usable target sizes, sufficient time and no harmful flashing.</w:t>
            </w:r>
          </w:p>
        </w:tc>
      </w:tr>
      <w:tr>
        <w:trPr>
          <w:cantSplit/>
        </w:trPr>
        <w:tc>
          <w:tcPr>
            <w:tcW w:type="dxa" w:w="2000"/>
            <w:tcMar>
              <w:top w:w="80" w:type="dxa"/>
              <w:start w:w="120" w:type="dxa"/>
              <w:bottom w:w="80" w:type="dxa"/>
              <w:end w:w="120" w:type="dxa"/>
            </w:tcMar>
            <w:vAlign w:val="top"/>
          </w:tcPr>
          <w:p>
            <w:pPr>
              <w:spacing w:after="0" w:line="259" w:lineRule="auto"/>
            </w:pPr>
            <w:r>
              <w:rPr>
                <w:rFonts w:ascii="Calibri" w:hAnsi="Calibri" w:eastAsia="Calibri"/>
                <w:b/>
                <w:color w:val="20252B"/>
                <w:sz w:val="18"/>
              </w:rPr>
              <w:t>Understandable</w:t>
            </w:r>
          </w:p>
        </w:tc>
        <w:tc>
          <w:tcPr>
            <w:tcW w:type="dxa" w:w="73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Plain language, consistent navigation, clear instructions and useful error identification/recovery.</w:t>
            </w:r>
          </w:p>
        </w:tc>
      </w:tr>
      <w:tr>
        <w:trPr>
          <w:cantSplit/>
        </w:trPr>
        <w:tc>
          <w:tcPr>
            <w:tcW w:type="dxa" w:w="2000"/>
            <w:tcMar>
              <w:top w:w="80" w:type="dxa"/>
              <w:start w:w="120" w:type="dxa"/>
              <w:bottom w:w="80" w:type="dxa"/>
              <w:end w:w="120" w:type="dxa"/>
            </w:tcMar>
            <w:vAlign w:val="top"/>
          </w:tcPr>
          <w:p>
            <w:pPr>
              <w:spacing w:after="0" w:line="259" w:lineRule="auto"/>
            </w:pPr>
            <w:r>
              <w:rPr>
                <w:rFonts w:ascii="Calibri" w:hAnsi="Calibri" w:eastAsia="Calibri"/>
                <w:b/>
                <w:color w:val="20252B"/>
                <w:sz w:val="18"/>
              </w:rPr>
              <w:t>Robust</w:t>
            </w:r>
          </w:p>
        </w:tc>
        <w:tc>
          <w:tcPr>
            <w:tcW w:type="dxa" w:w="73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Semantic implementation that works with current browsers, devices and relevant assistive technologies.</w:t>
            </w:r>
          </w:p>
        </w:tc>
      </w:tr>
    </w:tbl>
    <w:p>
      <w:pPr>
        <w:spacing w:after="20"/>
      </w:pPr>
    </w:p>
    <w:p>
      <w:pPr>
        <w:pStyle w:val="Heading1"/>
      </w:pPr>
      <w:r>
        <w:t>Documentation and knowledge management</w:t>
      </w:r>
    </w:p>
    <w:p>
      <w:r>
        <w:rPr>
          <w:rFonts w:ascii="Calibri" w:hAnsi="Calibri" w:eastAsia="Calibri"/>
          <w:i w:val="0"/>
        </w:rPr>
        <w:t>Documentation is part of the software product and must be planned, reviewed, versioned and maintained. It must be sufficient for another competent person to understand, operate, support and change the system without relying solely on the original developer.</w:t>
      </w:r>
    </w:p>
    <w:p>
      <w:pPr>
        <w:pStyle w:val="Heading2"/>
      </w:pPr>
      <w:r>
        <w:t>Required information sets</w:t>
      </w:r>
    </w:p>
    <w:tbl>
      <w:tblPr>
        <w:tblLook w:firstColumn="1" w:firstRow="1" w:lastColumn="0" w:lastRow="0" w:noHBand="0" w:noVBand="1" w:val="04A0"/>
        <w:tblStyle w:val="TableGrid"/>
        <w:jc w:val="left"/>
        <w:tblW w:w="9360" w:type="dxa"/>
        <w:tblInd w:w="120" w:type="dxa"/>
        <w:tblLayout w:type="fixed"/>
      </w:tblPr>
      <w:tblGrid>
        <w:gridCol w:w="2300"/>
        <w:gridCol w:w="7060"/>
      </w:tblGrid>
      <w:tr>
        <w:trPr>
          <w:cantSplit/>
          <w:tblHeader w:val="true"/>
        </w:trPr>
        <w:tc>
          <w:tcPr>
            <w:tcW w:type="dxa" w:w="23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Information set</w:t>
            </w:r>
          </w:p>
        </w:tc>
        <w:tc>
          <w:tcPr>
            <w:tcW w:type="dxa" w:w="70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Typical records</w:t>
            </w:r>
          </w:p>
        </w:tc>
      </w:tr>
      <w:tr>
        <w:trPr>
          <w:cantSplit/>
        </w:trPr>
        <w:tc>
          <w:tcPr>
            <w:tcW w:type="dxa" w:w="2300"/>
            <w:tcMar>
              <w:top w:w="80" w:type="dxa"/>
              <w:start w:w="120" w:type="dxa"/>
              <w:bottom w:w="80" w:type="dxa"/>
              <w:end w:w="120" w:type="dxa"/>
            </w:tcMar>
            <w:vAlign w:val="top"/>
          </w:tcPr>
          <w:p>
            <w:pPr>
              <w:spacing w:after="0" w:line="259" w:lineRule="auto"/>
            </w:pPr>
            <w:r>
              <w:rPr>
                <w:rFonts w:ascii="Calibri" w:hAnsi="Calibri" w:eastAsia="Calibri"/>
                <w:b/>
                <w:color w:val="20252B"/>
                <w:sz w:val="17"/>
              </w:rPr>
              <w:t>Business and governance</w:t>
            </w:r>
          </w:p>
        </w:tc>
        <w:tc>
          <w:tcPr>
            <w:tcW w:type="dxa" w:w="70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Charter, business case, scope, stakeholders, plan, risks, decisions, approvals, contracts and status reports.</w:t>
            </w:r>
          </w:p>
        </w:tc>
      </w:tr>
      <w:tr>
        <w:trPr>
          <w:cantSplit/>
        </w:trPr>
        <w:tc>
          <w:tcPr>
            <w:tcW w:type="dxa" w:w="2300"/>
            <w:tcMar>
              <w:top w:w="80" w:type="dxa"/>
              <w:start w:w="120" w:type="dxa"/>
              <w:bottom w:w="80" w:type="dxa"/>
              <w:end w:w="120" w:type="dxa"/>
            </w:tcMar>
            <w:vAlign w:val="top"/>
          </w:tcPr>
          <w:p>
            <w:pPr>
              <w:spacing w:after="0" w:line="259" w:lineRule="auto"/>
            </w:pPr>
            <w:r>
              <w:rPr>
                <w:rFonts w:ascii="Calibri" w:hAnsi="Calibri" w:eastAsia="Calibri"/>
                <w:b/>
                <w:color w:val="20252B"/>
                <w:sz w:val="17"/>
              </w:rPr>
              <w:t>Requirements and design</w:t>
            </w:r>
          </w:p>
        </w:tc>
        <w:tc>
          <w:tcPr>
            <w:tcW w:type="dxa" w:w="70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Requirements/backlog, acceptance criteria, traceability, architecture, ADRs, UX, data model, API and threat/privacy designs.</w:t>
            </w:r>
          </w:p>
        </w:tc>
      </w:tr>
      <w:tr>
        <w:trPr>
          <w:cantSplit/>
        </w:trPr>
        <w:tc>
          <w:tcPr>
            <w:tcW w:type="dxa" w:w="2300"/>
            <w:tcMar>
              <w:top w:w="80" w:type="dxa"/>
              <w:start w:w="120" w:type="dxa"/>
              <w:bottom w:w="80" w:type="dxa"/>
              <w:end w:w="120" w:type="dxa"/>
            </w:tcMar>
            <w:vAlign w:val="top"/>
          </w:tcPr>
          <w:p>
            <w:pPr>
              <w:spacing w:after="0" w:line="259" w:lineRule="auto"/>
            </w:pPr>
            <w:r>
              <w:rPr>
                <w:rFonts w:ascii="Calibri" w:hAnsi="Calibri" w:eastAsia="Calibri"/>
                <w:b/>
                <w:color w:val="20252B"/>
                <w:sz w:val="17"/>
              </w:rPr>
              <w:t>Build and quality</w:t>
            </w:r>
          </w:p>
        </w:tc>
        <w:tc>
          <w:tcPr>
            <w:tcW w:type="dxa" w:w="70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Repository guide, coding standard, build instructions, review evidence, test strategy/cases/results, defects, scans and component inventory.</w:t>
            </w:r>
          </w:p>
        </w:tc>
      </w:tr>
      <w:tr>
        <w:trPr>
          <w:cantSplit/>
        </w:trPr>
        <w:tc>
          <w:tcPr>
            <w:tcW w:type="dxa" w:w="2300"/>
            <w:tcMar>
              <w:top w:w="80" w:type="dxa"/>
              <w:start w:w="120" w:type="dxa"/>
              <w:bottom w:w="80" w:type="dxa"/>
              <w:end w:w="120" w:type="dxa"/>
            </w:tcMar>
            <w:vAlign w:val="top"/>
          </w:tcPr>
          <w:p>
            <w:pPr>
              <w:spacing w:after="0" w:line="259" w:lineRule="auto"/>
            </w:pPr>
            <w:r>
              <w:rPr>
                <w:rFonts w:ascii="Calibri" w:hAnsi="Calibri" w:eastAsia="Calibri"/>
                <w:b/>
                <w:color w:val="20252B"/>
                <w:sz w:val="17"/>
              </w:rPr>
              <w:t>Release and operations</w:t>
            </w:r>
          </w:p>
        </w:tc>
        <w:tc>
          <w:tcPr>
            <w:tcW w:type="dxa" w:w="70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Release notes, deployment/rollback, runbooks, monitoring, backups, recovery, support, incidents, changes and service reviews.</w:t>
            </w:r>
          </w:p>
        </w:tc>
      </w:tr>
      <w:tr>
        <w:trPr>
          <w:cantSplit/>
        </w:trPr>
        <w:tc>
          <w:tcPr>
            <w:tcW w:type="dxa" w:w="2300"/>
            <w:tcMar>
              <w:top w:w="80" w:type="dxa"/>
              <w:start w:w="120" w:type="dxa"/>
              <w:bottom w:w="80" w:type="dxa"/>
              <w:end w:w="120" w:type="dxa"/>
            </w:tcMar>
            <w:vAlign w:val="top"/>
          </w:tcPr>
          <w:p>
            <w:pPr>
              <w:spacing w:after="0" w:line="259" w:lineRule="auto"/>
            </w:pPr>
            <w:r>
              <w:rPr>
                <w:rFonts w:ascii="Calibri" w:hAnsi="Calibri" w:eastAsia="Calibri"/>
                <w:b/>
                <w:color w:val="20252B"/>
                <w:sz w:val="17"/>
              </w:rPr>
              <w:t>User and training</w:t>
            </w:r>
          </w:p>
        </w:tc>
        <w:tc>
          <w:tcPr>
            <w:tcW w:type="dxa" w:w="70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User guides, administrator guides, onboarding, FAQs, in-product help and training materials.</w:t>
            </w:r>
          </w:p>
        </w:tc>
      </w:tr>
      <w:tr>
        <w:trPr>
          <w:cantSplit/>
        </w:trPr>
        <w:tc>
          <w:tcPr>
            <w:tcW w:type="dxa" w:w="2300"/>
            <w:tcMar>
              <w:top w:w="80" w:type="dxa"/>
              <w:start w:w="120" w:type="dxa"/>
              <w:bottom w:w="80" w:type="dxa"/>
              <w:end w:w="120" w:type="dxa"/>
            </w:tcMar>
            <w:vAlign w:val="top"/>
          </w:tcPr>
          <w:p>
            <w:pPr>
              <w:spacing w:after="0" w:line="259" w:lineRule="auto"/>
            </w:pPr>
            <w:r>
              <w:rPr>
                <w:rFonts w:ascii="Calibri" w:hAnsi="Calibri" w:eastAsia="Calibri"/>
                <w:b/>
                <w:color w:val="20252B"/>
                <w:sz w:val="17"/>
              </w:rPr>
              <w:t>Closure and retention</w:t>
            </w:r>
          </w:p>
        </w:tc>
        <w:tc>
          <w:tcPr>
            <w:tcW w:type="dxa" w:w="70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Acceptance, benefits review, lessons learned, archive, data disposition, access removal and retirement evidence.</w:t>
            </w:r>
          </w:p>
        </w:tc>
      </w:tr>
    </w:tbl>
    <w:p>
      <w:pPr>
        <w:spacing w:after="20"/>
      </w:pPr>
    </w:p>
    <w:p>
      <w:pPr>
        <w:pStyle w:val="Heading2"/>
      </w:pPr>
      <w:r>
        <w:t>Documentation rules</w:t>
      </w:r>
    </w:p>
    <w:p>
      <w:pPr>
        <w:spacing w:before="0" w:after="80" w:line="300" w:lineRule="auto"/>
        <w:numPr>
          <w:ilvl w:val="0"/>
          <w:numId w:val="10"/>
        </w:numPr>
      </w:pPr>
      <w:r>
        <w:rPr>
          <w:rFonts w:ascii="Calibri" w:hAnsi="Calibri" w:eastAsia="Calibri"/>
        </w:rPr>
        <w:t>Name the owner, version, status, review date and intended audience for controlled records.</w:t>
      </w:r>
    </w:p>
    <w:p>
      <w:pPr>
        <w:spacing w:before="0" w:after="80" w:line="300" w:lineRule="auto"/>
        <w:numPr>
          <w:ilvl w:val="0"/>
          <w:numId w:val="10"/>
        </w:numPr>
      </w:pPr>
      <w:r>
        <w:rPr>
          <w:rFonts w:ascii="Calibri" w:hAnsi="Calibri" w:eastAsia="Calibri"/>
        </w:rPr>
        <w:t>Store technical documentation close to the code when frequent change requires joint versioning; store formal approvals in the authorised record system.</w:t>
      </w:r>
    </w:p>
    <w:p>
      <w:pPr>
        <w:spacing w:before="0" w:after="80" w:line="300" w:lineRule="auto"/>
        <w:numPr>
          <w:ilvl w:val="0"/>
          <w:numId w:val="10"/>
        </w:numPr>
      </w:pPr>
      <w:r>
        <w:rPr>
          <w:rFonts w:ascii="Calibri" w:hAnsi="Calibri" w:eastAsia="Calibri"/>
        </w:rPr>
        <w:t>Use diagrams, tables and examples only where they improve understanding; ensure the text remains accurate and accessible.</w:t>
      </w:r>
    </w:p>
    <w:p>
      <w:pPr>
        <w:spacing w:before="0" w:after="80" w:line="300" w:lineRule="auto"/>
        <w:numPr>
          <w:ilvl w:val="0"/>
          <w:numId w:val="10"/>
        </w:numPr>
      </w:pPr>
      <w:r>
        <w:rPr>
          <w:rFonts w:ascii="Calibri" w:hAnsi="Calibri" w:eastAsia="Calibri"/>
        </w:rPr>
        <w:t>Record assumptions, limitations, known issues and operational warnings clearly.</w:t>
      </w:r>
    </w:p>
    <w:p>
      <w:pPr>
        <w:spacing w:before="0" w:after="80" w:line="300" w:lineRule="auto"/>
        <w:numPr>
          <w:ilvl w:val="0"/>
          <w:numId w:val="10"/>
        </w:numPr>
      </w:pPr>
      <w:r>
        <w:rPr>
          <w:rFonts w:ascii="Calibri" w:hAnsi="Calibri" w:eastAsia="Calibri"/>
        </w:rPr>
        <w:t>Update documentation in the same change that alters behaviour, interfaces, data, deployment or support.</w:t>
      </w:r>
    </w:p>
    <w:p>
      <w:pPr>
        <w:spacing w:before="0" w:after="80" w:line="300" w:lineRule="auto"/>
        <w:numPr>
          <w:ilvl w:val="0"/>
          <w:numId w:val="10"/>
        </w:numPr>
      </w:pPr>
      <w:r>
        <w:rPr>
          <w:rFonts w:ascii="Calibri" w:hAnsi="Calibri" w:eastAsia="Calibri"/>
        </w:rPr>
        <w:t>Protect confidential documentation and remove secrets or unnecessary personal data before sharing.</w:t>
      </w:r>
    </w:p>
    <w:p>
      <w:pPr>
        <w:pStyle w:val="Heading1"/>
      </w:pPr>
      <w:r>
        <w:t>Open-source, supplier and AI governance</w:t>
      </w:r>
    </w:p>
    <w:p>
      <w:pPr>
        <w:pStyle w:val="Heading2"/>
      </w:pPr>
      <w:r>
        <w:t>Open-source and third-party components</w:t>
      </w:r>
    </w:p>
    <w:p>
      <w:pPr>
        <w:spacing w:before="0" w:after="80" w:line="300" w:lineRule="auto"/>
        <w:numPr>
          <w:ilvl w:val="0"/>
          <w:numId w:val="10"/>
        </w:numPr>
      </w:pPr>
      <w:r>
        <w:rPr>
          <w:rFonts w:ascii="Calibri" w:hAnsi="Calibri" w:eastAsia="Calibri"/>
        </w:rPr>
        <w:t>Use components from trustworthy sources and prefer actively maintained projects with suitable security and support history.</w:t>
      </w:r>
    </w:p>
    <w:p>
      <w:pPr>
        <w:spacing w:before="0" w:after="80" w:line="300" w:lineRule="auto"/>
        <w:numPr>
          <w:ilvl w:val="0"/>
          <w:numId w:val="10"/>
        </w:numPr>
      </w:pPr>
      <w:r>
        <w:rPr>
          <w:rFonts w:ascii="Calibri" w:hAnsi="Calibri" w:eastAsia="Calibri"/>
        </w:rPr>
        <w:t>Record component name, version, source, purpose, licence and known obligations.</w:t>
      </w:r>
    </w:p>
    <w:p>
      <w:pPr>
        <w:spacing w:before="0" w:after="80" w:line="300" w:lineRule="auto"/>
        <w:numPr>
          <w:ilvl w:val="0"/>
          <w:numId w:val="10"/>
        </w:numPr>
      </w:pPr>
      <w:r>
        <w:rPr>
          <w:rFonts w:ascii="Calibri" w:hAnsi="Calibri" w:eastAsia="Calibri"/>
        </w:rPr>
        <w:t>Evaluate vulnerability status, transitive dependencies, update path, vendor lock-in and operational cost before adoption.</w:t>
      </w:r>
    </w:p>
    <w:p>
      <w:pPr>
        <w:spacing w:before="0" w:after="80" w:line="300" w:lineRule="auto"/>
        <w:numPr>
          <w:ilvl w:val="0"/>
          <w:numId w:val="10"/>
        </w:numPr>
      </w:pPr>
      <w:r>
        <w:rPr>
          <w:rFonts w:ascii="Calibri" w:hAnsi="Calibri" w:eastAsia="Calibri"/>
        </w:rPr>
        <w:t>Do not use a component when its licence or source cannot be reconciled with the project’s intended distribution and contractual obligations.</w:t>
      </w:r>
    </w:p>
    <w:p>
      <w:pPr>
        <w:spacing w:before="0" w:after="80" w:line="300" w:lineRule="auto"/>
        <w:numPr>
          <w:ilvl w:val="0"/>
          <w:numId w:val="10"/>
        </w:numPr>
      </w:pPr>
      <w:r>
        <w:rPr>
          <w:rFonts w:ascii="Calibri" w:hAnsi="Calibri" w:eastAsia="Calibri"/>
        </w:rPr>
        <w:t>Monitor supported production components and plan replacement before end of support.</w:t>
      </w:r>
    </w:p>
    <w:p>
      <w:pPr>
        <w:pStyle w:val="Heading2"/>
      </w:pPr>
      <w:r>
        <w:t>External suppliers and cloud services</w:t>
      </w:r>
    </w:p>
    <w:p>
      <w:r>
        <w:rPr>
          <w:rFonts w:ascii="Calibri" w:hAnsi="Calibri" w:eastAsia="Calibri"/>
          <w:i w:val="0"/>
        </w:rPr>
        <w:t>Critical suppliers must be assessed for security, privacy, data location, availability, support, incident notification, subcontracting, service continuity, export/portability, termination and cost. Contracts should define responsibilities, service levels, data handling, intellectual property, acceptance and exit obligations.</w:t>
      </w:r>
    </w:p>
    <w:p>
      <w:pPr>
        <w:pStyle w:val="Heading2"/>
      </w:pPr>
      <w:r>
        <w:t>External practitioners: contractors and freelancers</w:t>
      </w:r>
    </w:p>
    <w:p>
      <w:r>
        <w:rPr>
          <w:rFonts w:ascii="Calibri" w:hAnsi="Calibri" w:eastAsia="Calibri"/>
          <w:i w:val="0"/>
        </w:rPr>
        <w:t>The following controls are Must requirements whenever an individual external practitioner receives access to institutional or client systems, repositories, information or delivery work:</w:t>
      </w:r>
    </w:p>
    <w:p>
      <w:pPr>
        <w:spacing w:before="0" w:after="80" w:line="300" w:lineRule="auto"/>
        <w:numPr>
          <w:ilvl w:val="0"/>
          <w:numId w:val="10"/>
        </w:numPr>
      </w:pPr>
      <w:r>
        <w:rPr>
          <w:rFonts w:ascii="Calibri" w:hAnsi="Calibri" w:eastAsia="Calibri"/>
        </w:rPr>
        <w:t>Before access is granted, record the practitioner’s verified identity, role, accountable internal owner, confidentiality duties, intellectual-property assignment, permitted tools, data-handling limits, deliverables and acceptance conditions.</w:t>
      </w:r>
    </w:p>
    <w:p>
      <w:pPr>
        <w:spacing w:before="0" w:after="80" w:line="300" w:lineRule="auto"/>
        <w:numPr>
          <w:ilvl w:val="0"/>
          <w:numId w:val="10"/>
        </w:numPr>
      </w:pPr>
      <w:r>
        <w:rPr>
          <w:rFonts w:ascii="Calibri" w:hAnsi="Calibri" w:eastAsia="Calibri"/>
        </w:rPr>
        <w:t>Use a unique, least-privileged account. Access must be scoped to the engagement and must expire within 90 days unless the internal owner approves a dated renewal; shared credentials are prohibited.</w:t>
      </w:r>
    </w:p>
    <w:p>
      <w:pPr>
        <w:spacing w:before="0" w:after="80" w:line="300" w:lineRule="auto"/>
        <w:numPr>
          <w:ilvl w:val="0"/>
          <w:numId w:val="10"/>
        </w:numPr>
      </w:pPr>
      <w:r>
        <w:rPr>
          <w:rFonts w:ascii="Calibri" w:hAnsi="Calibri" w:eastAsia="Calibri"/>
        </w:rPr>
        <w:t>Require work to enter an institution-controlled repository through the normal review path. Delivery evidence must identify code provenance, third-party components, licences, AI assistance where material, and the practitioner’s authorship or rights to contribute the work.</w:t>
      </w:r>
    </w:p>
    <w:p>
      <w:pPr>
        <w:spacing w:before="0" w:after="80" w:line="300" w:lineRule="auto"/>
        <w:numPr>
          <w:ilvl w:val="0"/>
          <w:numId w:val="10"/>
        </w:numPr>
      </w:pPr>
      <w:r>
        <w:rPr>
          <w:rFonts w:ascii="Calibri" w:hAnsi="Calibri" w:eastAsia="Calibri"/>
        </w:rPr>
        <w:t>At acceptance, obtain an intellectual-property and provenance confirmation, required source and documentation, test evidence, component inventory, credentials or assets created for the work, and confirmation that institutional or client data is not retained outside authorised locations.</w:t>
      </w:r>
    </w:p>
    <w:p>
      <w:pPr>
        <w:spacing w:before="0" w:after="80" w:line="300" w:lineRule="auto"/>
        <w:numPr>
          <w:ilvl w:val="0"/>
          <w:numId w:val="10"/>
        </w:numPr>
      </w:pPr>
      <w:r>
        <w:rPr>
          <w:rFonts w:ascii="Calibri" w:hAnsi="Calibri" w:eastAsia="Calibri"/>
        </w:rPr>
        <w:t>At exit or engagement end, revoke privileged access within four hours and all remaining access by the end of the same business day, recover institutional assets, rotate exposed shared secrets, transfer outstanding work and record completion of the offboarding checklist.</w:t>
      </w:r>
    </w:p>
    <w:p>
      <w:pPr>
        <w:pStyle w:val="Heading2"/>
      </w:pPr>
      <w:r>
        <w:t>AI-assisted software engineering</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4F6F9"/>
            <w:tcBorders>
              <w:top w:val="single" w:sz="4" w:space="0" w:color="B7C2CF"/>
              <w:start w:val="single" w:sz="18" w:space="0" w:color="2E74B5"/>
              <w:bottom w:val="single" w:sz="4" w:space="0" w:color="B7C2CF"/>
              <w:end w:val="single" w:sz="4" w:space="0" w:color="B7C2CF"/>
            </w:tcBorders>
          </w:tcPr>
          <w:p>
            <w:pPr>
              <w:spacing w:after="0" w:line="276" w:lineRule="auto"/>
            </w:pPr>
            <w:r>
              <w:rPr>
                <w:rFonts w:ascii="Calibri" w:hAnsi="Calibri" w:eastAsia="Calibri"/>
                <w:b/>
                <w:color w:val="2E74B5"/>
                <w:sz w:val="20"/>
              </w:rPr>
              <w:t xml:space="preserve">Human accountability: </w:t>
            </w:r>
            <w:r>
              <w:rPr>
                <w:rFonts w:ascii="Calibri" w:hAnsi="Calibri" w:eastAsia="Calibri"/>
                <w:color w:val="20252B"/>
                <w:sz w:val="20"/>
              </w:rPr>
              <w:t>A developer remains accountable for code, tests, designs and decisions produced with AI assistance. AI output is a proposal, not verified engineering evidence.</w:t>
            </w:r>
          </w:p>
        </w:tc>
      </w:tr>
    </w:tbl>
    <w:p>
      <w:pPr>
        <w:spacing w:after="20"/>
      </w:pPr>
    </w:p>
    <w:p>
      <w:pPr>
        <w:spacing w:before="0" w:after="80" w:line="300" w:lineRule="auto"/>
        <w:numPr>
          <w:ilvl w:val="0"/>
          <w:numId w:val="10"/>
        </w:numPr>
      </w:pPr>
      <w:r>
        <w:rPr>
          <w:rFonts w:ascii="Calibri" w:hAnsi="Calibri" w:eastAsia="Calibri"/>
        </w:rPr>
        <w:t>Use only institution-approved AI tools and accounts for institutional work.</w:t>
      </w:r>
    </w:p>
    <w:p>
      <w:pPr>
        <w:spacing w:before="0" w:after="80" w:line="300" w:lineRule="auto"/>
        <w:numPr>
          <w:ilvl w:val="0"/>
          <w:numId w:val="10"/>
        </w:numPr>
      </w:pPr>
      <w:r>
        <w:rPr>
          <w:rFonts w:ascii="Calibri" w:hAnsi="Calibri" w:eastAsia="Calibri"/>
        </w:rPr>
        <w:t>Do not submit client-confidential information, restricted data, credentials, proprietary source code or personal data to an AI service unless its use and data handling are explicitly authorised.</w:t>
      </w:r>
    </w:p>
    <w:p>
      <w:pPr>
        <w:spacing w:before="0" w:after="80" w:line="300" w:lineRule="auto"/>
        <w:numPr>
          <w:ilvl w:val="0"/>
          <w:numId w:val="10"/>
        </w:numPr>
      </w:pPr>
      <w:r>
        <w:rPr>
          <w:rFonts w:ascii="Calibri" w:hAnsi="Calibri" w:eastAsia="Calibri"/>
        </w:rPr>
        <w:t>Review generated code for correctness, security, maintainability, dependency provenance, licence risk and fabricated APIs or assumptions.</w:t>
      </w:r>
    </w:p>
    <w:p>
      <w:pPr>
        <w:spacing w:before="0" w:after="80" w:line="300" w:lineRule="auto"/>
        <w:numPr>
          <w:ilvl w:val="0"/>
          <w:numId w:val="10"/>
        </w:numPr>
      </w:pPr>
      <w:r>
        <w:rPr>
          <w:rFonts w:ascii="Calibri" w:hAnsi="Calibri" w:eastAsia="Calibri"/>
        </w:rPr>
        <w:t>Run the same tests, peer review and security checks required for human-written work.</w:t>
      </w:r>
    </w:p>
    <w:p>
      <w:pPr>
        <w:spacing w:before="0" w:after="80" w:line="300" w:lineRule="auto"/>
        <w:numPr>
          <w:ilvl w:val="0"/>
          <w:numId w:val="10"/>
        </w:numPr>
      </w:pPr>
      <w:r>
        <w:rPr>
          <w:rFonts w:ascii="Calibri" w:hAnsi="Calibri" w:eastAsia="Calibri"/>
        </w:rPr>
        <w:t>Record material AI use when it affects provenance, contractual commitments, safety, regulated decisions or release assurance.</w:t>
      </w:r>
    </w:p>
    <w:p>
      <w:pPr>
        <w:pStyle w:val="Heading2"/>
      </w:pPr>
      <w:r>
        <w:t>AI-enabled products</w:t>
      </w:r>
    </w:p>
    <w:p>
      <w:pPr>
        <w:spacing w:before="0" w:after="80" w:line="300" w:lineRule="auto"/>
        <w:numPr>
          <w:ilvl w:val="0"/>
          <w:numId w:val="10"/>
        </w:numPr>
      </w:pPr>
      <w:r>
        <w:rPr>
          <w:rFonts w:ascii="Calibri" w:hAnsi="Calibri" w:eastAsia="Calibri"/>
        </w:rPr>
        <w:t>Define the intended use, prohibited use, users, human oversight and acceptable failure modes.</w:t>
      </w:r>
    </w:p>
    <w:p>
      <w:pPr>
        <w:spacing w:before="0" w:after="80" w:line="300" w:lineRule="auto"/>
        <w:numPr>
          <w:ilvl w:val="0"/>
          <w:numId w:val="10"/>
        </w:numPr>
      </w:pPr>
      <w:r>
        <w:rPr>
          <w:rFonts w:ascii="Calibri" w:hAnsi="Calibri" w:eastAsia="Calibri"/>
        </w:rPr>
        <w:t>Document model/provider/version, data sources and rights, evaluation sets, prompts/configuration and deployment safeguards.</w:t>
      </w:r>
    </w:p>
    <w:p>
      <w:pPr>
        <w:spacing w:before="0" w:after="80" w:line="300" w:lineRule="auto"/>
        <w:numPr>
          <w:ilvl w:val="0"/>
          <w:numId w:val="10"/>
        </w:numPr>
      </w:pPr>
      <w:r>
        <w:rPr>
          <w:rFonts w:ascii="Calibri" w:hAnsi="Calibri" w:eastAsia="Calibri"/>
        </w:rPr>
        <w:t>Evaluate task performance, hallucination or unsupported claims, security abuse, privacy leakage, harmful bias, robustness and fallback behaviour.</w:t>
      </w:r>
    </w:p>
    <w:p>
      <w:pPr>
        <w:spacing w:before="0" w:after="80" w:line="300" w:lineRule="auto"/>
        <w:numPr>
          <w:ilvl w:val="0"/>
          <w:numId w:val="10"/>
        </w:numPr>
      </w:pPr>
      <w:r>
        <w:rPr>
          <w:rFonts w:ascii="Calibri" w:hAnsi="Calibri" w:eastAsia="Calibri"/>
        </w:rPr>
        <w:t>Make automation boundaries and significant limitations clear to users; provide human review for decisions with material impact.</w:t>
      </w:r>
    </w:p>
    <w:p>
      <w:pPr>
        <w:spacing w:before="0" w:after="80" w:line="300" w:lineRule="auto"/>
        <w:numPr>
          <w:ilvl w:val="0"/>
          <w:numId w:val="10"/>
        </w:numPr>
      </w:pPr>
      <w:r>
        <w:rPr>
          <w:rFonts w:ascii="Calibri" w:hAnsi="Calibri" w:eastAsia="Calibri"/>
        </w:rPr>
        <w:t>Monitor production quality and misuse, preserve relevant audit evidence and maintain a controlled rollback or disable path.</w:t>
      </w:r>
    </w:p>
    <w:p>
      <w:pPr>
        <w:pStyle w:val="Heading1"/>
      </w:pPr>
      <w:r>
        <w:t>Measurement, audit and continuous improvement</w:t>
      </w:r>
    </w:p>
    <w:p>
      <w:r>
        <w:rPr>
          <w:rFonts w:ascii="Calibri" w:hAnsi="Calibri" w:eastAsia="Calibri"/>
          <w:i w:val="0"/>
        </w:rPr>
        <w:t>Metrics must support decisions and learning. They must not reward hidden defects, unsafe speed, inflated activity or manipulation. Targets should be set by service and project context.</w:t>
      </w:r>
    </w:p>
    <w:p>
      <w:pPr>
        <w:pStyle w:val="Heading2"/>
      </w:pPr>
      <w:r>
        <w:t>Year-one mandatory measurement set</w:t>
      </w:r>
    </w:p>
    <w:p>
      <w:r>
        <w:rPr>
          <w:rFonts w:ascii="Calibri" w:hAnsi="Calibri" w:eastAsia="Calibri"/>
          <w:i w:val="0"/>
        </w:rPr>
        <w:t>During the first twelve months after the effective date, KenAddme IT Links must collect and review the five measures below. This is the minimum achievable measurement floor and is unchanged by Version 1.2.</w:t>
      </w:r>
    </w:p>
    <w:tbl>
      <w:tblPr>
        <w:tblLook w:firstColumn="1" w:firstRow="1" w:lastColumn="0" w:lastRow="0" w:noHBand="0" w:noVBand="1" w:val="04A0"/>
        <w:tblStyle w:val="TableGrid"/>
        <w:jc w:val="left"/>
        <w:tblW w:w="9360" w:type="dxa"/>
        <w:tblInd w:w="120" w:type="dxa"/>
        <w:tblLayout w:type="fixed"/>
      </w:tblPr>
      <w:tblGrid>
        <w:gridCol w:w="2000"/>
        <w:gridCol w:w="4700"/>
        <w:gridCol w:w="2660"/>
      </w:tblGrid>
      <w:tr>
        <w:trPr>
          <w:cantSplit/>
          <w:tblHeader w:val="true"/>
        </w:trPr>
        <w:tc>
          <w:tcPr>
            <w:tcW w:type="dxa" w:w="20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Required measure</w:t>
            </w:r>
          </w:p>
        </w:tc>
        <w:tc>
          <w:tcPr>
            <w:tcW w:type="dxa" w:w="47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Definition</w:t>
            </w:r>
          </w:p>
        </w:tc>
        <w:tc>
          <w:tcPr>
            <w:tcW w:type="dxa" w:w="26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Owner and frequency</w:t>
            </w:r>
          </w:p>
        </w:tc>
      </w:tr>
      <w:tr>
        <w:trPr>
          <w:cantSplit/>
        </w:trPr>
        <w:tc>
          <w:tcPr>
            <w:tcW w:type="dxa" w:w="2000"/>
            <w:tcMar>
              <w:top w:w="80" w:type="dxa"/>
              <w:start w:w="120" w:type="dxa"/>
              <w:bottom w:w="80" w:type="dxa"/>
              <w:end w:w="120" w:type="dxa"/>
            </w:tcMar>
            <w:vAlign w:val="top"/>
          </w:tcPr>
          <w:p>
            <w:pPr>
              <w:spacing w:after="0" w:line="259" w:lineRule="auto"/>
            </w:pPr>
            <w:r>
              <w:rPr>
                <w:rFonts w:ascii="Calibri" w:hAnsi="Calibri" w:eastAsia="Calibri"/>
                <w:b/>
                <w:color w:val="20252B"/>
                <w:sz w:val="16"/>
              </w:rPr>
              <w:t>Delivery flow</w:t>
            </w:r>
          </w:p>
        </w:tc>
        <w:tc>
          <w:tcPr>
            <w:tcW w:type="dxa" w:w="47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Median lead time from authorised work item to accepted release, with material delay reasons</w:t>
            </w:r>
          </w:p>
        </w:tc>
        <w:tc>
          <w:tcPr>
            <w:tcW w:type="dxa" w:w="26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Delivery lead; monthly</w:t>
            </w:r>
          </w:p>
        </w:tc>
      </w:tr>
      <w:tr>
        <w:trPr>
          <w:cantSplit/>
        </w:trPr>
        <w:tc>
          <w:tcPr>
            <w:tcW w:type="dxa" w:w="2000"/>
            <w:tcMar>
              <w:top w:w="80" w:type="dxa"/>
              <w:start w:w="120" w:type="dxa"/>
              <w:bottom w:w="80" w:type="dxa"/>
              <w:end w:w="120" w:type="dxa"/>
            </w:tcMar>
            <w:vAlign w:val="top"/>
          </w:tcPr>
          <w:p>
            <w:pPr>
              <w:spacing w:after="0" w:line="259" w:lineRule="auto"/>
            </w:pPr>
            <w:r>
              <w:rPr>
                <w:rFonts w:ascii="Calibri" w:hAnsi="Calibri" w:eastAsia="Calibri"/>
                <w:b/>
                <w:color w:val="20252B"/>
                <w:sz w:val="16"/>
              </w:rPr>
              <w:t>Defect escape rate</w:t>
            </w:r>
          </w:p>
        </w:tc>
        <w:tc>
          <w:tcPr>
            <w:tcW w:type="dxa" w:w="47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Production defects divided by total defects found in testing and production, reported with severity</w:t>
            </w:r>
          </w:p>
        </w:tc>
        <w:tc>
          <w:tcPr>
            <w:tcW w:type="dxa" w:w="26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QA lead; per release and quarterly</w:t>
            </w:r>
          </w:p>
        </w:tc>
      </w:tr>
      <w:tr>
        <w:trPr>
          <w:cantSplit/>
        </w:trPr>
        <w:tc>
          <w:tcPr>
            <w:tcW w:type="dxa" w:w="2000"/>
            <w:tcMar>
              <w:top w:w="80" w:type="dxa"/>
              <w:start w:w="120" w:type="dxa"/>
              <w:bottom w:w="80" w:type="dxa"/>
              <w:end w:w="120" w:type="dxa"/>
            </w:tcMar>
            <w:vAlign w:val="top"/>
          </w:tcPr>
          <w:p>
            <w:pPr>
              <w:spacing w:after="0" w:line="259" w:lineRule="auto"/>
            </w:pPr>
            <w:r>
              <w:rPr>
                <w:rFonts w:ascii="Calibri" w:hAnsi="Calibri" w:eastAsia="Calibri"/>
                <w:b/>
                <w:color w:val="20252B"/>
                <w:sz w:val="16"/>
              </w:rPr>
              <w:t>Availability</w:t>
            </w:r>
          </w:p>
        </w:tc>
        <w:tc>
          <w:tcPr>
            <w:tcW w:type="dxa" w:w="47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Observed production-service availability compared with the approved service target</w:t>
            </w:r>
          </w:p>
        </w:tc>
        <w:tc>
          <w:tcPr>
            <w:tcW w:type="dxa" w:w="26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Service owner; monthly</w:t>
            </w:r>
          </w:p>
        </w:tc>
      </w:tr>
      <w:tr>
        <w:trPr>
          <w:cantSplit/>
        </w:trPr>
        <w:tc>
          <w:tcPr>
            <w:tcW w:type="dxa" w:w="2000"/>
            <w:tcMar>
              <w:top w:w="80" w:type="dxa"/>
              <w:start w:w="120" w:type="dxa"/>
              <w:bottom w:w="80" w:type="dxa"/>
              <w:end w:w="120" w:type="dxa"/>
            </w:tcMar>
            <w:vAlign w:val="top"/>
          </w:tcPr>
          <w:p>
            <w:pPr>
              <w:spacing w:after="0" w:line="259" w:lineRule="auto"/>
            </w:pPr>
            <w:r>
              <w:rPr>
                <w:rFonts w:ascii="Calibri" w:hAnsi="Calibri" w:eastAsia="Calibri"/>
                <w:b/>
                <w:color w:val="20252B"/>
                <w:sz w:val="16"/>
              </w:rPr>
              <w:t>Open vulnerability age</w:t>
            </w:r>
          </w:p>
        </w:tc>
        <w:tc>
          <w:tcPr>
            <w:tcW w:type="dxa" w:w="47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Age of unresolved vulnerabilities by severity compared with the institutional service targets</w:t>
            </w:r>
          </w:p>
        </w:tc>
        <w:tc>
          <w:tcPr>
            <w:tcW w:type="dxa" w:w="26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Technical/security owner; monthly</w:t>
            </w:r>
          </w:p>
        </w:tc>
      </w:tr>
      <w:tr>
        <w:trPr>
          <w:cantSplit/>
        </w:trPr>
        <w:tc>
          <w:tcPr>
            <w:tcW w:type="dxa" w:w="2000"/>
            <w:tcMar>
              <w:top w:w="80" w:type="dxa"/>
              <w:start w:w="120" w:type="dxa"/>
              <w:bottom w:w="80" w:type="dxa"/>
              <w:end w:w="120" w:type="dxa"/>
            </w:tcMar>
            <w:vAlign w:val="top"/>
          </w:tcPr>
          <w:p>
            <w:pPr>
              <w:spacing w:after="0" w:line="259" w:lineRule="auto"/>
            </w:pPr>
            <w:r>
              <w:rPr>
                <w:rFonts w:ascii="Calibri" w:hAnsi="Calibri" w:eastAsia="Calibri"/>
                <w:b/>
                <w:color w:val="20252B"/>
                <w:sz w:val="16"/>
              </w:rPr>
              <w:t>Gate compliance</w:t>
            </w:r>
          </w:p>
        </w:tc>
        <w:tc>
          <w:tcPr>
            <w:tcW w:type="dxa" w:w="47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Percentage of applicable gates with required evidence and approval recorded before the governed commitment</w:t>
            </w:r>
          </w:p>
        </w:tc>
        <w:tc>
          <w:tcPr>
            <w:tcW w:type="dxa" w:w="26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Freston Kenny Adedeme, Framework Owner; quarterly</w:t>
            </w:r>
          </w:p>
        </w:tc>
      </w:tr>
    </w:tbl>
    <w:p>
      <w:pPr>
        <w:spacing w:after="20"/>
      </w:pPr>
    </w:p>
    <w:p>
      <w:pPr>
        <w:pStyle w:val="Heading2"/>
      </w:pPr>
      <w:r>
        <w:t>Extended measurement catalogue</w:t>
      </w:r>
    </w:p>
    <w:p>
      <w:r>
        <w:rPr>
          <w:rFonts w:ascii="Calibri" w:hAnsi="Calibri" w:eastAsia="Calibri"/>
          <w:i w:val="0"/>
        </w:rPr>
        <w:t>The measures below are a planned extension. Teams should add them when tooling, service maturity and decision needs justify the collection effort; they are not mandatory during the first twelve months unless a contract, risk decision or service level requires them.</w:t>
      </w:r>
    </w:p>
    <w:tbl>
      <w:tblPr>
        <w:tblLook w:firstColumn="1" w:firstRow="1" w:lastColumn="0" w:lastRow="0" w:noHBand="0" w:noVBand="1" w:val="04A0"/>
        <w:tblStyle w:val="TableGrid"/>
        <w:jc w:val="left"/>
        <w:tblW w:w="9360" w:type="dxa"/>
        <w:tblInd w:w="120" w:type="dxa"/>
        <w:tblLayout w:type="fixed"/>
      </w:tblPr>
      <w:tblGrid>
        <w:gridCol w:w="1800"/>
        <w:gridCol w:w="4260"/>
        <w:gridCol w:w="3300"/>
      </w:tblGrid>
      <w:tr>
        <w:trPr>
          <w:cantSplit/>
          <w:tblHeader w:val="true"/>
        </w:trPr>
        <w:tc>
          <w:tcPr>
            <w:tcW w:type="dxa" w:w="18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Dimension</w:t>
            </w:r>
          </w:p>
        </w:tc>
        <w:tc>
          <w:tcPr>
            <w:tcW w:type="dxa" w:w="42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Useful measures</w:t>
            </w:r>
          </w:p>
        </w:tc>
        <w:tc>
          <w:tcPr>
            <w:tcW w:type="dxa" w:w="33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Management question</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Delivery flow</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Lead time, cycle time, work age, deployment frequency, planned-versus-completed outcomes</w:t>
            </w:r>
          </w:p>
        </w:tc>
        <w:tc>
          <w:tcPr>
            <w:tcW w:type="dxa" w:w="33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Where is work delayed and why?</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Quality</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Defect escape rate, severity trend, rework, flaky tests, requirements/test coverage</w:t>
            </w:r>
          </w:p>
        </w:tc>
        <w:tc>
          <w:tcPr>
            <w:tcW w:type="dxa" w:w="33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Are we preventing defects and detecting them early?</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Reliability</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Availability, incident frequency, recovery time, backup/restore success, capacity margin</w:t>
            </w:r>
          </w:p>
        </w:tc>
        <w:tc>
          <w:tcPr>
            <w:tcW w:type="dxa" w:w="33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Can users depend on the service and can we recover?</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Security/privacy</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Open vulnerability age, remediation performance, secret findings, access reviews, privacy actions</w:t>
            </w:r>
          </w:p>
        </w:tc>
        <w:tc>
          <w:tcPr>
            <w:tcW w:type="dxa" w:w="33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Is risk reducing within agreed time?</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User value</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Task success, adoption, support demand, satisfaction, benefit measures</w:t>
            </w:r>
          </w:p>
        </w:tc>
        <w:tc>
          <w:tcPr>
            <w:tcW w:type="dxa" w:w="33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Does the software improve the intended outcome?</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Engineering health</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Build success, review latency, dependency freshness, technical-debt trend, documentation completeness</w:t>
            </w:r>
          </w:p>
        </w:tc>
        <w:tc>
          <w:tcPr>
            <w:tcW w:type="dxa" w:w="33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Can the team safely sustain change?</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eastAsia="Calibri"/>
                <w:b/>
                <w:color w:val="20252B"/>
                <w:sz w:val="16"/>
              </w:rPr>
              <w:t>Governance</w:t>
            </w:r>
          </w:p>
        </w:tc>
        <w:tc>
          <w:tcPr>
            <w:tcW w:type="dxa" w:w="426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Gate compliance, overdue risks, exceptions, audit findings and corrective-action closure</w:t>
            </w:r>
          </w:p>
        </w:tc>
        <w:tc>
          <w:tcPr>
            <w:tcW w:type="dxa" w:w="33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Are decisions controlled and evidenced?</w:t>
            </w:r>
          </w:p>
        </w:tc>
      </w:tr>
    </w:tbl>
    <w:p>
      <w:pPr>
        <w:spacing w:after="20"/>
      </w:pPr>
    </w:p>
    <w:p>
      <w:pPr>
        <w:pStyle w:val="Heading2"/>
      </w:pPr>
      <w:r>
        <w:t>Review rhythm</w:t>
      </w:r>
    </w:p>
    <w:p>
      <w:pPr>
        <w:spacing w:before="0" w:after="80" w:line="300" w:lineRule="auto"/>
        <w:numPr>
          <w:ilvl w:val="0"/>
          <w:numId w:val="10"/>
        </w:numPr>
      </w:pPr>
      <w:r>
        <w:rPr>
          <w:rFonts w:ascii="Calibri" w:hAnsi="Calibri" w:eastAsia="Calibri"/>
        </w:rPr>
        <w:t>Teams must review delivery and quality evidence during each iteration or agreed reporting period.</w:t>
      </w:r>
    </w:p>
    <w:p>
      <w:pPr>
        <w:spacing w:before="0" w:after="80" w:line="300" w:lineRule="auto"/>
        <w:numPr>
          <w:ilvl w:val="0"/>
          <w:numId w:val="10"/>
        </w:numPr>
      </w:pPr>
      <w:r>
        <w:rPr>
          <w:rFonts w:ascii="Calibri" w:hAnsi="Calibri" w:eastAsia="Calibri"/>
        </w:rPr>
        <w:t>Service owners must review operational, security, cost and user evidence at the frequency set by the applicable service target.</w:t>
      </w:r>
    </w:p>
    <w:p>
      <w:pPr>
        <w:spacing w:before="0" w:after="80" w:line="300" w:lineRule="auto"/>
        <w:numPr>
          <w:ilvl w:val="0"/>
          <w:numId w:val="10"/>
        </w:numPr>
      </w:pPr>
      <w:r>
        <w:rPr>
          <w:rFonts w:ascii="Calibri" w:hAnsi="Calibri" w:eastAsia="Calibri"/>
        </w:rPr>
        <w:t>Management must review Class 3 and Class 4 risk, exceptions and significant incidents at defined governance meetings.</w:t>
      </w:r>
    </w:p>
    <w:p>
      <w:pPr>
        <w:spacing w:before="0" w:after="80" w:line="300" w:lineRule="auto"/>
        <w:numPr>
          <w:ilvl w:val="0"/>
          <w:numId w:val="10"/>
        </w:numPr>
      </w:pPr>
      <w:r>
        <w:rPr>
          <w:rFonts w:ascii="Calibri" w:hAnsi="Calibri" w:eastAsia="Calibri"/>
        </w:rPr>
        <w:t>An internal process review or audit should sample projects at least annually and track corrective actions to closure.</w:t>
      </w:r>
    </w:p>
    <w:p>
      <w:pPr>
        <w:spacing w:before="0" w:after="80" w:line="300" w:lineRule="auto"/>
        <w:numPr>
          <w:ilvl w:val="0"/>
          <w:numId w:val="10"/>
        </w:numPr>
      </w:pPr>
      <w:r>
        <w:rPr>
          <w:rFonts w:ascii="Calibri" w:hAnsi="Calibri" w:eastAsia="Calibri"/>
        </w:rPr>
        <w:t>Freston Kenny Adedeme, as Framework Owner and Custodian, must use lessons, findings, technology changes and stakeholder feedback to propose controlled updates.</w:t>
      </w:r>
    </w:p>
    <w:p>
      <w:pPr>
        <w:pStyle w:val="Heading1"/>
      </w:pPr>
      <w:r>
        <w:t>Competence, ethics and professional conduct</w:t>
      </w:r>
    </w:p>
    <w:p>
      <w:pPr>
        <w:pStyle w:val="Heading2"/>
      </w:pPr>
      <w:r>
        <w:t>Competence</w:t>
      </w:r>
    </w:p>
    <w:p>
      <w:r>
        <w:rPr>
          <w:rFonts w:ascii="Calibri" w:hAnsi="Calibri" w:eastAsia="Calibri"/>
          <w:i w:val="0"/>
        </w:rPr>
        <w:t>People must receive work that matches their demonstrated competence and appropriate supervision. Interns and junior staff may perform meaningful engineering work, but a competent accountable person must review material design, code, security and release decisions.</w:t>
      </w:r>
    </w:p>
    <w:p>
      <w:pPr>
        <w:pStyle w:val="Heading2"/>
      </w:pPr>
      <w:r>
        <w:t>Minimum learning areas</w:t>
      </w:r>
    </w:p>
    <w:p>
      <w:pPr>
        <w:spacing w:before="0" w:after="80" w:line="300" w:lineRule="auto"/>
        <w:numPr>
          <w:ilvl w:val="0"/>
          <w:numId w:val="10"/>
        </w:numPr>
      </w:pPr>
      <w:r>
        <w:rPr>
          <w:rFonts w:ascii="Calibri" w:hAnsi="Calibri" w:eastAsia="Calibri"/>
        </w:rPr>
        <w:t>the KenAddme IT Links lifecycle, repositories, review process and documentation standards;</w:t>
      </w:r>
    </w:p>
    <w:p>
      <w:pPr>
        <w:spacing w:before="0" w:after="80" w:line="300" w:lineRule="auto"/>
        <w:numPr>
          <w:ilvl w:val="0"/>
          <w:numId w:val="10"/>
        </w:numPr>
      </w:pPr>
      <w:r>
        <w:rPr>
          <w:rFonts w:ascii="Calibri" w:hAnsi="Calibri" w:eastAsia="Calibri"/>
        </w:rPr>
        <w:t>secure coding, privacy, secrets, phishing/social engineering and incident reporting;</w:t>
      </w:r>
    </w:p>
    <w:p>
      <w:pPr>
        <w:spacing w:before="0" w:after="80" w:line="300" w:lineRule="auto"/>
        <w:numPr>
          <w:ilvl w:val="0"/>
          <w:numId w:val="10"/>
        </w:numPr>
      </w:pPr>
      <w:r>
        <w:rPr>
          <w:rFonts w:ascii="Calibri" w:hAnsi="Calibri" w:eastAsia="Calibri"/>
        </w:rPr>
        <w:t>testing, defect management, deployment and operational responsibilities relevant to the role;</w:t>
      </w:r>
    </w:p>
    <w:p>
      <w:pPr>
        <w:spacing w:before="0" w:after="80" w:line="300" w:lineRule="auto"/>
        <w:numPr>
          <w:ilvl w:val="0"/>
          <w:numId w:val="10"/>
        </w:numPr>
      </w:pPr>
      <w:r>
        <w:rPr>
          <w:rFonts w:ascii="Calibri" w:hAnsi="Calibri" w:eastAsia="Calibri"/>
        </w:rPr>
        <w:t>client confidentiality, intellectual property, acceptable use and conflict-of-interest obligations;</w:t>
      </w:r>
    </w:p>
    <w:p>
      <w:pPr>
        <w:spacing w:before="0" w:after="80" w:line="300" w:lineRule="auto"/>
        <w:numPr>
          <w:ilvl w:val="0"/>
          <w:numId w:val="10"/>
        </w:numPr>
      </w:pPr>
      <w:r>
        <w:rPr>
          <w:rFonts w:ascii="Calibri" w:hAnsi="Calibri" w:eastAsia="Calibri"/>
        </w:rPr>
        <w:t>accessibility, inclusive design and respectful user research; and</w:t>
      </w:r>
    </w:p>
    <w:p>
      <w:pPr>
        <w:spacing w:before="0" w:after="80" w:line="300" w:lineRule="auto"/>
        <w:numPr>
          <w:ilvl w:val="0"/>
          <w:numId w:val="10"/>
        </w:numPr>
      </w:pPr>
      <w:r>
        <w:rPr>
          <w:rFonts w:ascii="Calibri" w:hAnsi="Calibri" w:eastAsia="Calibri"/>
        </w:rPr>
        <w:t>responsible use of open-source software, cloud services and AI tools.</w:t>
      </w:r>
    </w:p>
    <w:p>
      <w:pPr>
        <w:pStyle w:val="Heading2"/>
      </w:pPr>
      <w:r>
        <w:t>Professional conduct</w:t>
      </w:r>
    </w:p>
    <w:p>
      <w:pPr>
        <w:spacing w:before="0" w:after="80" w:line="300" w:lineRule="auto"/>
        <w:numPr>
          <w:ilvl w:val="0"/>
          <w:numId w:val="10"/>
        </w:numPr>
      </w:pPr>
      <w:r>
        <w:rPr>
          <w:rFonts w:ascii="Calibri" w:hAnsi="Calibri" w:eastAsia="Calibri"/>
        </w:rPr>
        <w:t>Do not misrepresent test results, progress, qualifications, security or readiness.</w:t>
      </w:r>
    </w:p>
    <w:p>
      <w:pPr>
        <w:spacing w:before="0" w:after="80" w:line="300" w:lineRule="auto"/>
        <w:numPr>
          <w:ilvl w:val="0"/>
          <w:numId w:val="10"/>
        </w:numPr>
      </w:pPr>
      <w:r>
        <w:rPr>
          <w:rFonts w:ascii="Calibri" w:hAnsi="Calibri" w:eastAsia="Calibri"/>
        </w:rPr>
        <w:t>Escalate risks, defects, data exposure, unsafe instructions and conflicts honestly and promptly.</w:t>
      </w:r>
    </w:p>
    <w:p>
      <w:pPr>
        <w:spacing w:before="0" w:after="80" w:line="300" w:lineRule="auto"/>
        <w:numPr>
          <w:ilvl w:val="0"/>
          <w:numId w:val="10"/>
        </w:numPr>
      </w:pPr>
      <w:r>
        <w:rPr>
          <w:rFonts w:ascii="Calibri" w:hAnsi="Calibri" w:eastAsia="Calibri"/>
        </w:rPr>
        <w:t>Respect confidentiality, user dignity, lawful purpose, intellectual property and authorised access.</w:t>
      </w:r>
    </w:p>
    <w:p>
      <w:pPr>
        <w:spacing w:before="0" w:after="80" w:line="300" w:lineRule="auto"/>
        <w:numPr>
          <w:ilvl w:val="0"/>
          <w:numId w:val="10"/>
        </w:numPr>
      </w:pPr>
      <w:r>
        <w:rPr>
          <w:rFonts w:ascii="Calibri" w:hAnsi="Calibri" w:eastAsia="Calibri"/>
        </w:rPr>
        <w:t>Do not introduce backdoors, hidden accounts, unauthorised data collection or deliberately obscure behaviour.</w:t>
      </w:r>
    </w:p>
    <w:p>
      <w:pPr>
        <w:spacing w:before="0" w:after="80" w:line="300" w:lineRule="auto"/>
        <w:numPr>
          <w:ilvl w:val="0"/>
          <w:numId w:val="10"/>
        </w:numPr>
      </w:pPr>
      <w:r>
        <w:rPr>
          <w:rFonts w:ascii="Calibri" w:hAnsi="Calibri" w:eastAsia="Calibri"/>
        </w:rPr>
        <w:t>Preserve evidence and cooperate with review, audit and incident response.</w:t>
      </w:r>
    </w:p>
    <w:p>
      <w:pPr>
        <w:pStyle w:val="Heading1"/>
      </w:pPr>
      <w:r>
        <w:t>Compliance, exceptions and framework review</w:t>
      </w:r>
    </w:p>
    <w:p>
      <w:pPr>
        <w:pStyle w:val="Heading2"/>
      </w:pPr>
      <w:r>
        <w:t>Compliance obligations</w:t>
      </w:r>
    </w:p>
    <w:p>
      <w:r>
        <w:rPr>
          <w:rFonts w:ascii="Calibri" w:hAnsi="Calibri" w:eastAsia="Calibri"/>
          <w:i w:val="0"/>
        </w:rPr>
        <w:t>Every project must identify the laws, regulations, contracts, client policies, licences, standards and internal rules that apply. Compliance assessment should occur during initiation and requirements and must be revisited when scope, data, deployment region, supplier or functionality changes.</w:t>
      </w:r>
    </w:p>
    <w:p>
      <w:pPr>
        <w:pStyle w:val="Heading2"/>
      </w:pPr>
      <w:r>
        <w:t>Exception process</w:t>
      </w:r>
    </w:p>
    <w:p>
      <w:r>
        <w:rPr>
          <w:rFonts w:ascii="Calibri" w:hAnsi="Calibri" w:eastAsia="Calibri"/>
          <w:i w:val="0"/>
        </w:rPr>
        <w:t>An exception request must be written before the affected release or activity whenever possible and include:</w:t>
      </w:r>
    </w:p>
    <w:p>
      <w:pPr>
        <w:spacing w:before="0" w:after="80" w:line="300" w:lineRule="auto"/>
        <w:numPr>
          <w:ilvl w:val="0"/>
          <w:numId w:val="14"/>
        </w:numPr>
      </w:pPr>
      <w:r>
        <w:rPr>
          <w:rFonts w:ascii="Calibri" w:hAnsi="Calibri" w:eastAsia="Calibri"/>
        </w:rPr>
        <w:t>the exact requirement that cannot be met;</w:t>
      </w:r>
    </w:p>
    <w:p>
      <w:pPr>
        <w:spacing w:before="0" w:after="80" w:line="300" w:lineRule="auto"/>
        <w:numPr>
          <w:ilvl w:val="0"/>
          <w:numId w:val="14"/>
        </w:numPr>
      </w:pPr>
      <w:r>
        <w:rPr>
          <w:rFonts w:ascii="Calibri" w:hAnsi="Calibri" w:eastAsia="Calibri"/>
        </w:rPr>
        <w:t>business and technical reason;</w:t>
      </w:r>
    </w:p>
    <w:p>
      <w:pPr>
        <w:spacing w:before="0" w:after="80" w:line="300" w:lineRule="auto"/>
        <w:numPr>
          <w:ilvl w:val="0"/>
          <w:numId w:val="14"/>
        </w:numPr>
      </w:pPr>
      <w:r>
        <w:rPr>
          <w:rFonts w:ascii="Calibri" w:hAnsi="Calibri" w:eastAsia="Calibri"/>
        </w:rPr>
        <w:t>affected systems, data, users and duration;</w:t>
      </w:r>
    </w:p>
    <w:p>
      <w:pPr>
        <w:spacing w:before="0" w:after="80" w:line="300" w:lineRule="auto"/>
        <w:numPr>
          <w:ilvl w:val="0"/>
          <w:numId w:val="14"/>
        </w:numPr>
      </w:pPr>
      <w:r>
        <w:rPr>
          <w:rFonts w:ascii="Calibri" w:hAnsi="Calibri" w:eastAsia="Calibri"/>
        </w:rPr>
        <w:t>risk assessment and accountable risk owner;</w:t>
      </w:r>
    </w:p>
    <w:p>
      <w:pPr>
        <w:spacing w:before="0" w:after="80" w:line="300" w:lineRule="auto"/>
        <w:numPr>
          <w:ilvl w:val="0"/>
          <w:numId w:val="14"/>
        </w:numPr>
      </w:pPr>
      <w:r>
        <w:rPr>
          <w:rFonts w:ascii="Calibri" w:hAnsi="Calibri" w:eastAsia="Calibri"/>
        </w:rPr>
        <w:t>compensating controls and validation evidence;</w:t>
      </w:r>
    </w:p>
    <w:p>
      <w:pPr>
        <w:spacing w:before="0" w:after="80" w:line="300" w:lineRule="auto"/>
        <w:numPr>
          <w:ilvl w:val="0"/>
          <w:numId w:val="14"/>
        </w:numPr>
      </w:pPr>
      <w:r>
        <w:rPr>
          <w:rFonts w:ascii="Calibri" w:hAnsi="Calibri" w:eastAsia="Calibri"/>
        </w:rPr>
        <w:t>remediation plan, owner and expiry date; and</w:t>
      </w:r>
    </w:p>
    <w:p>
      <w:pPr>
        <w:spacing w:before="0" w:after="80" w:line="300" w:lineRule="auto"/>
        <w:numPr>
          <w:ilvl w:val="0"/>
          <w:numId w:val="14"/>
        </w:numPr>
      </w:pPr>
      <w:r>
        <w:rPr>
          <w:rFonts w:ascii="Calibri" w:hAnsi="Calibri" w:eastAsia="Calibri"/>
        </w:rPr>
        <w:t>required approvals based on project class and risk.</w:t>
      </w:r>
    </w:p>
    <w:p>
      <w:r>
        <w:rPr>
          <w:rFonts w:ascii="Calibri" w:hAnsi="Calibri" w:eastAsia="Calibri"/>
          <w:i w:val="0"/>
        </w:rPr>
        <w:t>Expired exceptions are non-compliance. They must be closed, renewed through a new assessment or escalated. An exception may never authorise unlawful conduct.</w:t>
      </w:r>
    </w:p>
    <w:p>
      <w:pPr>
        <w:pStyle w:val="Heading2"/>
      </w:pPr>
      <w:r>
        <w:t>Framework review and ownership</w:t>
      </w:r>
    </w:p>
    <w:p>
      <w:r>
        <w:rPr>
          <w:rFonts w:ascii="Calibri" w:hAnsi="Calibri" w:eastAsia="Calibri"/>
          <w:i w:val="0"/>
        </w:rPr>
        <w:t>Freston Kenny Adedeme is the Document Owner and Custodian of this framework. The Software Engineering and Technology Leadership function supports its implementation and technical maintenance. The framework must be reviewed at least annually and when material changes occur in law, institutional structure, technology, threats, delivery methods or client requirements. Revised editions require controlled versioning, stakeholder review, approval, publication and communication.</w:t>
      </w:r>
    </w:p>
    <w:p>
      <w:pPr>
        <w:pStyle w:val="Heading1"/>
      </w:pPr>
      <w:r>
        <w:t>Appendix A — Mandatory artefact matrix</w:t>
      </w:r>
    </w:p>
    <w:p>
      <w:r>
        <w:rPr>
          <w:rFonts w:ascii="Calibri" w:hAnsi="Calibri" w:eastAsia="Calibri"/>
          <w:i w:val="0"/>
        </w:rPr>
        <w:t>This matrix is the enforceable tailoring floor. R means required, C means conditional as stated, and N/A means not applicable. Projects may combine records when every required element remains clear, controlled and reviewable, but they must not omit a required record without an approved exception.</w:t>
      </w:r>
    </w:p>
    <w:tbl>
      <w:tblPr>
        <w:tblLook w:firstColumn="1" w:firstRow="1" w:lastColumn="0" w:lastRow="0" w:noHBand="0" w:noVBand="1" w:val="04A0"/>
        <w:tblStyle w:val="TableGrid"/>
        <w:jc w:val="left"/>
        <w:tblW w:w="9360" w:type="dxa"/>
        <w:tblInd w:w="120" w:type="dxa"/>
        <w:tblLayout w:type="fixed"/>
      </w:tblPr>
      <w:tblGrid>
        <w:gridCol w:w="1050"/>
        <w:gridCol w:w="1980"/>
        <w:gridCol w:w="3160"/>
        <w:gridCol w:w="1400"/>
        <w:gridCol w:w="1770"/>
      </w:tblGrid>
      <w:tr>
        <w:trPr>
          <w:cantSplit/>
          <w:tblHeader w:val="true"/>
        </w:trPr>
        <w:tc>
          <w:tcPr>
            <w:tcW w:type="dxa" w:w="10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Stage</w:t>
            </w:r>
          </w:p>
        </w:tc>
        <w:tc>
          <w:tcPr>
            <w:tcW w:type="dxa" w:w="198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Class applicability</w:t>
            </w:r>
          </w:p>
        </w:tc>
        <w:tc>
          <w:tcPr>
            <w:tcW w:type="dxa" w:w="31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Mandatory record and tailoring floor</w:t>
            </w:r>
          </w:p>
        </w:tc>
        <w:tc>
          <w:tcPr>
            <w:tcW w:type="dxa" w:w="14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Owner</w:t>
            </w:r>
          </w:p>
        </w:tc>
        <w:tc>
          <w:tcPr>
            <w:tcW w:type="dxa" w:w="177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Approval/evidence</w:t>
            </w:r>
          </w:p>
        </w:tc>
      </w:tr>
      <w:tr>
        <w:trPr>
          <w:cantSplit/>
        </w:trPr>
        <w:tc>
          <w:tcPr>
            <w:tcW w:type="dxa" w:w="1050"/>
            <w:tcMar>
              <w:top w:w="80" w:type="dxa"/>
              <w:start w:w="120" w:type="dxa"/>
              <w:bottom w:w="80" w:type="dxa"/>
              <w:end w:w="120" w:type="dxa"/>
            </w:tcMar>
            <w:vAlign w:val="top"/>
          </w:tcPr>
          <w:p>
            <w:pPr>
              <w:spacing w:after="0" w:line="259" w:lineRule="auto"/>
            </w:pPr>
            <w:r>
              <w:rPr>
                <w:rFonts w:ascii="Calibri" w:hAnsi="Calibri" w:eastAsia="Calibri"/>
                <w:b/>
                <w:color w:val="20252B"/>
                <w:sz w:val="14"/>
              </w:rPr>
              <w:t>Initiation</w:t>
            </w:r>
          </w:p>
        </w:tc>
        <w:tc>
          <w:tcPr>
            <w:tcW w:type="dxa" w:w="198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R-light; C2: R; C3: R; C4: R</w:t>
            </w:r>
          </w:p>
        </w:tc>
        <w:tc>
          <w:tcPr>
            <w:tcW w:type="dxa" w:w="316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purpose, owner, scope, risk class and disposal date. C2-4: request/charter, feasibility, stakeholders, scope and risk.</w:t>
            </w:r>
          </w:p>
        </w:tc>
        <w:tc>
          <w:tcPr>
            <w:tcW w:type="dxa" w:w="140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Sponsor / delivery lead</w:t>
            </w:r>
          </w:p>
        </w:tc>
        <w:tc>
          <w:tcPr>
            <w:tcW w:type="dxa" w:w="177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G0 decision</w:t>
            </w:r>
          </w:p>
        </w:tc>
      </w:tr>
      <w:tr>
        <w:trPr>
          <w:cantSplit/>
        </w:trPr>
        <w:tc>
          <w:tcPr>
            <w:tcW w:type="dxa" w:w="1050"/>
            <w:tcMar>
              <w:top w:w="80" w:type="dxa"/>
              <w:start w:w="120" w:type="dxa"/>
              <w:bottom w:w="80" w:type="dxa"/>
              <w:end w:w="120" w:type="dxa"/>
            </w:tcMar>
            <w:vAlign w:val="top"/>
          </w:tcPr>
          <w:p>
            <w:pPr>
              <w:spacing w:after="0" w:line="259" w:lineRule="auto"/>
            </w:pPr>
            <w:r>
              <w:rPr>
                <w:rFonts w:ascii="Calibri" w:hAnsi="Calibri" w:eastAsia="Calibri"/>
                <w:b/>
                <w:color w:val="20252B"/>
                <w:sz w:val="14"/>
              </w:rPr>
              <w:t>Requirements</w:t>
            </w:r>
          </w:p>
        </w:tc>
        <w:tc>
          <w:tcPr>
            <w:tcW w:type="dxa" w:w="198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C; C2: R; C3: R; C4: R</w:t>
            </w:r>
          </w:p>
        </w:tc>
        <w:tc>
          <w:tcPr>
            <w:tcW w:type="dxa" w:w="316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acceptance note; full requirements when user-facing, integrated or persistent data is used. C2-4: requirements/backlog, acceptance, data classification and traceability.</w:t>
            </w:r>
          </w:p>
        </w:tc>
        <w:tc>
          <w:tcPr>
            <w:tcW w:type="dxa" w:w="140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Product owner / analyst</w:t>
            </w:r>
          </w:p>
        </w:tc>
        <w:tc>
          <w:tcPr>
            <w:tcW w:type="dxa" w:w="177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G1 baseline</w:t>
            </w:r>
          </w:p>
        </w:tc>
      </w:tr>
      <w:tr>
        <w:trPr>
          <w:cantSplit/>
        </w:trPr>
        <w:tc>
          <w:tcPr>
            <w:tcW w:type="dxa" w:w="1050"/>
            <w:tcMar>
              <w:top w:w="80" w:type="dxa"/>
              <w:start w:w="120" w:type="dxa"/>
              <w:bottom w:w="80" w:type="dxa"/>
              <w:end w:w="120" w:type="dxa"/>
            </w:tcMar>
            <w:vAlign w:val="top"/>
          </w:tcPr>
          <w:p>
            <w:pPr>
              <w:spacing w:after="0" w:line="259" w:lineRule="auto"/>
            </w:pPr>
            <w:r>
              <w:rPr>
                <w:rFonts w:ascii="Calibri" w:hAnsi="Calibri" w:eastAsia="Calibri"/>
                <w:b/>
                <w:color w:val="20252B"/>
                <w:sz w:val="14"/>
              </w:rPr>
              <w:t>Design</w:t>
            </w:r>
          </w:p>
        </w:tc>
        <w:tc>
          <w:tcPr>
            <w:tcW w:type="dxa" w:w="198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C; C2: R-proportionate; C3: R; C4: R + independent review</w:t>
            </w:r>
          </w:p>
        </w:tc>
        <w:tc>
          <w:tcPr>
            <w:tcW w:type="dxa" w:w="316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design note for material interface, data or security risk. C2: architecture and test/deployment design. C3-4: add threat/privacy and specialist assurance.</w:t>
            </w:r>
          </w:p>
        </w:tc>
        <w:tc>
          <w:tcPr>
            <w:tcW w:type="dxa" w:w="140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Technical lead</w:t>
            </w:r>
          </w:p>
        </w:tc>
        <w:tc>
          <w:tcPr>
            <w:tcW w:type="dxa" w:w="177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G2 review</w:t>
            </w:r>
          </w:p>
        </w:tc>
      </w:tr>
      <w:tr>
        <w:trPr>
          <w:cantSplit/>
        </w:trPr>
        <w:tc>
          <w:tcPr>
            <w:tcW w:type="dxa" w:w="1050"/>
            <w:tcMar>
              <w:top w:w="80" w:type="dxa"/>
              <w:start w:w="120" w:type="dxa"/>
              <w:bottom w:w="80" w:type="dxa"/>
              <w:end w:w="120" w:type="dxa"/>
            </w:tcMar>
            <w:vAlign w:val="top"/>
          </w:tcPr>
          <w:p>
            <w:pPr>
              <w:spacing w:after="0" w:line="259" w:lineRule="auto"/>
            </w:pPr>
            <w:r>
              <w:rPr>
                <w:rFonts w:ascii="Calibri" w:hAnsi="Calibri" w:eastAsia="Calibri"/>
                <w:b/>
                <w:color w:val="20252B"/>
                <w:sz w:val="14"/>
              </w:rPr>
              <w:t>Implementation</w:t>
            </w:r>
          </w:p>
        </w:tc>
        <w:tc>
          <w:tcPr>
            <w:tcW w:type="dxa" w:w="198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R-light; C2: R; C3: R; C4: R</w:t>
            </w:r>
          </w:p>
        </w:tc>
        <w:tc>
          <w:tcPr>
            <w:tcW w:type="dxa" w:w="316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Controlled source/configuration, review evidence, build/CI results and component inventory. C1 may use simplified review evidence but must retain source control and basic testing.</w:t>
            </w:r>
          </w:p>
        </w:tc>
        <w:tc>
          <w:tcPr>
            <w:tcW w:type="dxa" w:w="140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Technical lead</w:t>
            </w:r>
          </w:p>
        </w:tc>
        <w:tc>
          <w:tcPr>
            <w:tcW w:type="dxa" w:w="177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G3 code-complete record</w:t>
            </w:r>
          </w:p>
        </w:tc>
      </w:tr>
      <w:tr>
        <w:trPr>
          <w:cantSplit/>
        </w:trPr>
        <w:tc>
          <w:tcPr>
            <w:tcW w:type="dxa" w:w="1050"/>
            <w:tcMar>
              <w:top w:w="80" w:type="dxa"/>
              <w:start w:w="120" w:type="dxa"/>
              <w:bottom w:w="80" w:type="dxa"/>
              <w:end w:w="120" w:type="dxa"/>
            </w:tcMar>
            <w:vAlign w:val="top"/>
          </w:tcPr>
          <w:p>
            <w:pPr>
              <w:spacing w:after="0" w:line="259" w:lineRule="auto"/>
            </w:pPr>
            <w:r>
              <w:rPr>
                <w:rFonts w:ascii="Calibri" w:hAnsi="Calibri" w:eastAsia="Calibri"/>
                <w:b/>
                <w:color w:val="20252B"/>
                <w:sz w:val="14"/>
              </w:rPr>
              <w:t>Testing</w:t>
            </w:r>
          </w:p>
        </w:tc>
        <w:tc>
          <w:tcPr>
            <w:tcW w:type="dxa" w:w="198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R-basic; C2: R; C3: R + independent QA; C4: R + independent/specialist QA</w:t>
            </w:r>
          </w:p>
        </w:tc>
        <w:tc>
          <w:tcPr>
            <w:tcW w:type="dxa" w:w="316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basic acceptance and defect record. C2-4: plan, cases, results, defects, security/privacy and user acceptance at class depth.</w:t>
            </w:r>
          </w:p>
        </w:tc>
        <w:tc>
          <w:tcPr>
            <w:tcW w:type="dxa" w:w="140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QA lead / product owner</w:t>
            </w:r>
          </w:p>
        </w:tc>
        <w:tc>
          <w:tcPr>
            <w:tcW w:type="dxa" w:w="177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G4 recommendation</w:t>
            </w:r>
          </w:p>
        </w:tc>
      </w:tr>
      <w:tr>
        <w:trPr>
          <w:cantSplit/>
        </w:trPr>
        <w:tc>
          <w:tcPr>
            <w:tcW w:type="dxa" w:w="1050"/>
            <w:tcMar>
              <w:top w:w="80" w:type="dxa"/>
              <w:start w:w="120" w:type="dxa"/>
              <w:bottom w:w="80" w:type="dxa"/>
              <w:end w:w="120" w:type="dxa"/>
            </w:tcMar>
            <w:vAlign w:val="top"/>
          </w:tcPr>
          <w:p>
            <w:pPr>
              <w:spacing w:after="0" w:line="259" w:lineRule="auto"/>
            </w:pPr>
            <w:r>
              <w:rPr>
                <w:rFonts w:ascii="Calibri" w:hAnsi="Calibri" w:eastAsia="Calibri"/>
                <w:b/>
                <w:color w:val="20252B"/>
                <w:sz w:val="14"/>
              </w:rPr>
              <w:t>Release</w:t>
            </w:r>
          </w:p>
        </w:tc>
        <w:tc>
          <w:tcPr>
            <w:tcW w:type="dxa" w:w="198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C-non-production only; C2: R; C3: R; C4: R</w:t>
            </w:r>
          </w:p>
        </w:tc>
        <w:tc>
          <w:tcPr>
            <w:tcW w:type="dxa" w:w="316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demonstration/non-production release record only; any production use requires reclassification. C2-4: release notes, approval, migration, deployment, rollback and validation.</w:t>
            </w:r>
          </w:p>
        </w:tc>
        <w:tc>
          <w:tcPr>
            <w:tcW w:type="dxa" w:w="140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Release / service owner</w:t>
            </w:r>
          </w:p>
        </w:tc>
        <w:tc>
          <w:tcPr>
            <w:tcW w:type="dxa" w:w="177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G4 authorisation and deployment record</w:t>
            </w:r>
          </w:p>
        </w:tc>
      </w:tr>
      <w:tr>
        <w:trPr>
          <w:cantSplit/>
        </w:trPr>
        <w:tc>
          <w:tcPr>
            <w:tcW w:type="dxa" w:w="1050"/>
            <w:tcMar>
              <w:top w:w="80" w:type="dxa"/>
              <w:start w:w="120" w:type="dxa"/>
              <w:bottom w:w="80" w:type="dxa"/>
              <w:end w:w="120" w:type="dxa"/>
            </w:tcMar>
            <w:vAlign w:val="top"/>
          </w:tcPr>
          <w:p>
            <w:pPr>
              <w:spacing w:after="0" w:line="259" w:lineRule="auto"/>
            </w:pPr>
            <w:r>
              <w:rPr>
                <w:rFonts w:ascii="Calibri" w:hAnsi="Calibri" w:eastAsia="Calibri"/>
                <w:b/>
                <w:color w:val="20252B"/>
                <w:sz w:val="14"/>
              </w:rPr>
              <w:t>Operations</w:t>
            </w:r>
          </w:p>
        </w:tc>
        <w:tc>
          <w:tcPr>
            <w:tcW w:type="dxa" w:w="198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N/A-production prohibited; C2: R; C3: R; C4: R</w:t>
            </w:r>
          </w:p>
        </w:tc>
        <w:tc>
          <w:tcPr>
            <w:tcW w:type="dxa" w:w="316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C2-4: runbooks, monitoring, access, backup/recovery, support, incidents, targets and reviews. A Class 1 experiment must be reclassified before operational reliance.</w:t>
            </w:r>
          </w:p>
        </w:tc>
        <w:tc>
          <w:tcPr>
            <w:tcW w:type="dxa" w:w="140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Service owner</w:t>
            </w:r>
          </w:p>
        </w:tc>
        <w:tc>
          <w:tcPr>
            <w:tcW w:type="dxa" w:w="177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G5 acceptance and service reviews</w:t>
            </w:r>
          </w:p>
        </w:tc>
      </w:tr>
      <w:tr>
        <w:trPr>
          <w:cantSplit/>
        </w:trPr>
        <w:tc>
          <w:tcPr>
            <w:tcW w:type="dxa" w:w="1050"/>
            <w:tcMar>
              <w:top w:w="80" w:type="dxa"/>
              <w:start w:w="120" w:type="dxa"/>
              <w:bottom w:w="80" w:type="dxa"/>
              <w:end w:w="120" w:type="dxa"/>
            </w:tcMar>
            <w:vAlign w:val="top"/>
          </w:tcPr>
          <w:p>
            <w:pPr>
              <w:spacing w:after="0" w:line="259" w:lineRule="auto"/>
            </w:pPr>
            <w:r>
              <w:rPr>
                <w:rFonts w:ascii="Calibri" w:hAnsi="Calibri" w:eastAsia="Calibri"/>
                <w:b/>
                <w:color w:val="20252B"/>
                <w:sz w:val="14"/>
              </w:rPr>
              <w:t>Closure</w:t>
            </w:r>
          </w:p>
        </w:tc>
        <w:tc>
          <w:tcPr>
            <w:tcW w:type="dxa" w:w="198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R; C2: R; C3: R; C4: R</w:t>
            </w:r>
          </w:p>
        </w:tc>
        <w:tc>
          <w:tcPr>
            <w:tcW w:type="dxa" w:w="316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C1: disposal date, access removal and data/code disposition. C2-4: acceptance/closure, data disposition, decommissioning, archive and lessons.</w:t>
            </w:r>
          </w:p>
        </w:tc>
        <w:tc>
          <w:tcPr>
            <w:tcW w:type="dxa" w:w="140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Sponsor / service owner</w:t>
            </w:r>
          </w:p>
        </w:tc>
        <w:tc>
          <w:tcPr>
            <w:tcW w:type="dxa" w:w="1770"/>
            <w:tcMar>
              <w:top w:w="80" w:type="dxa"/>
              <w:start w:w="120" w:type="dxa"/>
              <w:bottom w:w="80" w:type="dxa"/>
              <w:end w:w="120" w:type="dxa"/>
            </w:tcMar>
            <w:vAlign w:val="top"/>
          </w:tcPr>
          <w:p>
            <w:pPr>
              <w:spacing w:after="0" w:line="259" w:lineRule="auto"/>
            </w:pPr>
            <w:r>
              <w:rPr>
                <w:rFonts w:ascii="Calibri" w:hAnsi="Calibri" w:eastAsia="Calibri"/>
                <w:b w:val="0"/>
                <w:color w:val="20252B"/>
                <w:sz w:val="14"/>
              </w:rPr>
              <w:t>G6 decision</w:t>
            </w:r>
          </w:p>
        </w:tc>
      </w:tr>
    </w:tbl>
    <w:p>
      <w:pPr>
        <w:spacing w:after="20"/>
      </w:pPr>
    </w:p>
    <w:p>
      <w:pPr>
        <w:pStyle w:val="Heading1"/>
      </w:pPr>
      <w:r>
        <w:t>Appendix B — Definition of Ready and Definition of Done</w:t>
      </w:r>
    </w:p>
    <w:p>
      <w:pPr>
        <w:pStyle w:val="Heading2"/>
      </w:pPr>
      <w:r>
        <w:t>Definition of Ready</w:t>
      </w:r>
    </w:p>
    <w:p>
      <w:r>
        <w:rPr>
          <w:rFonts w:ascii="Calibri" w:hAnsi="Calibri" w:eastAsia="Calibri"/>
          <w:i w:val="0"/>
        </w:rPr>
        <w:t>A work item is normally ready for implementation when:</w:t>
      </w:r>
    </w:p>
    <w:p>
      <w:pPr>
        <w:spacing w:before="0" w:after="80" w:line="300" w:lineRule="auto"/>
        <w:numPr>
          <w:ilvl w:val="0"/>
          <w:numId w:val="10"/>
        </w:numPr>
      </w:pPr>
      <w:r>
        <w:rPr>
          <w:rFonts w:ascii="Calibri" w:hAnsi="Calibri" w:eastAsia="Calibri"/>
        </w:rPr>
        <w:t>the user/business outcome and scope are understood;</w:t>
      </w:r>
    </w:p>
    <w:p>
      <w:pPr>
        <w:spacing w:before="0" w:after="80" w:line="300" w:lineRule="auto"/>
        <w:numPr>
          <w:ilvl w:val="0"/>
          <w:numId w:val="10"/>
        </w:numPr>
      </w:pPr>
      <w:r>
        <w:rPr>
          <w:rFonts w:ascii="Calibri" w:hAnsi="Calibri" w:eastAsia="Calibri"/>
        </w:rPr>
        <w:t>acceptance criteria are specific and testable;</w:t>
      </w:r>
    </w:p>
    <w:p>
      <w:pPr>
        <w:spacing w:before="0" w:after="80" w:line="300" w:lineRule="auto"/>
        <w:numPr>
          <w:ilvl w:val="0"/>
          <w:numId w:val="10"/>
        </w:numPr>
      </w:pPr>
      <w:r>
        <w:rPr>
          <w:rFonts w:ascii="Calibri" w:hAnsi="Calibri" w:eastAsia="Calibri"/>
        </w:rPr>
        <w:t>dependencies, data, permissions and interface impacts are identified;</w:t>
      </w:r>
    </w:p>
    <w:p>
      <w:pPr>
        <w:spacing w:before="0" w:after="80" w:line="300" w:lineRule="auto"/>
        <w:numPr>
          <w:ilvl w:val="0"/>
          <w:numId w:val="10"/>
        </w:numPr>
      </w:pPr>
      <w:r>
        <w:rPr>
          <w:rFonts w:ascii="Calibri" w:hAnsi="Calibri" w:eastAsia="Calibri"/>
        </w:rPr>
        <w:t>design or UX detail is sufficient for the item’s risk;</w:t>
      </w:r>
    </w:p>
    <w:p>
      <w:pPr>
        <w:spacing w:before="0" w:after="80" w:line="300" w:lineRule="auto"/>
        <w:numPr>
          <w:ilvl w:val="0"/>
          <w:numId w:val="10"/>
        </w:numPr>
      </w:pPr>
      <w:r>
        <w:rPr>
          <w:rFonts w:ascii="Calibri" w:hAnsi="Calibri" w:eastAsia="Calibri"/>
        </w:rPr>
        <w:t>security, privacy and accessibility needs are included;</w:t>
      </w:r>
    </w:p>
    <w:p>
      <w:pPr>
        <w:spacing w:before="0" w:after="80" w:line="300" w:lineRule="auto"/>
        <w:numPr>
          <w:ilvl w:val="0"/>
          <w:numId w:val="10"/>
        </w:numPr>
      </w:pPr>
      <w:r>
        <w:rPr>
          <w:rFonts w:ascii="Calibri" w:hAnsi="Calibri" w:eastAsia="Calibri"/>
        </w:rPr>
        <w:t>the item is estimated, prioritised and small enough for the intended iteration; and</w:t>
      </w:r>
    </w:p>
    <w:p>
      <w:pPr>
        <w:spacing w:before="0" w:after="80" w:line="300" w:lineRule="auto"/>
        <w:numPr>
          <w:ilvl w:val="0"/>
          <w:numId w:val="10"/>
        </w:numPr>
      </w:pPr>
      <w:r>
        <w:rPr>
          <w:rFonts w:ascii="Calibri" w:hAnsi="Calibri" w:eastAsia="Calibri"/>
        </w:rPr>
        <w:t>open questions have owners and do not prevent safe implementation.</w:t>
      </w:r>
    </w:p>
    <w:p>
      <w:pPr>
        <w:pStyle w:val="Heading2"/>
      </w:pPr>
      <w:r>
        <w:t>Definition of Done</w:t>
      </w:r>
    </w:p>
    <w:p>
      <w:r>
        <w:rPr>
          <w:rFonts w:ascii="Calibri" w:hAnsi="Calibri" w:eastAsia="Calibri"/>
          <w:i w:val="0"/>
        </w:rPr>
        <w:t>A work item is normally done when:</w:t>
      </w:r>
    </w:p>
    <w:p>
      <w:pPr>
        <w:spacing w:before="0" w:after="80" w:line="300" w:lineRule="auto"/>
        <w:numPr>
          <w:ilvl w:val="0"/>
          <w:numId w:val="10"/>
        </w:numPr>
      </w:pPr>
      <w:r>
        <w:rPr>
          <w:rFonts w:ascii="Calibri" w:hAnsi="Calibri" w:eastAsia="Calibri"/>
        </w:rPr>
        <w:t>implementation satisfies the acceptance criteria;</w:t>
      </w:r>
    </w:p>
    <w:p>
      <w:pPr>
        <w:spacing w:before="0" w:after="80" w:line="300" w:lineRule="auto"/>
        <w:numPr>
          <w:ilvl w:val="0"/>
          <w:numId w:val="10"/>
        </w:numPr>
      </w:pPr>
      <w:r>
        <w:rPr>
          <w:rFonts w:ascii="Calibri" w:hAnsi="Calibri" w:eastAsia="Calibri"/>
        </w:rPr>
        <w:t>code/configuration is peer-reviewed and merged through the controlled path;</w:t>
      </w:r>
    </w:p>
    <w:p>
      <w:pPr>
        <w:spacing w:before="0" w:after="80" w:line="300" w:lineRule="auto"/>
        <w:numPr>
          <w:ilvl w:val="0"/>
          <w:numId w:val="10"/>
        </w:numPr>
      </w:pPr>
      <w:r>
        <w:rPr>
          <w:rFonts w:ascii="Calibri" w:hAnsi="Calibri" w:eastAsia="Calibri"/>
        </w:rPr>
        <w:t>required automated and manual tests pass with recorded evidence;</w:t>
      </w:r>
    </w:p>
    <w:p>
      <w:pPr>
        <w:spacing w:before="0" w:after="80" w:line="300" w:lineRule="auto"/>
        <w:numPr>
          <w:ilvl w:val="0"/>
          <w:numId w:val="10"/>
        </w:numPr>
      </w:pPr>
      <w:r>
        <w:rPr>
          <w:rFonts w:ascii="Calibri" w:hAnsi="Calibri" w:eastAsia="Calibri"/>
        </w:rPr>
        <w:t>security, privacy, data and accessibility checks appropriate to risk are complete;</w:t>
      </w:r>
    </w:p>
    <w:p>
      <w:pPr>
        <w:spacing w:before="0" w:after="80" w:line="300" w:lineRule="auto"/>
        <w:numPr>
          <w:ilvl w:val="0"/>
          <w:numId w:val="10"/>
        </w:numPr>
      </w:pPr>
      <w:r>
        <w:rPr>
          <w:rFonts w:ascii="Calibri" w:hAnsi="Calibri" w:eastAsia="Calibri"/>
        </w:rPr>
        <w:t>documentation, migration and operational changes are updated;</w:t>
      </w:r>
    </w:p>
    <w:p>
      <w:pPr>
        <w:spacing w:before="0" w:after="80" w:line="300" w:lineRule="auto"/>
        <w:numPr>
          <w:ilvl w:val="0"/>
          <w:numId w:val="10"/>
        </w:numPr>
      </w:pPr>
      <w:r>
        <w:rPr>
          <w:rFonts w:ascii="Calibri" w:hAnsi="Calibri" w:eastAsia="Calibri"/>
        </w:rPr>
        <w:t>no prohibited secret, unapproved dependency or unresolved blocking defect exists;</w:t>
      </w:r>
    </w:p>
    <w:p>
      <w:pPr>
        <w:spacing w:before="0" w:after="80" w:line="300" w:lineRule="auto"/>
        <w:numPr>
          <w:ilvl w:val="0"/>
          <w:numId w:val="10"/>
        </w:numPr>
      </w:pPr>
      <w:r>
        <w:rPr>
          <w:rFonts w:ascii="Calibri" w:hAnsi="Calibri" w:eastAsia="Calibri"/>
        </w:rPr>
        <w:t>the product owner or authorised representative accepts the result; and</w:t>
      </w:r>
    </w:p>
    <w:p>
      <w:pPr>
        <w:spacing w:before="0" w:after="80" w:line="300" w:lineRule="auto"/>
        <w:numPr>
          <w:ilvl w:val="0"/>
          <w:numId w:val="10"/>
        </w:numPr>
      </w:pPr>
      <w:r>
        <w:rPr>
          <w:rFonts w:ascii="Calibri" w:hAnsi="Calibri" w:eastAsia="Calibri"/>
        </w:rPr>
        <w:t>the increment is deployable or its intentional deployment constraint is documented.</w:t>
      </w:r>
    </w:p>
    <w:p>
      <w:pPr>
        <w:pStyle w:val="Heading1"/>
      </w:pPr>
      <w:r>
        <w:t>Appendix C — Project intake and charter template</w:t>
      </w:r>
    </w:p>
    <w:tbl>
      <w:tblPr>
        <w:tblLook w:firstColumn="1" w:firstRow="1" w:lastColumn="0" w:lastRow="0" w:noHBand="0" w:noVBand="1" w:val="04A0"/>
        <w:tblStyle w:val="TableGrid"/>
        <w:jc w:val="left"/>
        <w:tblW w:w="9360" w:type="dxa"/>
        <w:tblInd w:w="120" w:type="dxa"/>
        <w:tblLayout w:type="fixed"/>
      </w:tblPr>
      <w:tblGrid>
        <w:gridCol w:w="2600"/>
        <w:gridCol w:w="6760"/>
      </w:tblGrid>
      <w:tr>
        <w:trPr>
          <w:cantSplit/>
          <w:tblHeader w:val="true"/>
        </w:trPr>
        <w:tc>
          <w:tcPr>
            <w:tcW w:type="dxa" w:w="26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Field</w:t>
            </w:r>
          </w:p>
        </w:tc>
        <w:tc>
          <w:tcPr>
            <w:tcW w:type="dxa" w:w="67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Information to complete</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Project/product name</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Sponsor and acceptance authority</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Delivery lead and technical owner</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Problem/opportunity</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What is happening, who is affected and why action is needed</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Desired outcomes and measures</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Observable benefits and success indicators</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Scope and exclusions</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Included products, users, processes, locations and explicit non-scope</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Users and stakeholders</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Primary users, decision makers, operations, affected parties</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Data and integrations</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Data types/classification, sources, destinations and external systems</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Constraints and assumptions</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Time, budget, technology, procurement, contract, legal and resource limits</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Assurance effort and budget</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Estimated QA, security, privacy, accessibility, recovery and compliance work; commercial disclosure for Class 3-4</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Initial risk class</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Class 1 / 2 / 3 / 4 and reason</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Top risks and dependencies</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Risk, impact, owner and immediate action</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Feasibility conclusion</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Recommended approach, alternatives considered and discovery estimate</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G0 decision</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Approve / defer / decline; approver, date and conditions</w:t>
            </w:r>
          </w:p>
        </w:tc>
      </w:tr>
    </w:tbl>
    <w:p>
      <w:pPr>
        <w:spacing w:after="20"/>
      </w:pPr>
    </w:p>
    <w:p>
      <w:pPr>
        <w:pStyle w:val="Heading1"/>
      </w:pPr>
      <w:r>
        <w:t>Appendix D — Software Requirements Specification outline</w:t>
      </w:r>
    </w:p>
    <w:p>
      <w:pPr>
        <w:spacing w:before="0" w:after="80" w:line="300" w:lineRule="auto"/>
        <w:numPr>
          <w:ilvl w:val="0"/>
          <w:numId w:val="15"/>
        </w:numPr>
      </w:pPr>
      <w:r>
        <w:rPr>
          <w:rFonts w:ascii="Calibri" w:hAnsi="Calibri" w:eastAsia="Calibri"/>
        </w:rPr>
        <w:t>Document control, approvals and revision history</w:t>
      </w:r>
    </w:p>
    <w:p>
      <w:pPr>
        <w:spacing w:before="0" w:after="80" w:line="300" w:lineRule="auto"/>
        <w:numPr>
          <w:ilvl w:val="0"/>
          <w:numId w:val="15"/>
        </w:numPr>
      </w:pPr>
      <w:r>
        <w:rPr>
          <w:rFonts w:ascii="Calibri" w:hAnsi="Calibri" w:eastAsia="Calibri"/>
        </w:rPr>
        <w:t>Purpose, business context and success measures</w:t>
      </w:r>
    </w:p>
    <w:p>
      <w:pPr>
        <w:spacing w:before="0" w:after="80" w:line="300" w:lineRule="auto"/>
        <w:numPr>
          <w:ilvl w:val="0"/>
          <w:numId w:val="15"/>
        </w:numPr>
      </w:pPr>
      <w:r>
        <w:rPr>
          <w:rFonts w:ascii="Calibri" w:hAnsi="Calibri" w:eastAsia="Calibri"/>
        </w:rPr>
        <w:t>Scope, exclusions, assumptions, dependencies and constraints</w:t>
      </w:r>
    </w:p>
    <w:p>
      <w:pPr>
        <w:spacing w:before="0" w:after="80" w:line="300" w:lineRule="auto"/>
        <w:numPr>
          <w:ilvl w:val="0"/>
          <w:numId w:val="15"/>
        </w:numPr>
      </w:pPr>
      <w:r>
        <w:rPr>
          <w:rFonts w:ascii="Calibri" w:hAnsi="Calibri" w:eastAsia="Calibri"/>
        </w:rPr>
        <w:t>Stakeholders, users, personas, roles and permissions</w:t>
      </w:r>
    </w:p>
    <w:p>
      <w:pPr>
        <w:spacing w:before="0" w:after="80" w:line="300" w:lineRule="auto"/>
        <w:numPr>
          <w:ilvl w:val="0"/>
          <w:numId w:val="15"/>
        </w:numPr>
      </w:pPr>
      <w:r>
        <w:rPr>
          <w:rFonts w:ascii="Calibri" w:hAnsi="Calibri" w:eastAsia="Calibri"/>
        </w:rPr>
        <w:t>Current process and proposed user journeys or use cases</w:t>
      </w:r>
    </w:p>
    <w:p>
      <w:pPr>
        <w:spacing w:before="0" w:after="80" w:line="300" w:lineRule="auto"/>
        <w:numPr>
          <w:ilvl w:val="0"/>
          <w:numId w:val="15"/>
        </w:numPr>
      </w:pPr>
      <w:r>
        <w:rPr>
          <w:rFonts w:ascii="Calibri" w:hAnsi="Calibri" w:eastAsia="Calibri"/>
        </w:rPr>
        <w:t>Functional requirements and business rules</w:t>
      </w:r>
    </w:p>
    <w:p>
      <w:pPr>
        <w:spacing w:before="0" w:after="80" w:line="300" w:lineRule="auto"/>
        <w:numPr>
          <w:ilvl w:val="0"/>
          <w:numId w:val="15"/>
        </w:numPr>
      </w:pPr>
      <w:r>
        <w:rPr>
          <w:rFonts w:ascii="Calibri" w:hAnsi="Calibri" w:eastAsia="Calibri"/>
        </w:rPr>
        <w:t>Data definitions, classification, validation, retention and migration</w:t>
      </w:r>
    </w:p>
    <w:p>
      <w:pPr>
        <w:spacing w:before="0" w:after="80" w:line="300" w:lineRule="auto"/>
        <w:numPr>
          <w:ilvl w:val="0"/>
          <w:numId w:val="15"/>
        </w:numPr>
      </w:pPr>
      <w:r>
        <w:rPr>
          <w:rFonts w:ascii="Calibri" w:hAnsi="Calibri" w:eastAsia="Calibri"/>
        </w:rPr>
        <w:t>External interfaces, APIs, devices, notifications and reports</w:t>
      </w:r>
    </w:p>
    <w:p>
      <w:pPr>
        <w:spacing w:before="0" w:after="80" w:line="300" w:lineRule="auto"/>
        <w:numPr>
          <w:ilvl w:val="0"/>
          <w:numId w:val="15"/>
        </w:numPr>
      </w:pPr>
      <w:r>
        <w:rPr>
          <w:rFonts w:ascii="Calibri" w:hAnsi="Calibri" w:eastAsia="Calibri"/>
        </w:rPr>
        <w:t>Non-functional requirements: security, privacy, performance, reliability, accessibility, usability, compatibility, maintainability, scalability, logging and recovery</w:t>
      </w:r>
    </w:p>
    <w:p>
      <w:pPr>
        <w:spacing w:before="0" w:after="80" w:line="300" w:lineRule="auto"/>
        <w:numPr>
          <w:ilvl w:val="0"/>
          <w:numId w:val="15"/>
        </w:numPr>
      </w:pPr>
      <w:r>
        <w:rPr>
          <w:rFonts w:ascii="Calibri" w:hAnsi="Calibri" w:eastAsia="Calibri"/>
        </w:rPr>
        <w:t>Acceptance criteria and test conditions</w:t>
      </w:r>
    </w:p>
    <w:p>
      <w:pPr>
        <w:spacing w:before="0" w:after="80" w:line="300" w:lineRule="auto"/>
        <w:numPr>
          <w:ilvl w:val="0"/>
          <w:numId w:val="15"/>
        </w:numPr>
      </w:pPr>
      <w:r>
        <w:rPr>
          <w:rFonts w:ascii="Calibri" w:hAnsi="Calibri" w:eastAsia="Calibri"/>
        </w:rPr>
        <w:t>Traceability, priorities, open questions and change-control method</w:t>
      </w:r>
    </w:p>
    <w:p>
      <w:pPr>
        <w:spacing w:before="0" w:after="80" w:line="300" w:lineRule="auto"/>
        <w:numPr>
          <w:ilvl w:val="0"/>
          <w:numId w:val="15"/>
        </w:numPr>
      </w:pPr>
      <w:r>
        <w:rPr>
          <w:rFonts w:ascii="Calibri" w:hAnsi="Calibri" w:eastAsia="Calibri"/>
        </w:rPr>
        <w:t>Glossary, references and supporting diagrams</w:t>
      </w:r>
    </w:p>
    <w:p>
      <w:pPr>
        <w:pStyle w:val="Heading1"/>
      </w:pPr>
      <w:r>
        <w:t>Appendix E — Architecture Decision Record template</w:t>
      </w:r>
    </w:p>
    <w:tbl>
      <w:tblPr>
        <w:tblLook w:firstColumn="1" w:firstRow="1" w:lastColumn="0" w:lastRow="0" w:noHBand="0" w:noVBand="1" w:val="04A0"/>
        <w:tblStyle w:val="TableGrid"/>
        <w:jc w:val="left"/>
        <w:tblW w:w="9360" w:type="dxa"/>
        <w:tblInd w:w="120" w:type="dxa"/>
        <w:tblLayout w:type="fixed"/>
      </w:tblPr>
      <w:tblGrid>
        <w:gridCol w:w="2500"/>
        <w:gridCol w:w="6860"/>
      </w:tblGrid>
      <w:tr>
        <w:trPr>
          <w:cantSplit/>
          <w:tblHeader w:val="true"/>
        </w:trPr>
        <w:tc>
          <w:tcPr>
            <w:tcW w:type="dxa" w:w="25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Field</w:t>
            </w:r>
          </w:p>
        </w:tc>
        <w:tc>
          <w:tcPr>
            <w:tcW w:type="dxa" w:w="68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Required content</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ADR identifier and title</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Unique ID and short decision statement</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Status</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Proposed / accepted / superseded / deprecated</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Context</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Problem, forces, constraints and requirements that make a decision necessary</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Options considered</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Reasonable alternatives, including doing nothing where relevant</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Decision</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Selected option and scope</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Rationale</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Why this option best balances requirements, risk, cost and supportability</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Consequences</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Positive, negative, operational, security, privacy and migration effects</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Validation</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Prototype, benchmark, review or other evidence supporting the decision</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Owners and date</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Decision maker, reviewers and effective date</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7"/>
              </w:rPr>
              <w:t>Review trigger</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Condition or date that should cause reconsideration</w:t>
            </w:r>
          </w:p>
        </w:tc>
      </w:tr>
    </w:tbl>
    <w:p>
      <w:pPr>
        <w:spacing w:after="20"/>
      </w:pPr>
    </w:p>
    <w:p>
      <w:pPr>
        <w:pStyle w:val="Heading1"/>
      </w:pPr>
      <w:r>
        <w:t>Appendix F — Release-readiness checklist</w:t>
      </w:r>
    </w:p>
    <w:tbl>
      <w:tblPr>
        <w:tblLook w:firstColumn="1" w:firstRow="1" w:lastColumn="0" w:lastRow="0" w:noHBand="0" w:noVBand="1" w:val="04A0"/>
        <w:tblStyle w:val="TableGrid"/>
        <w:jc w:val="left"/>
        <w:tblW w:w="9360" w:type="dxa"/>
        <w:tblInd w:w="120" w:type="dxa"/>
        <w:tblLayout w:type="fixed"/>
      </w:tblPr>
      <w:tblGrid>
        <w:gridCol w:w="1450"/>
        <w:gridCol w:w="4540"/>
        <w:gridCol w:w="1800"/>
        <w:gridCol w:w="1570"/>
      </w:tblGrid>
      <w:tr>
        <w:trPr>
          <w:cantSplit/>
          <w:tblHeader w:val="true"/>
        </w:trPr>
        <w:tc>
          <w:tcPr>
            <w:tcW w:type="dxa" w:w="14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Area</w:t>
            </w:r>
          </w:p>
        </w:tc>
        <w:tc>
          <w:tcPr>
            <w:tcW w:type="dxa" w:w="454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Readiness test</w:t>
            </w:r>
          </w:p>
        </w:tc>
        <w:tc>
          <w:tcPr>
            <w:tcW w:type="dxa" w:w="18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Evidence owner</w:t>
            </w:r>
          </w:p>
        </w:tc>
        <w:tc>
          <w:tcPr>
            <w:tcW w:type="dxa" w:w="157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Status/evidence reference</w:t>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Scope</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Release contents match authorised work items and release notes</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Product owner</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Requirements</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Acceptance criteria and traceability are complete</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Product owner / QA</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Code</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Protected merge, peer review and build identification are complete</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Technical lead</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Tests</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Required tests pass; defects are within approved release criteria</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QA lead</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Security/privacy</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Required scans/reviews pass; residual risks are accepted</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Security/privacy reviewer</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Dependencies</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Components, licences, vulnerabilities and supplier status are acceptable</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Technical lead</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Data</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Migration, validation, backup and rollback are tested</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Data/service owner</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Operations</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Monitoring, alerting, capacity, support and runbooks are ready</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Service owner</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Deployment</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Implementation, verification, communication and rollback plans are approved</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Release authority</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r>
        <w:trPr>
          <w:cantSplit/>
        </w:trPr>
        <w:tc>
          <w:tcPr>
            <w:tcW w:type="dxa" w:w="1450"/>
            <w:tcMar>
              <w:top w:w="80" w:type="dxa"/>
              <w:start w:w="120" w:type="dxa"/>
              <w:bottom w:w="80" w:type="dxa"/>
              <w:end w:w="120" w:type="dxa"/>
            </w:tcMar>
            <w:vAlign w:val="top"/>
          </w:tcPr>
          <w:p>
            <w:pPr>
              <w:spacing w:after="0" w:line="259" w:lineRule="auto"/>
            </w:pPr>
            <w:r>
              <w:rPr>
                <w:rFonts w:ascii="Calibri" w:hAnsi="Calibri" w:eastAsia="Calibri"/>
                <w:b/>
                <w:color w:val="20252B"/>
                <w:sz w:val="16"/>
              </w:rPr>
              <w:t>Approval</w:t>
            </w:r>
          </w:p>
        </w:tc>
        <w:tc>
          <w:tcPr>
            <w:tcW w:type="dxa" w:w="454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G4 release authorisation is recorded</w:t>
            </w:r>
          </w:p>
        </w:tc>
        <w:tc>
          <w:tcPr>
            <w:tcW w:type="dxa" w:w="1800"/>
            <w:tcMar>
              <w:top w:w="80" w:type="dxa"/>
              <w:start w:w="120" w:type="dxa"/>
              <w:bottom w:w="80" w:type="dxa"/>
              <w:end w:w="120" w:type="dxa"/>
            </w:tcMar>
            <w:vAlign w:val="top"/>
          </w:tcPr>
          <w:p>
            <w:pPr>
              <w:spacing w:after="0" w:line="259" w:lineRule="auto"/>
            </w:pPr>
            <w:r>
              <w:rPr>
                <w:rFonts w:ascii="Calibri" w:hAnsi="Calibri" w:eastAsia="Calibri"/>
                <w:b w:val="0"/>
                <w:color w:val="20252B"/>
                <w:sz w:val="16"/>
              </w:rPr>
              <w:t>Authorised approvers</w:t>
            </w:r>
          </w:p>
        </w:tc>
        <w:tc>
          <w:tcPr>
            <w:tcW w:type="dxa" w:w="1570"/>
            <w:tcMar>
              <w:top w:w="80" w:type="dxa"/>
              <w:start w:w="120" w:type="dxa"/>
              <w:bottom w:w="80" w:type="dxa"/>
              <w:end w:w="120" w:type="dxa"/>
            </w:tcMar>
            <w:vAlign w:val="top"/>
          </w:tcPr>
          <w:p>
            <w:pPr>
              <w:spacing w:after="0" w:line="259" w:lineRule="auto"/>
            </w:pPr>
            <w:r>
              <w:rPr>
                <w:rFonts w:ascii="Calibri" w:hAnsi="Calibri" w:eastAsia="Calibri"/>
                <w:b w:val="0"/>
                <w:color w:val="20252B"/>
                <w:sz w:val="16"/>
              </w:rPr>
            </w:r>
          </w:p>
        </w:tc>
      </w:tr>
    </w:tbl>
    <w:p>
      <w:pPr>
        <w:spacing w:after="20"/>
      </w:pPr>
    </w:p>
    <w:p>
      <w:pPr>
        <w:pStyle w:val="Heading1"/>
      </w:pPr>
      <w:r>
        <w:t>Appendix G — Change request template</w:t>
      </w:r>
    </w:p>
    <w:tbl>
      <w:tblPr>
        <w:tblLook w:firstColumn="1" w:firstRow="1" w:lastColumn="0" w:lastRow="0" w:noHBand="0" w:noVBand="1" w:val="04A0"/>
        <w:tblStyle w:val="TableGrid"/>
        <w:jc w:val="left"/>
        <w:tblW w:w="9360" w:type="dxa"/>
        <w:tblInd w:w="120" w:type="dxa"/>
        <w:tblLayout w:type="fixed"/>
      </w:tblPr>
      <w:tblGrid>
        <w:gridCol w:w="3000"/>
        <w:gridCol w:w="6360"/>
      </w:tblGrid>
      <w:tr>
        <w:trPr>
          <w:cantSplit/>
          <w:tblHeader w:val="true"/>
        </w:trPr>
        <w:tc>
          <w:tcPr>
            <w:tcW w:type="dxa" w:w="30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Field</w:t>
            </w:r>
          </w:p>
        </w:tc>
        <w:tc>
          <w:tcPr>
            <w:tcW w:type="dxa" w:w="63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Information to complete</w:t>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Change ID and title</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Requester and date</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Reason and expected benefit</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Affected requirements, systems, data and users</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Options considered</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Impact on scope, schedule, cost, quality and contract</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Security, privacy, accessibility and operational impact</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Implementation, test, migration and rollback approach</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Risk and compensating controls</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eastAsia="Calibri"/>
                <w:b/>
                <w:color w:val="20252B"/>
                <w:sz w:val="17"/>
              </w:rPr>
              <w:t>Decision, approver, date and conditions</w:t>
            </w:r>
          </w:p>
        </w:tc>
        <w:tc>
          <w:tcPr>
            <w:tcW w:type="dxa" w:w="63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Approve / reject / defer</w:t>
            </w:r>
          </w:p>
        </w:tc>
      </w:tr>
    </w:tbl>
    <w:p>
      <w:pPr>
        <w:spacing w:after="20"/>
      </w:pPr>
    </w:p>
    <w:p>
      <w:pPr>
        <w:pStyle w:val="Heading1"/>
      </w:pPr>
      <w:r>
        <w:t>Appendix H — Risk register fields</w:t>
      </w:r>
    </w:p>
    <w:tbl>
      <w:tblPr>
        <w:tblLook w:firstColumn="1" w:firstRow="1" w:lastColumn="0" w:lastRow="0" w:noHBand="0" w:noVBand="1" w:val="04A0"/>
        <w:tblStyle w:val="TableGrid"/>
        <w:jc w:val="left"/>
        <w:tblW w:w="9360" w:type="dxa"/>
        <w:tblInd w:w="120" w:type="dxa"/>
        <w:tblLayout w:type="fixed"/>
      </w:tblPr>
      <w:tblGrid>
        <w:gridCol w:w="2600"/>
        <w:gridCol w:w="6760"/>
      </w:tblGrid>
      <w:tr>
        <w:trPr>
          <w:cantSplit/>
          <w:tblHeader w:val="true"/>
        </w:trPr>
        <w:tc>
          <w:tcPr>
            <w:tcW w:type="dxa" w:w="26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Field</w:t>
            </w:r>
          </w:p>
        </w:tc>
        <w:tc>
          <w:tcPr>
            <w:tcW w:type="dxa" w:w="67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Description</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Risk ID</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Unique identifier</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Risk statement</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Cause, uncertain event and potential effect</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Category</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Delivery, technical, security, privacy, legal, supplier, people, financial or operational</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Likelihood and impact</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Defined project scale and rationale</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Exposure/priority</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Calculated or agreed priority</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Owner</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Person accountable for monitoring and response</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Response</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Avoid, reduce, transfer/share or accept</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Actions</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Specific treatment, owner and target date</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Residual risk</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Remaining risk after controls</w:t>
            </w:r>
          </w:p>
        </w:tc>
      </w:tr>
      <w:tr>
        <w:trPr>
          <w:cantSplit/>
        </w:trPr>
        <w:tc>
          <w:tcPr>
            <w:tcW w:type="dxa" w:w="2600"/>
            <w:tcMar>
              <w:top w:w="80" w:type="dxa"/>
              <w:start w:w="120" w:type="dxa"/>
              <w:bottom w:w="80" w:type="dxa"/>
              <w:end w:w="120" w:type="dxa"/>
            </w:tcMar>
            <w:vAlign w:val="top"/>
          </w:tcPr>
          <w:p>
            <w:pPr>
              <w:spacing w:after="0" w:line="259" w:lineRule="auto"/>
            </w:pPr>
            <w:r>
              <w:rPr>
                <w:rFonts w:ascii="Calibri" w:hAnsi="Calibri" w:eastAsia="Calibri"/>
                <w:b/>
                <w:color w:val="20252B"/>
                <w:sz w:val="17"/>
              </w:rPr>
              <w:t>Status/review</w:t>
            </w:r>
          </w:p>
        </w:tc>
        <w:tc>
          <w:tcPr>
            <w:tcW w:type="dxa" w:w="67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Open, monitoring, realised, closed; last/next review date</w:t>
            </w:r>
          </w:p>
        </w:tc>
      </w:tr>
    </w:tbl>
    <w:p>
      <w:pPr>
        <w:spacing w:after="20"/>
      </w:pPr>
    </w:p>
    <w:p>
      <w:pPr>
        <w:pStyle w:val="Heading1"/>
      </w:pPr>
      <w:r>
        <w:t>Appendix I — Post-implementation review template</w:t>
      </w:r>
    </w:p>
    <w:p>
      <w:pPr>
        <w:spacing w:before="0" w:after="80" w:line="300" w:lineRule="auto"/>
        <w:numPr>
          <w:ilvl w:val="0"/>
          <w:numId w:val="16"/>
        </w:numPr>
      </w:pPr>
      <w:r>
        <w:rPr>
          <w:rFonts w:ascii="Calibri" w:hAnsi="Calibri" w:eastAsia="Calibri"/>
        </w:rPr>
        <w:t>What was delivered, when, by whom and for which approved objectives?</w:t>
      </w:r>
    </w:p>
    <w:p>
      <w:pPr>
        <w:spacing w:before="0" w:after="80" w:line="300" w:lineRule="auto"/>
        <w:numPr>
          <w:ilvl w:val="0"/>
          <w:numId w:val="16"/>
        </w:numPr>
      </w:pPr>
      <w:r>
        <w:rPr>
          <w:rFonts w:ascii="Calibri" w:hAnsi="Calibri" w:eastAsia="Calibri"/>
        </w:rPr>
        <w:t>Which success measures and user outcomes were achieved, partially achieved or not achieved?</w:t>
      </w:r>
    </w:p>
    <w:p>
      <w:pPr>
        <w:spacing w:before="0" w:after="80" w:line="300" w:lineRule="auto"/>
        <w:numPr>
          <w:ilvl w:val="0"/>
          <w:numId w:val="16"/>
        </w:numPr>
      </w:pPr>
      <w:r>
        <w:rPr>
          <w:rFonts w:ascii="Calibri" w:hAnsi="Calibri" w:eastAsia="Calibri"/>
        </w:rPr>
        <w:t>How did actual scope, schedule, cost, quality and risk compare with the approved plan?</w:t>
      </w:r>
    </w:p>
    <w:p>
      <w:pPr>
        <w:spacing w:before="0" w:after="80" w:line="300" w:lineRule="auto"/>
        <w:numPr>
          <w:ilvl w:val="0"/>
          <w:numId w:val="16"/>
        </w:numPr>
      </w:pPr>
      <w:r>
        <w:rPr>
          <w:rFonts w:ascii="Calibri" w:hAnsi="Calibri" w:eastAsia="Calibri"/>
        </w:rPr>
        <w:t>What incidents, defects, security/privacy concerns or operational issues occurred?</w:t>
      </w:r>
    </w:p>
    <w:p>
      <w:pPr>
        <w:spacing w:before="0" w:after="80" w:line="300" w:lineRule="auto"/>
        <w:numPr>
          <w:ilvl w:val="0"/>
          <w:numId w:val="16"/>
        </w:numPr>
      </w:pPr>
      <w:r>
        <w:rPr>
          <w:rFonts w:ascii="Calibri" w:hAnsi="Calibri" w:eastAsia="Calibri"/>
        </w:rPr>
        <w:t>What worked well in requirements, design, collaboration, testing, deployment and support?</w:t>
      </w:r>
    </w:p>
    <w:p>
      <w:pPr>
        <w:spacing w:before="0" w:after="80" w:line="300" w:lineRule="auto"/>
        <w:numPr>
          <w:ilvl w:val="0"/>
          <w:numId w:val="16"/>
        </w:numPr>
      </w:pPr>
      <w:r>
        <w:rPr>
          <w:rFonts w:ascii="Calibri" w:hAnsi="Calibri" w:eastAsia="Calibri"/>
        </w:rPr>
        <w:t>What created delay, rework or avoidable risk, and what were the root causes?</w:t>
      </w:r>
    </w:p>
    <w:p>
      <w:pPr>
        <w:spacing w:before="0" w:after="80" w:line="300" w:lineRule="auto"/>
        <w:numPr>
          <w:ilvl w:val="0"/>
          <w:numId w:val="16"/>
        </w:numPr>
      </w:pPr>
      <w:r>
        <w:rPr>
          <w:rFonts w:ascii="Calibri" w:hAnsi="Calibri" w:eastAsia="Calibri"/>
        </w:rPr>
        <w:t>Which technical debt, known defects, benefits or follow-up actions remain, with owners and dates?</w:t>
      </w:r>
    </w:p>
    <w:p>
      <w:pPr>
        <w:spacing w:before="0" w:after="80" w:line="300" w:lineRule="auto"/>
        <w:numPr>
          <w:ilvl w:val="0"/>
          <w:numId w:val="16"/>
        </w:numPr>
      </w:pPr>
      <w:r>
        <w:rPr>
          <w:rFonts w:ascii="Calibri" w:hAnsi="Calibri" w:eastAsia="Calibri"/>
        </w:rPr>
        <w:t>Which changes should be made to products, tools, training or this framework?</w:t>
      </w:r>
    </w:p>
    <w:p>
      <w:pPr>
        <w:spacing w:before="0" w:after="80" w:line="300" w:lineRule="auto"/>
        <w:numPr>
          <w:ilvl w:val="0"/>
          <w:numId w:val="16"/>
        </w:numPr>
      </w:pPr>
      <w:r>
        <w:rPr>
          <w:rFonts w:ascii="Calibri" w:hAnsi="Calibri" w:eastAsia="Calibri"/>
        </w:rPr>
        <w:t>Who reviewed and approved closure or transition to normal operations?</w:t>
      </w:r>
    </w:p>
    <w:p>
      <w:pPr>
        <w:pStyle w:val="Heading1"/>
      </w:pPr>
      <w:r>
        <w:t>Appendix J — Glossary</w:t>
      </w:r>
    </w:p>
    <w:tbl>
      <w:tblPr>
        <w:tblLook w:firstColumn="1" w:firstRow="1" w:lastColumn="0" w:lastRow="0" w:noHBand="0" w:noVBand="1" w:val="04A0"/>
        <w:tblStyle w:val="TableGrid"/>
        <w:jc w:val="left"/>
        <w:tblW w:w="9360" w:type="dxa"/>
        <w:tblInd w:w="120" w:type="dxa"/>
        <w:tblLayout w:type="fixed"/>
      </w:tblPr>
      <w:tblGrid>
        <w:gridCol w:w="2200"/>
        <w:gridCol w:w="7160"/>
      </w:tblGrid>
      <w:tr>
        <w:trPr>
          <w:cantSplit/>
          <w:tblHeader w:val="true"/>
        </w:trPr>
        <w:tc>
          <w:tcPr>
            <w:tcW w:type="dxa" w:w="22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Term</w:t>
            </w:r>
          </w:p>
        </w:tc>
        <w:tc>
          <w:tcPr>
            <w:tcW w:type="dxa" w:w="71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Definition</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Acceptance criteria</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Specific conditions used to decide whether a requirement or increment is acceptable.</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ADR</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Architecture Decision Record: a concise record of a significant technical decision and its rationale.</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API</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Application Programming Interface: a defined method by which software components exchange requests and data.</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CI/CD</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Continuous Integration and Continuous Delivery/Deployment: automated build, test and release practices.</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Configuration item</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 controlled software, document, infrastructure, data or settings asset that is versioned or tracked.</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Definition of Done</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The agreed quality and completion conditions every applicable work item must satisfy.</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DevOps</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Practices that connect development and operations through shared ownership, automation and feedback.</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Residual risk</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Risk remaining after planned controls are implemented.</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RPO</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Recovery Point Objective: the maximum acceptable period of data loss measured backward from disruption.</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RTO</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Recovery Time Objective: the target time to restore an acceptable service after disruption.</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SDLC</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Software Development Life Cycle: the controlled stages through which software is initiated, built, operated and retired.</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SBOM</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Software Bill of Materials: an inventory of software components and dependencies in a product.</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Threat model</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A structured analysis of assets, trust boundaries, threats and planned security controls.</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Traceability</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The ability to follow a requirement or change through design, implementation, testing, release and operation.</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eastAsia="Calibri"/>
                <w:b/>
                <w:color w:val="20252B"/>
                <w:sz w:val="17"/>
              </w:rPr>
              <w:t>UAT</w:t>
            </w:r>
          </w:p>
        </w:tc>
        <w:tc>
          <w:tcPr>
            <w:tcW w:type="dxa" w:w="716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User Acceptance Testing performed by or for authorised users to confirm fitness for intended use.</w:t>
            </w:r>
          </w:p>
        </w:tc>
      </w:tr>
    </w:tbl>
    <w:p>
      <w:pPr>
        <w:spacing w:after="20"/>
      </w:pPr>
    </w:p>
    <w:p>
      <w:pPr>
        <w:pStyle w:val="Heading1"/>
      </w:pPr>
      <w:r>
        <w:t>Appendix K — Reference framework and sources</w:t>
      </w:r>
    </w:p>
    <w:p>
      <w:r>
        <w:rPr>
          <w:rFonts w:ascii="Calibri" w:hAnsi="Calibri" w:eastAsia="Calibri"/>
          <w:i w:val="0"/>
        </w:rPr>
        <w:t>This institutional framework is informed by the following authoritative sources. It does not claim certification or full conformity with a standard merely by citing it.</w:t>
      </w:r>
    </w:p>
    <w:p>
      <w:pPr>
        <w:spacing w:before="0" w:after="80" w:line="300" w:lineRule="auto"/>
        <w:numPr>
          <w:ilvl w:val="0"/>
          <w:numId w:val="17"/>
        </w:numPr>
      </w:pPr>
      <w:r>
        <w:rPr>
          <w:rFonts w:ascii="Calibri" w:hAnsi="Calibri" w:eastAsia="Calibri"/>
        </w:rPr>
        <w:t>ISO/IEC/IEEE 12207:2026, Systems and software engineering — Software life cycle processes. https://www.iso.org/standard/90219.html</w:t>
      </w:r>
    </w:p>
    <w:p>
      <w:pPr>
        <w:spacing w:before="0" w:after="80" w:line="300" w:lineRule="auto"/>
        <w:numPr>
          <w:ilvl w:val="0"/>
          <w:numId w:val="17"/>
        </w:numPr>
      </w:pPr>
      <w:r>
        <w:rPr>
          <w:rFonts w:ascii="Calibri" w:hAnsi="Calibri" w:eastAsia="Calibri"/>
        </w:rPr>
        <w:t>ISO/IEC/IEEE 29148:2018, Systems and software engineering — Life cycle processes — Requirements engineering. https://www.iso.org/standard/72089.html</w:t>
      </w:r>
    </w:p>
    <w:p>
      <w:pPr>
        <w:spacing w:before="0" w:after="80" w:line="300" w:lineRule="auto"/>
        <w:numPr>
          <w:ilvl w:val="0"/>
          <w:numId w:val="17"/>
        </w:numPr>
      </w:pPr>
      <w:r>
        <w:rPr>
          <w:rFonts w:ascii="Calibri" w:hAnsi="Calibri" w:eastAsia="Calibri"/>
        </w:rPr>
        <w:t>ISO/IEC 25010:2023, Systems and software engineering — Systems and software Quality Requirements and Evaluation (SQuaRE) — Product quality model. https://www.iso.org/standard/78176.html</w:t>
      </w:r>
    </w:p>
    <w:p>
      <w:pPr>
        <w:spacing w:before="0" w:after="80" w:line="300" w:lineRule="auto"/>
        <w:numPr>
          <w:ilvl w:val="0"/>
          <w:numId w:val="17"/>
        </w:numPr>
      </w:pPr>
      <w:r>
        <w:rPr>
          <w:rFonts w:ascii="Calibri" w:hAnsi="Calibri" w:eastAsia="Calibri"/>
        </w:rPr>
        <w:t>NIST Special Publication 800-218, Secure Software Development Framework (SSDF) Version 1.1. https://csrc.nist.gov/pubs/sp/800/218/final</w:t>
      </w:r>
    </w:p>
    <w:p>
      <w:pPr>
        <w:spacing w:before="0" w:after="80" w:line="300" w:lineRule="auto"/>
        <w:numPr>
          <w:ilvl w:val="0"/>
          <w:numId w:val="17"/>
        </w:numPr>
      </w:pPr>
      <w:r>
        <w:rPr>
          <w:rFonts w:ascii="Calibri" w:hAnsi="Calibri" w:eastAsia="Calibri"/>
        </w:rPr>
        <w:t>OWASP Application Security Verification Standard project. https://owasp.org/www-project-application-security-verification-standard/</w:t>
      </w:r>
    </w:p>
    <w:p>
      <w:pPr>
        <w:spacing w:before="0" w:after="80" w:line="300" w:lineRule="auto"/>
        <w:numPr>
          <w:ilvl w:val="0"/>
          <w:numId w:val="17"/>
        </w:numPr>
      </w:pPr>
      <w:r>
        <w:rPr>
          <w:rFonts w:ascii="Calibri" w:hAnsi="Calibri" w:eastAsia="Calibri"/>
        </w:rPr>
        <w:t>W3C, Web Content Accessibility Guidelines (WCAG) 2.2. https://www.w3.org/TR/WCAG22/</w:t>
      </w:r>
    </w:p>
    <w:p>
      <w:pPr>
        <w:spacing w:before="0" w:after="80" w:line="300" w:lineRule="auto"/>
        <w:numPr>
          <w:ilvl w:val="0"/>
          <w:numId w:val="17"/>
        </w:numPr>
      </w:pPr>
      <w:r>
        <w:rPr>
          <w:rFonts w:ascii="Calibri" w:hAnsi="Calibri" w:eastAsia="Calibri"/>
        </w:rPr>
        <w:t>Ghana Data Protection Commission, Data Protection Act, 2012 (Act 843) and organisational compliance resources. https://dataprotection.org.gh/for-organisations/</w:t>
      </w:r>
    </w:p>
    <w:p>
      <w:pPr>
        <w:spacing w:before="0" w:after="80" w:line="300" w:lineRule="auto"/>
        <w:numPr>
          <w:ilvl w:val="0"/>
          <w:numId w:val="17"/>
        </w:numPr>
      </w:pPr>
      <w:r>
        <w:rPr>
          <w:rFonts w:ascii="Calibri" w:hAnsi="Calibri" w:eastAsia="Calibri"/>
        </w:rPr>
        <w:t>Ghana Cyber Security Authority, Cybersecurity Act, 2020 (Act 1038) and official resources. https://www.csa.gov.gh/resources.php</w:t>
      </w:r>
    </w:p>
    <w:p>
      <w:pPr>
        <w:pStyle w:val="SmallNote"/>
      </w:pPr>
      <w:r>
        <w:rPr>
          <w:rFonts w:ascii="Calibri" w:hAnsi="Calibri" w:eastAsia="Calibri"/>
          <w:i/>
        </w:rPr>
        <w:t>Source pages verified on 1 September 2026. Standards and legal requirements may change; the framework owner must verify the current edition or obligation during review.</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FFF8E8"/>
            <w:tcBorders>
              <w:top w:val="single" w:sz="4" w:space="0" w:color="B7C2CF"/>
              <w:start w:val="single" w:sz="18" w:space="0" w:color="A66A00"/>
              <w:bottom w:val="single" w:sz="4" w:space="0" w:color="B7C2CF"/>
              <w:end w:val="single" w:sz="4" w:space="0" w:color="B7C2CF"/>
            </w:tcBorders>
          </w:tcPr>
          <w:p>
            <w:pPr>
              <w:spacing w:after="0" w:line="276" w:lineRule="auto"/>
            </w:pPr>
            <w:r>
              <w:rPr>
                <w:rFonts w:ascii="Calibri" w:hAnsi="Calibri" w:eastAsia="Calibri"/>
                <w:b/>
                <w:color w:val="A66A00"/>
                <w:sz w:val="20"/>
              </w:rPr>
              <w:t xml:space="preserve">Legal notice: </w:t>
            </w:r>
            <w:r>
              <w:rPr>
                <w:rFonts w:ascii="Calibri" w:hAnsi="Calibri" w:eastAsia="Calibri"/>
                <w:color w:val="20252B"/>
                <w:sz w:val="20"/>
              </w:rPr>
              <w:t>This framework is an institutional engineering and governance document, not legal advice. KenAddme IT Links should obtain qualified legal, regulatory, contractual and specialist security advice where obligations or risks are uncertain.</w:t>
            </w:r>
          </w:p>
        </w:tc>
      </w:tr>
    </w:tbl>
    <w:p>
      <w:pPr>
        <w:spacing w:after="20"/>
      </w:pPr>
    </w:p>
    <w:p>
      <w:r>
        <w:br w:type="page"/>
      </w:r>
    </w:p>
    <w:p>
      <w:pPr>
        <w:pStyle w:val="Heading1"/>
      </w:pPr>
      <w:r>
        <w:t>Institutional adoption</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top"/>
            <w:shd w:fill="EAF4EF"/>
            <w:tcBorders>
              <w:top w:val="single" w:sz="4" w:space="0" w:color="B7C2CF"/>
              <w:start w:val="single" w:sz="18" w:space="0" w:color="2E6B4F"/>
              <w:bottom w:val="single" w:sz="4" w:space="0" w:color="B7C2CF"/>
              <w:end w:val="single" w:sz="4" w:space="0" w:color="B7C2CF"/>
            </w:tcBorders>
          </w:tcPr>
          <w:p>
            <w:pPr>
              <w:spacing w:after="0" w:line="276" w:lineRule="auto"/>
            </w:pPr>
            <w:r>
              <w:rPr>
                <w:rFonts w:ascii="Calibri" w:hAnsi="Calibri" w:eastAsia="Calibri"/>
                <w:b/>
                <w:color w:val="2E6B4F"/>
                <w:sz w:val="20"/>
              </w:rPr>
              <w:t xml:space="preserve">Approval resolution: </w:t>
            </w:r>
            <w:r>
              <w:rPr>
                <w:rFonts w:ascii="Calibri" w:hAnsi="Calibri" w:eastAsia="Calibri"/>
                <w:color w:val="20252B"/>
                <w:sz w:val="20"/>
              </w:rPr>
              <w:t>KenAddme IT Links Management approved this framework for institutional use on 2 September 2026 and assigned ownership and custodianship to Freston Kenny Adedeme. Version 1.2 is the current controlled edition and incorporates the closure verification corrections of the same date. The framework retains its original effective date of 31 October 2026; neither the ownership amendment nor the Version 1.2 corrections reset the implementation transition.</w:t>
            </w:r>
          </w:p>
        </w:tc>
      </w:tr>
    </w:tbl>
    <w:p>
      <w:pPr>
        <w:spacing w:after="20"/>
      </w:pPr>
    </w:p>
    <w:p>
      <w:pPr>
        <w:pStyle w:val="Heading2"/>
      </w:pPr>
      <w:r>
        <w:t>Transition rules</w:t>
      </w:r>
    </w:p>
    <w:tbl>
      <w:tblPr>
        <w:tblLook w:firstColumn="1" w:firstRow="1" w:lastColumn="0" w:lastRow="0" w:noHBand="0" w:noVBand="1" w:val="04A0"/>
        <w:tblStyle w:val="TableGrid"/>
        <w:jc w:val="left"/>
        <w:tblW w:w="9360" w:type="dxa"/>
        <w:tblInd w:w="120" w:type="dxa"/>
        <w:tblLayout w:type="fixed"/>
      </w:tblPr>
      <w:tblGrid>
        <w:gridCol w:w="2450"/>
        <w:gridCol w:w="6910"/>
      </w:tblGrid>
      <w:tr>
        <w:trPr>
          <w:cantSplit/>
          <w:tblHeader w:val="true"/>
        </w:trPr>
        <w:tc>
          <w:tcPr>
            <w:tcW w:type="dxa" w:w="245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Work in progress</w:t>
            </w:r>
          </w:p>
        </w:tc>
        <w:tc>
          <w:tcPr>
            <w:tcW w:type="dxa" w:w="691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Required treatment</w:t>
            </w:r>
          </w:p>
        </w:tc>
      </w:tr>
      <w:tr>
        <w:trPr>
          <w:cantSplit/>
        </w:trPr>
        <w:tc>
          <w:tcPr>
            <w:tcW w:type="dxa" w:w="2450"/>
            <w:tcMar>
              <w:top w:w="80" w:type="dxa"/>
              <w:start w:w="120" w:type="dxa"/>
              <w:bottom w:w="80" w:type="dxa"/>
              <w:end w:w="120" w:type="dxa"/>
            </w:tcMar>
            <w:vAlign w:val="top"/>
          </w:tcPr>
          <w:p>
            <w:pPr>
              <w:spacing w:after="0" w:line="259" w:lineRule="auto"/>
            </w:pPr>
            <w:r>
              <w:rPr>
                <w:rFonts w:ascii="Calibri" w:hAnsi="Calibri" w:eastAsia="Calibri"/>
                <w:b/>
                <w:color w:val="20252B"/>
                <w:sz w:val="17"/>
              </w:rPr>
              <w:t>New projects during the transition</w:t>
            </w:r>
          </w:p>
        </w:tc>
        <w:tc>
          <w:tcPr>
            <w:tcW w:type="dxa" w:w="69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Must be classified at intake and must plan to satisfy the applicable Appendix A floor. Full compliance is required no later than the effective date.</w:t>
            </w:r>
          </w:p>
        </w:tc>
      </w:tr>
      <w:tr>
        <w:trPr>
          <w:cantSplit/>
        </w:trPr>
        <w:tc>
          <w:tcPr>
            <w:tcW w:type="dxa" w:w="2450"/>
            <w:tcMar>
              <w:top w:w="80" w:type="dxa"/>
              <w:start w:w="120" w:type="dxa"/>
              <w:bottom w:w="80" w:type="dxa"/>
              <w:end w:w="120" w:type="dxa"/>
            </w:tcMar>
            <w:vAlign w:val="top"/>
          </w:tcPr>
          <w:p>
            <w:pPr>
              <w:spacing w:after="0" w:line="259" w:lineRule="auto"/>
            </w:pPr>
            <w:r>
              <w:rPr>
                <w:rFonts w:ascii="Calibri" w:hAnsi="Calibri" w:eastAsia="Calibri"/>
                <w:b/>
                <w:color w:val="20252B"/>
                <w:sz w:val="17"/>
              </w:rPr>
              <w:t>In-flight Class 1-2 projects</w:t>
            </w:r>
          </w:p>
        </w:tc>
        <w:tc>
          <w:tcPr>
            <w:tcW w:type="dxa" w:w="69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Must adopt the framework at the next approval gate or on the effective date, whichever occurs first. A project closing earlier may complete under prior practice only when the sponsor records the decision; closure, data-disposition and access-removal controls still apply.</w:t>
            </w:r>
          </w:p>
        </w:tc>
      </w:tr>
      <w:tr>
        <w:trPr>
          <w:cantSplit/>
        </w:trPr>
        <w:tc>
          <w:tcPr>
            <w:tcW w:type="dxa" w:w="2450"/>
            <w:tcMar>
              <w:top w:w="80" w:type="dxa"/>
              <w:start w:w="120" w:type="dxa"/>
              <w:bottom w:w="80" w:type="dxa"/>
              <w:end w:w="120" w:type="dxa"/>
            </w:tcMar>
            <w:vAlign w:val="top"/>
          </w:tcPr>
          <w:p>
            <w:pPr>
              <w:spacing w:after="0" w:line="259" w:lineRule="auto"/>
            </w:pPr>
            <w:r>
              <w:rPr>
                <w:rFonts w:ascii="Calibri" w:hAnsi="Calibri" w:eastAsia="Calibri"/>
                <w:b/>
                <w:color w:val="20252B"/>
                <w:sz w:val="17"/>
              </w:rPr>
              <w:t>In-flight Class 3-4 projects</w:t>
            </w:r>
          </w:p>
        </w:tc>
        <w:tc>
          <w:tcPr>
            <w:tcW w:type="dxa" w:w="69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Must apply security, privacy, incident, access, exception and residual-risk controls from the approval date and must adopt the complete framework at the next gate or on the effective date, whichever occurs first.</w:t>
            </w:r>
          </w:p>
        </w:tc>
      </w:tr>
      <w:tr>
        <w:trPr>
          <w:cantSplit/>
        </w:trPr>
        <w:tc>
          <w:tcPr>
            <w:tcW w:type="dxa" w:w="2450"/>
            <w:tcMar>
              <w:top w:w="80" w:type="dxa"/>
              <w:start w:w="120" w:type="dxa"/>
              <w:bottom w:w="80" w:type="dxa"/>
              <w:end w:w="120" w:type="dxa"/>
            </w:tcMar>
            <w:vAlign w:val="top"/>
          </w:tcPr>
          <w:p>
            <w:pPr>
              <w:spacing w:after="0" w:line="259" w:lineRule="auto"/>
            </w:pPr>
            <w:r>
              <w:rPr>
                <w:rFonts w:ascii="Calibri" w:hAnsi="Calibri" w:eastAsia="Calibri"/>
                <w:b/>
                <w:color w:val="20252B"/>
                <w:sz w:val="17"/>
              </w:rPr>
              <w:t>Existing production services</w:t>
            </w:r>
          </w:p>
        </w:tc>
        <w:tc>
          <w:tcPr>
            <w:tcW w:type="dxa" w:w="69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Must name a Service Owner and establish the vulnerability, incident, backup-restoration and access-review targets by the effective date. Other gaps must enter a dated improvement backlog or an approved exception.</w:t>
            </w:r>
          </w:p>
        </w:tc>
      </w:tr>
      <w:tr>
        <w:trPr>
          <w:cantSplit/>
        </w:trPr>
        <w:tc>
          <w:tcPr>
            <w:tcW w:type="dxa" w:w="2450"/>
            <w:tcMar>
              <w:top w:w="80" w:type="dxa"/>
              <w:start w:w="120" w:type="dxa"/>
              <w:bottom w:w="80" w:type="dxa"/>
              <w:end w:w="120" w:type="dxa"/>
            </w:tcMar>
            <w:vAlign w:val="top"/>
          </w:tcPr>
          <w:p>
            <w:pPr>
              <w:spacing w:after="0" w:line="259" w:lineRule="auto"/>
            </w:pPr>
            <w:r>
              <w:rPr>
                <w:rFonts w:ascii="Calibri" w:hAnsi="Calibri" w:eastAsia="Calibri"/>
                <w:b/>
                <w:color w:val="20252B"/>
                <w:sz w:val="17"/>
              </w:rPr>
              <w:t>Unmet transition requirement</w:t>
            </w:r>
          </w:p>
        </w:tc>
        <w:tc>
          <w:tcPr>
            <w:tcW w:type="dxa" w:w="6910"/>
            <w:tcMar>
              <w:top w:w="80" w:type="dxa"/>
              <w:start w:w="120" w:type="dxa"/>
              <w:bottom w:w="80" w:type="dxa"/>
              <w:end w:w="120" w:type="dxa"/>
            </w:tcMar>
            <w:vAlign w:val="top"/>
          </w:tcPr>
          <w:p>
            <w:pPr>
              <w:spacing w:after="0" w:line="259" w:lineRule="auto"/>
            </w:pPr>
            <w:r>
              <w:rPr>
                <w:rFonts w:ascii="Calibri" w:hAnsi="Calibri" w:eastAsia="Calibri"/>
                <w:b w:val="0"/>
                <w:color w:val="20252B"/>
                <w:sz w:val="17"/>
              </w:rPr>
              <w:t>Must be recorded through the exception process with an owner, compensating controls, approval and expiry date; the transition period is not a general waiver.</w:t>
            </w:r>
          </w:p>
        </w:tc>
      </w:tr>
    </w:tbl>
    <w:p>
      <w:pPr>
        <w:spacing w:after="20"/>
      </w:pPr>
    </w:p>
    <w:p>
      <w:pPr>
        <w:pStyle w:val="Heading2"/>
      </w:pPr>
      <w:r>
        <w:t>Approval record</w:t>
      </w:r>
    </w:p>
    <w:tbl>
      <w:tblPr>
        <w:tblLook w:firstColumn="1" w:firstRow="1" w:lastColumn="0" w:lastRow="0" w:noHBand="0" w:noVBand="1" w:val="04A0"/>
        <w:tblStyle w:val="TableGrid"/>
        <w:jc w:val="left"/>
        <w:tblW w:w="9360" w:type="dxa"/>
        <w:tblInd w:w="120" w:type="dxa"/>
        <w:tblLayout w:type="fixed"/>
      </w:tblPr>
      <w:tblGrid>
        <w:gridCol w:w="2500"/>
        <w:gridCol w:w="6860"/>
      </w:tblGrid>
      <w:tr>
        <w:trPr>
          <w:cantSplit/>
          <w:tblHeader w:val="true"/>
        </w:trPr>
        <w:tc>
          <w:tcPr>
            <w:tcW w:type="dxa" w:w="250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Controlled field</w:t>
            </w:r>
          </w:p>
        </w:tc>
        <w:tc>
          <w:tcPr>
            <w:tcW w:type="dxa" w:w="6860"/>
            <w:tcMar>
              <w:top w:w="80" w:type="dxa"/>
              <w:start w:w="120" w:type="dxa"/>
              <w:bottom w:w="80" w:type="dxa"/>
              <w:end w:w="120" w:type="dxa"/>
            </w:tcMar>
            <w:vAlign w:val="top"/>
            <w:shd w:fill="E8EEF5"/>
          </w:tcPr>
          <w:p>
            <w:pPr>
              <w:spacing w:after="0" w:line="252" w:lineRule="auto"/>
            </w:pPr>
            <w:r>
              <w:rPr>
                <w:rFonts w:ascii="Calibri" w:hAnsi="Calibri" w:eastAsia="Calibri"/>
                <w:b/>
                <w:color w:val="0B2545"/>
                <w:sz w:val="18"/>
              </w:rPr>
              <w:t>Approved value</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8"/>
              </w:rPr>
              <w:t>Approval authority</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KenAddme IT Links Management</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8"/>
              </w:rPr>
              <w:t>Approval method</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Electronic institutional directive recorded in the controlled document</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8"/>
              </w:rPr>
              <w:t>Approval date</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2 September 2026</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8"/>
              </w:rPr>
              <w:t>Effective date</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31 October 2026</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8"/>
              </w:rPr>
              <w:t>Document owner and custodian</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Freston Kenny Adedeme</w:t>
            </w:r>
          </w:p>
        </w:tc>
      </w:tr>
      <w:tr>
        <w:trPr>
          <w:cantSplit/>
        </w:trPr>
        <w:tc>
          <w:tcPr>
            <w:tcW w:type="dxa" w:w="2500"/>
            <w:tcMar>
              <w:top w:w="80" w:type="dxa"/>
              <w:start w:w="120" w:type="dxa"/>
              <w:bottom w:w="80" w:type="dxa"/>
              <w:end w:w="120" w:type="dxa"/>
            </w:tcMar>
            <w:vAlign w:val="top"/>
          </w:tcPr>
          <w:p>
            <w:pPr>
              <w:spacing w:after="0" w:line="259" w:lineRule="auto"/>
            </w:pPr>
            <w:r>
              <w:rPr>
                <w:rFonts w:ascii="Calibri" w:hAnsi="Calibri" w:eastAsia="Calibri"/>
                <w:b/>
                <w:color w:val="20252B"/>
                <w:sz w:val="18"/>
              </w:rPr>
              <w:t>Next formal review</w:t>
            </w:r>
          </w:p>
        </w:tc>
        <w:tc>
          <w:tcPr>
            <w:tcW w:type="dxa" w:w="6860"/>
            <w:tcMar>
              <w:top w:w="80" w:type="dxa"/>
              <w:start w:w="120" w:type="dxa"/>
              <w:bottom w:w="80" w:type="dxa"/>
              <w:end w:w="120" w:type="dxa"/>
            </w:tcMar>
            <w:vAlign w:val="top"/>
          </w:tcPr>
          <w:p>
            <w:pPr>
              <w:spacing w:after="0" w:line="259" w:lineRule="auto"/>
            </w:pPr>
            <w:r>
              <w:rPr>
                <w:rFonts w:ascii="Calibri" w:hAnsi="Calibri" w:eastAsia="Calibri"/>
                <w:b w:val="0"/>
                <w:color w:val="20252B"/>
                <w:sz w:val="18"/>
              </w:rPr>
              <w:t>No later than 31 October 2027, and earlier if a material trigger occurs</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jc w:val="left"/>
    </w:pPr>
    <w:r>
      <w:rPr>
        <w:rFonts w:ascii="Calibri" w:hAnsi="Calibri" w:eastAsia="Calibri"/>
        <w:color w:val="5B6573"/>
        <w:sz w:val="17"/>
      </w:rPr>
      <w:t>Version 1.2  |  Approved for Use</w:t>
    </w:r>
    <w:r>
      <w:rPr>
        <w:rFonts w:ascii="Calibri" w:hAnsi="Calibri" w:eastAsia="Calibri"/>
        <w:color w:val="5B6573"/>
        <w:sz w:val="17"/>
      </w:rPr>
      <w:tab/>
      <w:t xml:space="preserve">Page </w:t>
    </w:r>
    <w:r>
      <w:rPr>
        <w:rFonts w:ascii="Calibri" w:hAnsi="Calibri" w:eastAsia="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B6573"/>
        <w:sz w:val="17"/>
      </w:rPr>
      <w:t>KENADDME IT LINKS  |  SOFTWARE DEVELOPMENT &amp; ENGINEERING</w:t>
    </w:r>
    <w:r>
      <w:rPr>
        <w:rFonts w:ascii="Calibri" w:hAnsi="Calibri" w:eastAsia="Calibri"/>
        <w:b/>
        <w:color w:val="5B6573"/>
        <w:sz w:val="17"/>
      </w:rPr>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76"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KenAddme IT Links Software Development and Engineering Framework</dc:title>
  <dc:subject>Institutional software engineering lifecycle, policy and operating standard</dc:subject>
  <dc:creator>KenAddme IT Links</dc:creator>
  <cp:keywords>software engineering, SDLC, governance, security, testing, DevOps, KenAddme IT Links</cp:keywords>
  <dc:description>Version 1.1 — Approved for Use on 2 September 2026; effective 31 October 2026; owner and custodian: Freston Kenny Adedeme</dc:description>
  <cp:lastModifiedBy>Freston Kenny Adedeme</cp:lastModifiedBy>
  <cp:revision>1</cp:revision>
  <dcterms:created xsi:type="dcterms:W3CDTF">2013-12-23T23:15:00Z</dcterms:created>
  <dcterms:modified xsi:type="dcterms:W3CDTF">2013-12-23T23:15:00Z</dcterms:modified>
  <cp:category/>
</cp:coreProperties>
</file>