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sz w:val="44"/>
          <w:szCs w:val="44"/>
        </w:rPr>
        <w:t xml:space="preserve">Software Requirements Specification</w:t>
      </w:r>
    </w:p>
    <w:p>
      <w:pPr>
        <w:spacing w:after="100"/>
        <w:jc w:val="center"/>
      </w:pPr>
      <w:r>
        <w:rPr>
          <w:b/>
          <w:bCs/>
          <w:color w:val="444444"/>
          <w:sz w:val="32"/>
          <w:szCs w:val="32"/>
        </w:rPr>
        <w:t xml:space="preserve">Finance Management Platform</w:t>
      </w:r>
    </w:p>
    <w:p>
      <w:pPr>
        <w:spacing w:after="1600"/>
        <w:jc w:val="center"/>
      </w:pPr>
      <w:r>
        <w:rPr>
          <w:i/>
          <w:iCs/>
          <w:color w:val="666666"/>
          <w:sz w:val="24"/>
          <w:szCs w:val="24"/>
        </w:rPr>
        <w:t xml:space="preserve">Multi-Tenant, Publicly Accessible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D9D9" w:color="auto" w:val="clear"/>
            <w:tcMar>
              <w:top w:type="dxa" w:w="80"/>
              <w:left w:type="dxa" w:w="100"/>
              <w:bottom w:type="dxa" w:w="80"/>
              <w:right w:type="dxa" w:w="100"/>
            </w:tcMar>
            <w:vAlign w:val="center"/>
          </w:tcPr>
          <w:p>
            <w:r>
              <w:rPr>
                <w:b/>
                <w:bCs/>
                <w:sz w:val="20"/>
                <w:szCs w:val="20"/>
              </w:rPr>
              <w:t xml:space="preserve">Field</w:t>
            </w:r>
          </w:p>
        </w:tc>
        <w:tc>
          <w:tcPr>
            <w:tcW w:type="dxa" w:w="6360"/>
            <w:shd w:fill="D9D9D9" w:color="auto" w:val="clear"/>
            <w:tcMar>
              <w:top w:type="dxa" w:w="80"/>
              <w:left w:type="dxa" w:w="100"/>
              <w:bottom w:type="dxa" w:w="80"/>
              <w:right w:type="dxa" w:w="100"/>
            </w:tcMar>
            <w:vAlign w:val="center"/>
          </w:tcPr>
          <w:p>
            <w:r>
              <w:rPr>
                <w:b/>
                <w:bCs/>
                <w:sz w:val="20"/>
                <w:szCs w:val="20"/>
              </w:rPr>
              <w:t xml:space="preserve">Value</w:t>
            </w:r>
          </w:p>
        </w:tc>
      </w:tr>
      <w:tr>
        <w:tc>
          <w:tcPr>
            <w:tcW w:type="dxa" w:w="3000"/>
            <w:tcMar>
              <w:top w:type="dxa" w:w="80"/>
              <w:left w:type="dxa" w:w="100"/>
              <w:bottom w:type="dxa" w:w="80"/>
              <w:right w:type="dxa" w:w="100"/>
            </w:tcMar>
            <w:vAlign w:val="center"/>
          </w:tcPr>
          <w:p>
            <w:r>
              <w:rPr>
                <w:b w:val="false"/>
                <w:bCs w:val="false"/>
                <w:sz w:val="20"/>
                <w:szCs w:val="20"/>
              </w:rPr>
              <w:t xml:space="preserve">Document Version</w:t>
            </w:r>
          </w:p>
        </w:tc>
        <w:tc>
          <w:tcPr>
            <w:tcW w:type="dxa" w:w="6360"/>
            <w:tcMar>
              <w:top w:type="dxa" w:w="80"/>
              <w:left w:type="dxa" w:w="100"/>
              <w:bottom w:type="dxa" w:w="80"/>
              <w:right w:type="dxa" w:w="100"/>
            </w:tcMar>
            <w:vAlign w:val="center"/>
          </w:tcPr>
          <w:p>
            <w:r>
              <w:rPr>
                <w:b w:val="false"/>
                <w:bCs w:val="false"/>
                <w:sz w:val="20"/>
                <w:szCs w:val="20"/>
              </w:rPr>
              <w:t xml:space="preserve">3.5</w:t>
            </w:r>
          </w:p>
        </w:tc>
      </w:tr>
      <w:tr>
        <w:tc>
          <w:tcPr>
            <w:tcW w:type="dxa" w:w="3000"/>
            <w:tcMar>
              <w:top w:type="dxa" w:w="80"/>
              <w:left w:type="dxa" w:w="100"/>
              <w:bottom w:type="dxa" w:w="80"/>
              <w:right w:type="dxa" w:w="100"/>
            </w:tcMar>
            <w:vAlign w:val="center"/>
          </w:tcPr>
          <w:p>
            <w:r>
              <w:rPr>
                <w:b w:val="false"/>
                <w:bCs w:val="false"/>
                <w:sz w:val="20"/>
                <w:szCs w:val="20"/>
              </w:rPr>
              <w:t xml:space="preserve">Status</w:t>
            </w:r>
          </w:p>
        </w:tc>
        <w:tc>
          <w:tcPr>
            <w:tcW w:type="dxa" w:w="6360"/>
            <w:tcMar>
              <w:top w:type="dxa" w:w="80"/>
              <w:left w:type="dxa" w:w="100"/>
              <w:bottom w:type="dxa" w:w="80"/>
              <w:right w:type="dxa" w:w="100"/>
            </w:tcMar>
            <w:vAlign w:val="center"/>
          </w:tcPr>
          <w:p>
            <w:r>
              <w:rPr>
                <w:b w:val="false"/>
                <w:bCs w:val="false"/>
                <w:sz w:val="20"/>
                <w:szCs w:val="20"/>
              </w:rPr>
              <w:t xml:space="preserve">Draft for Review</w:t>
            </w:r>
          </w:p>
        </w:tc>
      </w:tr>
      <w:tr>
        <w:tc>
          <w:tcPr>
            <w:tcW w:type="dxa" w:w="3000"/>
            <w:tcMar>
              <w:top w:type="dxa" w:w="80"/>
              <w:left w:type="dxa" w:w="100"/>
              <w:bottom w:type="dxa" w:w="80"/>
              <w:right w:type="dxa" w:w="100"/>
            </w:tcMar>
            <w:vAlign w:val="center"/>
          </w:tcPr>
          <w:p>
            <w:r>
              <w:rPr>
                <w:b w:val="false"/>
                <w:bCs w:val="false"/>
                <w:sz w:val="20"/>
                <w:szCs w:val="20"/>
              </w:rPr>
              <w:t xml:space="preserve">Date</w:t>
            </w:r>
          </w:p>
        </w:tc>
        <w:tc>
          <w:tcPr>
            <w:tcW w:type="dxa" w:w="6360"/>
            <w:tcMar>
              <w:top w:type="dxa" w:w="80"/>
              <w:left w:type="dxa" w:w="100"/>
              <w:bottom w:type="dxa" w:w="80"/>
              <w:right w:type="dxa" w:w="100"/>
            </w:tcMar>
            <w:vAlign w:val="center"/>
          </w:tcPr>
          <w:p>
            <w:r>
              <w:rPr>
                <w:b w:val="false"/>
                <w:bCs w:val="false"/>
                <w:sz w:val="20"/>
                <w:szCs w:val="20"/>
              </w:rPr>
              <w:t xml:space="preserve">August 8, 2026</w:t>
            </w:r>
          </w:p>
        </w:tc>
      </w:tr>
      <w:tr>
        <w:tc>
          <w:tcPr>
            <w:tcW w:type="dxa" w:w="3000"/>
            <w:tcMar>
              <w:top w:type="dxa" w:w="80"/>
              <w:left w:type="dxa" w:w="100"/>
              <w:bottom w:type="dxa" w:w="80"/>
              <w:right w:type="dxa" w:w="100"/>
            </w:tcMar>
            <w:vAlign w:val="center"/>
          </w:tcPr>
          <w:p>
            <w:r>
              <w:rPr>
                <w:b w:val="false"/>
                <w:bCs w:val="false"/>
                <w:sz w:val="20"/>
                <w:szCs w:val="20"/>
              </w:rPr>
              <w:t xml:space="preserve">Classification</w:t>
            </w:r>
          </w:p>
        </w:tc>
        <w:tc>
          <w:tcPr>
            <w:tcW w:type="dxa" w:w="6360"/>
            <w:tcMar>
              <w:top w:type="dxa" w:w="80"/>
              <w:left w:type="dxa" w:w="100"/>
              <w:bottom w:type="dxa" w:w="80"/>
              <w:right w:type="dxa" w:w="100"/>
            </w:tcMar>
            <w:vAlign w:val="center"/>
          </w:tcPr>
          <w:p>
            <w:r>
              <w:rPr>
                <w:b w:val="false"/>
                <w:bCs w:val="false"/>
                <w:sz w:val="20"/>
                <w:szCs w:val="20"/>
              </w:rPr>
              <w:t xml:space="preserve">Internal — Confidential</w:t>
            </w:r>
          </w:p>
        </w:tc>
      </w:tr>
      <w:tr>
        <w:tc>
          <w:tcPr>
            <w:tcW w:type="dxa" w:w="3000"/>
            <w:tcMar>
              <w:top w:type="dxa" w:w="80"/>
              <w:left w:type="dxa" w:w="100"/>
              <w:bottom w:type="dxa" w:w="80"/>
              <w:right w:type="dxa" w:w="100"/>
            </w:tcMar>
            <w:vAlign w:val="center"/>
          </w:tcPr>
          <w:p>
            <w:r>
              <w:rPr>
                <w:b w:val="false"/>
                <w:bCs w:val="false"/>
                <w:sz w:val="20"/>
                <w:szCs w:val="20"/>
              </w:rPr>
              <w:t xml:space="preserve">Owner</w:t>
            </w:r>
          </w:p>
        </w:tc>
        <w:tc>
          <w:tcPr>
            <w:tcW w:type="dxa" w:w="6360"/>
            <w:tcMar>
              <w:top w:type="dxa" w:w="80"/>
              <w:left w:type="dxa" w:w="100"/>
              <w:bottom w:type="dxa" w:w="80"/>
              <w:right w:type="dxa" w:w="100"/>
            </w:tcMar>
            <w:vAlign w:val="center"/>
          </w:tcPr>
          <w:p>
            <w:r>
              <w:rPr>
                <w:b w:val="false"/>
                <w:bCs w:val="false"/>
                <w:sz w:val="20"/>
                <w:szCs w:val="20"/>
              </w:rPr>
              <w:t xml:space="preserve">Engineering / Product</w:t>
            </w:r>
          </w:p>
        </w:tc>
      </w:tr>
    </w:tbl>
    <w:p>
      <w:pPr>
        <w:spacing w:before="2000"/>
      </w:pPr>
    </w:p>
    <w:p>
      <w:pPr>
        <w:pStyle w:val="Heading1"/>
        <w:pageBreakBefore/>
        <w:spacing w:after="200"/>
      </w:pPr>
      <w:r>
        <w:t xml:space="preserve">Table of Contents</w:t>
      </w:r>
    </w:p>
    <w:p>
      <w:pPr>
        <w:spacing w:after="200"/>
      </w:pPr>
      <w:r>
        <w:rPr>
          <w:i/>
          <w:iCs/>
          <w:color w:val="888888"/>
          <w:sz w:val="18"/>
          <w:szCs w:val="18"/>
        </w:rPr>
        <w:t xml:space="preserve">(In Word: right-click below and choose "Update Field", or press Ctrl+A then F9,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pPr>
      <w:r>
        <w:t xml:space="preserve">1. Introduction</w:t>
      </w:r>
    </w:p>
    <w:p>
      <w:pPr>
        <w:pStyle w:val="Heading2"/>
        <w:spacing w:after="120" w:before="300"/>
      </w:pPr>
      <w:r>
        <w:t xml:space="preserve">1.1 Purpose</w:t>
      </w:r>
    </w:p>
    <w:p>
      <w:pPr>
        <w:spacing w:after="160"/>
      </w:pPr>
      <w:r>
        <w:t xml:space="preserve">This Software Requirements Specification (SRS) defines the functional and non-functional requirements for the Finance Management Platform, evolving it from a single-tenant personal project into a publicly accessible, multi-tenant SaaS product. It is intended to serve as the authoritative reference for engineering, QA, product, and any external reviewers (security, legal) involved in bringing the platform to public launch.</w:t>
      </w:r>
    </w:p>
    <w:p>
      <w:pPr>
        <w:pStyle w:val="Heading2"/>
        <w:spacing w:after="120" w:before="300"/>
      </w:pPr>
      <w:r>
        <w:t xml:space="preserve">1.2 Document Conventions</w:t>
      </w:r>
    </w:p>
    <w:p>
      <w:pPr>
        <w:spacing w:after="160"/>
      </w:pPr>
      <w:r>
        <w:t xml:space="preserve">Requirements are uniquely identified using the prefix FR (Functional Requirement) or NFR (Non-Functional Requirement), followed by a section and item number (e.g., FR-4.2). Priority is expressed as Must / Should / Could, following the MoSCoW method. Items marked "Phase 2" are identified gaps that are recommended but not required for initial public launch.</w:t>
      </w:r>
    </w:p>
    <w:p>
      <w:pPr>
        <w:pStyle w:val="Heading2"/>
        <w:spacing w:after="120" w:before="300"/>
      </w:pPr>
      <w:r>
        <w:t xml:space="preserve">1.3 Intended Audience</w:t>
      </w:r>
    </w:p>
    <w:p>
      <w:pPr>
        <w:pStyle w:val="ListParagraph"/>
        <w:numPr>
          <w:ilvl w:val="0"/>
          <w:numId w:val="1"/>
        </w:numPr>
        <w:spacing w:after="60"/>
      </w:pPr>
      <w:r>
        <w:t xml:space="preserve">Engineering team — implementation reference</w:t>
      </w:r>
    </w:p>
    <w:p>
      <w:pPr>
        <w:pStyle w:val="ListParagraph"/>
        <w:numPr>
          <w:ilvl w:val="0"/>
          <w:numId w:val="1"/>
        </w:numPr>
        <w:spacing w:after="60"/>
      </w:pPr>
      <w:r>
        <w:t xml:space="preserve">QA team — basis for test plan and acceptance criteria</w:t>
      </w:r>
    </w:p>
    <w:p>
      <w:pPr>
        <w:pStyle w:val="ListParagraph"/>
        <w:numPr>
          <w:ilvl w:val="0"/>
          <w:numId w:val="1"/>
        </w:numPr>
        <w:spacing w:after="60"/>
      </w:pPr>
      <w:r>
        <w:t xml:space="preserve">Product management — scope and prioritization</w:t>
      </w:r>
    </w:p>
    <w:p>
      <w:pPr>
        <w:pStyle w:val="ListParagraph"/>
        <w:numPr>
          <w:ilvl w:val="0"/>
          <w:numId w:val="1"/>
        </w:numPr>
        <w:spacing w:after="60"/>
      </w:pPr>
      <w:r>
        <w:t xml:space="preserve">Security / compliance reviewers — evaluating public-launch readiness</w:t>
      </w:r>
    </w:p>
    <w:p>
      <w:pPr>
        <w:pStyle w:val="ListParagraph"/>
        <w:numPr>
          <w:ilvl w:val="0"/>
          <w:numId w:val="1"/>
        </w:numPr>
        <w:spacing w:after="60"/>
      </w:pPr>
      <w:r>
        <w:t xml:space="preserve">DevOps / SRE — infrastructure and deployment planning</w:t>
      </w:r>
    </w:p>
    <w:p>
      <w:pPr>
        <w:pStyle w:val="Heading2"/>
        <w:spacing w:after="120" w:before="300"/>
      </w:pPr>
      <w:r>
        <w:t xml:space="preserve">1.4 Product Scope</w:t>
      </w:r>
    </w:p>
    <w:p>
      <w:pPr>
        <w:spacing w:after="160"/>
      </w:pPr>
      <w:r>
        <w:t xml:space="preserve">The platform allows individual users to register, manage financial accounts, log transactions, track recurring bills and savings goals, and generate spending reports. This revision formalizes the system as multi-tenant: each user (and, in future phases, each household or organization) is treated as an isolated tenant with strictly partitioned data, independent of all other tenants sharing the same infrastructure.</w:t>
      </w:r>
    </w:p>
    <w:p>
      <w:pPr>
        <w:pStyle w:val="Heading2"/>
        <w:spacing w:after="120" w:before="300"/>
      </w:pPr>
      <w:r>
        <w:t xml:space="preserve">1.5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color="auto" w:val="clear"/>
            <w:tcMar>
              <w:top w:type="dxa" w:w="80"/>
              <w:left w:type="dxa" w:w="100"/>
              <w:bottom w:type="dxa" w:w="80"/>
              <w:right w:type="dxa" w:w="100"/>
            </w:tcMar>
            <w:vAlign w:val="center"/>
          </w:tcPr>
          <w:p>
            <w:r>
              <w:rPr>
                <w:b/>
                <w:bCs/>
                <w:sz w:val="20"/>
                <w:szCs w:val="20"/>
              </w:rPr>
              <w:t xml:space="preserve">Term</w:t>
            </w:r>
          </w:p>
        </w:tc>
        <w:tc>
          <w:tcPr>
            <w:tcW w:type="dxa" w:w="6960"/>
            <w:shd w:fill="D9D9D9" w:color="auto" w:val="clear"/>
            <w:tcMar>
              <w:top w:type="dxa" w:w="80"/>
              <w:left w:type="dxa" w:w="100"/>
              <w:bottom w:type="dxa" w:w="80"/>
              <w:right w:type="dxa" w:w="100"/>
            </w:tcMar>
            <w:vAlign w:val="center"/>
          </w:tcPr>
          <w:p>
            <w:r>
              <w:rPr>
                <w:b/>
                <w:bCs/>
                <w:sz w:val="20"/>
                <w:szCs w:val="20"/>
              </w:rPr>
              <w:t xml:space="preserve">Definition</w:t>
            </w:r>
          </w:p>
        </w:tc>
      </w:tr>
      <w:tr>
        <w:tc>
          <w:tcPr>
            <w:tcW w:type="dxa" w:w="2400"/>
            <w:tcMar>
              <w:top w:type="dxa" w:w="80"/>
              <w:left w:type="dxa" w:w="100"/>
              <w:bottom w:type="dxa" w:w="80"/>
              <w:right w:type="dxa" w:w="100"/>
            </w:tcMar>
            <w:vAlign w:val="center"/>
          </w:tcPr>
          <w:p>
            <w:r>
              <w:rPr>
                <w:b w:val="false"/>
                <w:bCs w:val="false"/>
                <w:sz w:val="20"/>
                <w:szCs w:val="20"/>
              </w:rPr>
              <w:t xml:space="preserve">Tenant</w:t>
            </w:r>
          </w:p>
        </w:tc>
        <w:tc>
          <w:tcPr>
            <w:tcW w:type="dxa" w:w="6960"/>
            <w:tcMar>
              <w:top w:type="dxa" w:w="80"/>
              <w:left w:type="dxa" w:w="100"/>
              <w:bottom w:type="dxa" w:w="80"/>
              <w:right w:type="dxa" w:w="100"/>
            </w:tcMar>
            <w:vAlign w:val="center"/>
          </w:tcPr>
          <w:p>
            <w:r>
              <w:rPr>
                <w:b w:val="false"/>
                <w:bCs w:val="false"/>
                <w:sz w:val="20"/>
                <w:szCs w:val="20"/>
              </w:rPr>
              <w:t xml:space="preserve">A logically isolated data owner within the shared system. In this platform, a tenant is an individual user account (see Section 2.2).</w:t>
            </w:r>
          </w:p>
        </w:tc>
      </w:tr>
      <w:tr>
        <w:tc>
          <w:tcPr>
            <w:tcW w:type="dxa" w:w="2400"/>
            <w:tcMar>
              <w:top w:type="dxa" w:w="80"/>
              <w:left w:type="dxa" w:w="100"/>
              <w:bottom w:type="dxa" w:w="80"/>
              <w:right w:type="dxa" w:w="100"/>
            </w:tcMar>
            <w:vAlign w:val="center"/>
          </w:tcPr>
          <w:p>
            <w:r>
              <w:rPr>
                <w:b w:val="false"/>
                <w:bCs w:val="false"/>
                <w:sz w:val="20"/>
                <w:szCs w:val="20"/>
              </w:rPr>
              <w:t xml:space="preserve">Multi-Tenancy</w:t>
            </w:r>
          </w:p>
        </w:tc>
        <w:tc>
          <w:tcPr>
            <w:tcW w:type="dxa" w:w="6960"/>
            <w:tcMar>
              <w:top w:type="dxa" w:w="80"/>
              <w:left w:type="dxa" w:w="100"/>
              <w:bottom w:type="dxa" w:w="80"/>
              <w:right w:type="dxa" w:w="100"/>
            </w:tcMar>
            <w:vAlign w:val="center"/>
          </w:tcPr>
          <w:p>
            <w:r>
              <w:rPr>
                <w:b w:val="false"/>
                <w:bCs w:val="false"/>
                <w:sz w:val="20"/>
                <w:szCs w:val="20"/>
              </w:rPr>
              <w:t xml:space="preserve">An architecture where a single application instance serves multiple tenants while keeping each tenant's data isolated.</w:t>
            </w:r>
          </w:p>
        </w:tc>
      </w:tr>
      <w:tr>
        <w:tc>
          <w:tcPr>
            <w:tcW w:type="dxa" w:w="2400"/>
            <w:tcMar>
              <w:top w:type="dxa" w:w="80"/>
              <w:left w:type="dxa" w:w="100"/>
              <w:bottom w:type="dxa" w:w="80"/>
              <w:right w:type="dxa" w:w="100"/>
            </w:tcMar>
            <w:vAlign w:val="center"/>
          </w:tcPr>
          <w:p>
            <w:r>
              <w:rPr>
                <w:b w:val="false"/>
                <w:bCs w:val="false"/>
                <w:sz w:val="20"/>
                <w:szCs w:val="20"/>
              </w:rPr>
              <w:t xml:space="preserve">RLS</w:t>
            </w:r>
          </w:p>
        </w:tc>
        <w:tc>
          <w:tcPr>
            <w:tcW w:type="dxa" w:w="6960"/>
            <w:tcMar>
              <w:top w:type="dxa" w:w="80"/>
              <w:left w:type="dxa" w:w="100"/>
              <w:bottom w:type="dxa" w:w="80"/>
              <w:right w:type="dxa" w:w="100"/>
            </w:tcMar>
            <w:vAlign w:val="center"/>
          </w:tcPr>
          <w:p>
            <w:r>
              <w:rPr>
                <w:b w:val="false"/>
                <w:bCs w:val="false"/>
                <w:sz w:val="20"/>
                <w:szCs w:val="20"/>
              </w:rPr>
              <w:t xml:space="preserve">Row-Level Security — database-enforced filtering of rows by tenant.</w:t>
            </w:r>
          </w:p>
        </w:tc>
      </w:tr>
      <w:tr>
        <w:tc>
          <w:tcPr>
            <w:tcW w:type="dxa" w:w="2400"/>
            <w:tcMar>
              <w:top w:type="dxa" w:w="80"/>
              <w:left w:type="dxa" w:w="100"/>
              <w:bottom w:type="dxa" w:w="80"/>
              <w:right w:type="dxa" w:w="100"/>
            </w:tcMar>
            <w:vAlign w:val="center"/>
          </w:tcPr>
          <w:p>
            <w:r>
              <w:rPr>
                <w:b w:val="false"/>
                <w:bCs w:val="false"/>
                <w:sz w:val="20"/>
                <w:szCs w:val="20"/>
              </w:rPr>
              <w:t xml:space="preserve">RBAC</w:t>
            </w:r>
          </w:p>
        </w:tc>
        <w:tc>
          <w:tcPr>
            <w:tcW w:type="dxa" w:w="6960"/>
            <w:tcMar>
              <w:top w:type="dxa" w:w="80"/>
              <w:left w:type="dxa" w:w="100"/>
              <w:bottom w:type="dxa" w:w="80"/>
              <w:right w:type="dxa" w:w="100"/>
            </w:tcMar>
            <w:vAlign w:val="center"/>
          </w:tcPr>
          <w:p>
            <w:r>
              <w:rPr>
                <w:b w:val="false"/>
                <w:bCs w:val="false"/>
                <w:sz w:val="20"/>
                <w:szCs w:val="20"/>
              </w:rPr>
              <w:t xml:space="preserve">Role-Based Access Control.</w:t>
            </w:r>
          </w:p>
        </w:tc>
      </w:tr>
      <w:tr>
        <w:tc>
          <w:tcPr>
            <w:tcW w:type="dxa" w:w="2400"/>
            <w:tcMar>
              <w:top w:type="dxa" w:w="80"/>
              <w:left w:type="dxa" w:w="100"/>
              <w:bottom w:type="dxa" w:w="80"/>
              <w:right w:type="dxa" w:w="100"/>
            </w:tcMar>
            <w:vAlign w:val="center"/>
          </w:tcPr>
          <w:p>
            <w:r>
              <w:rPr>
                <w:b w:val="false"/>
                <w:bCs w:val="false"/>
                <w:sz w:val="20"/>
                <w:szCs w:val="20"/>
              </w:rPr>
              <w:t xml:space="preserve">JWT</w:t>
            </w:r>
          </w:p>
        </w:tc>
        <w:tc>
          <w:tcPr>
            <w:tcW w:type="dxa" w:w="6960"/>
            <w:tcMar>
              <w:top w:type="dxa" w:w="80"/>
              <w:left w:type="dxa" w:w="100"/>
              <w:bottom w:type="dxa" w:w="80"/>
              <w:right w:type="dxa" w:w="100"/>
            </w:tcMar>
            <w:vAlign w:val="center"/>
          </w:tcPr>
          <w:p>
            <w:r>
              <w:rPr>
                <w:b w:val="false"/>
                <w:bCs w:val="false"/>
                <w:sz w:val="20"/>
                <w:szCs w:val="20"/>
              </w:rPr>
              <w:t xml:space="preserve">JSON Web Token, used for stateless authentication.</w:t>
            </w:r>
          </w:p>
        </w:tc>
      </w:tr>
      <w:tr>
        <w:tc>
          <w:tcPr>
            <w:tcW w:type="dxa" w:w="2400"/>
            <w:tcMar>
              <w:top w:type="dxa" w:w="80"/>
              <w:left w:type="dxa" w:w="100"/>
              <w:bottom w:type="dxa" w:w="80"/>
              <w:right w:type="dxa" w:w="100"/>
            </w:tcMar>
            <w:vAlign w:val="center"/>
          </w:tcPr>
          <w:p>
            <w:r>
              <w:rPr>
                <w:b w:val="false"/>
                <w:bCs w:val="false"/>
                <w:sz w:val="20"/>
                <w:szCs w:val="20"/>
              </w:rPr>
              <w:t xml:space="preserve">PII</w:t>
            </w:r>
          </w:p>
        </w:tc>
        <w:tc>
          <w:tcPr>
            <w:tcW w:type="dxa" w:w="6960"/>
            <w:tcMar>
              <w:top w:type="dxa" w:w="80"/>
              <w:left w:type="dxa" w:w="100"/>
              <w:bottom w:type="dxa" w:w="80"/>
              <w:right w:type="dxa" w:w="100"/>
            </w:tcMar>
            <w:vAlign w:val="center"/>
          </w:tcPr>
          <w:p>
            <w:r>
              <w:rPr>
                <w:b w:val="false"/>
                <w:bCs w:val="false"/>
                <w:sz w:val="20"/>
                <w:szCs w:val="20"/>
              </w:rPr>
              <w:t xml:space="preserve">Personally Identifiable Information.</w:t>
            </w:r>
          </w:p>
        </w:tc>
      </w:tr>
      <w:tr>
        <w:tc>
          <w:tcPr>
            <w:tcW w:type="dxa" w:w="2400"/>
            <w:tcMar>
              <w:top w:type="dxa" w:w="80"/>
              <w:left w:type="dxa" w:w="100"/>
              <w:bottom w:type="dxa" w:w="80"/>
              <w:right w:type="dxa" w:w="100"/>
            </w:tcMar>
            <w:vAlign w:val="center"/>
          </w:tcPr>
          <w:p>
            <w:r>
              <w:rPr>
                <w:b w:val="false"/>
                <w:bCs w:val="false"/>
                <w:sz w:val="20"/>
                <w:szCs w:val="20"/>
              </w:rPr>
              <w:t xml:space="preserve">SLA</w:t>
            </w:r>
          </w:p>
        </w:tc>
        <w:tc>
          <w:tcPr>
            <w:tcW w:type="dxa" w:w="6960"/>
            <w:tcMar>
              <w:top w:type="dxa" w:w="80"/>
              <w:left w:type="dxa" w:w="100"/>
              <w:bottom w:type="dxa" w:w="80"/>
              <w:right w:type="dxa" w:w="100"/>
            </w:tcMar>
            <w:vAlign w:val="center"/>
          </w:tcPr>
          <w:p>
            <w:r>
              <w:rPr>
                <w:b w:val="false"/>
                <w:bCs w:val="false"/>
                <w:sz w:val="20"/>
                <w:szCs w:val="20"/>
              </w:rPr>
              <w:t xml:space="preserve">Service Level Agreement.</w:t>
            </w:r>
          </w:p>
        </w:tc>
      </w:tr>
      <w:tr>
        <w:tc>
          <w:tcPr>
            <w:tcW w:type="dxa" w:w="2400"/>
            <w:tcMar>
              <w:top w:type="dxa" w:w="80"/>
              <w:left w:type="dxa" w:w="100"/>
              <w:bottom w:type="dxa" w:w="80"/>
              <w:right w:type="dxa" w:w="100"/>
            </w:tcMar>
            <w:vAlign w:val="center"/>
          </w:tcPr>
          <w:p>
            <w:r>
              <w:rPr>
                <w:b w:val="false"/>
                <w:bCs w:val="false"/>
                <w:sz w:val="20"/>
                <w:szCs w:val="20"/>
              </w:rPr>
              <w:t xml:space="preserve">RPO / RTO</w:t>
            </w:r>
          </w:p>
        </w:tc>
        <w:tc>
          <w:tcPr>
            <w:tcW w:type="dxa" w:w="6960"/>
            <w:tcMar>
              <w:top w:type="dxa" w:w="80"/>
              <w:left w:type="dxa" w:w="100"/>
              <w:bottom w:type="dxa" w:w="80"/>
              <w:right w:type="dxa" w:w="100"/>
            </w:tcMar>
            <w:vAlign w:val="center"/>
          </w:tcPr>
          <w:p>
            <w:r>
              <w:rPr>
                <w:b w:val="false"/>
                <w:bCs w:val="false"/>
                <w:sz w:val="20"/>
                <w:szCs w:val="20"/>
              </w:rPr>
              <w:t xml:space="preserve">Recovery Point Objective / Recovery Time Objective — disaster recovery metrics.</w:t>
            </w:r>
          </w:p>
        </w:tc>
      </w:tr>
    </w:tbl>
    <w:p>
      <w:pPr>
        <w:spacing w:after="120"/>
      </w:pPr>
    </w:p>
    <w:p>
      <w:pPr>
        <w:pStyle w:val="Heading2"/>
        <w:spacing w:after="120" w:before="300"/>
      </w:pPr>
      <w:r>
        <w:t xml:space="preserve">1.6 References</w:t>
      </w:r>
    </w:p>
    <w:p>
      <w:pPr>
        <w:pStyle w:val="ListParagraph"/>
        <w:numPr>
          <w:ilvl w:val="0"/>
          <w:numId w:val="1"/>
        </w:numPr>
        <w:spacing w:after="60"/>
      </w:pPr>
      <w:r>
        <w:t xml:space="preserve">Existing project README.md and requirements.txt (baseline single-tenant implementation)</w:t>
      </w:r>
    </w:p>
    <w:p>
      <w:pPr>
        <w:pStyle w:val="ListParagraph"/>
        <w:numPr>
          <w:ilvl w:val="0"/>
          <w:numId w:val="1"/>
        </w:numPr>
        <w:spacing w:after="60"/>
      </w:pPr>
      <w:r>
        <w:t xml:space="preserve">OWASP Top 10 (Web Application Security Risks)</w:t>
      </w:r>
    </w:p>
    <w:p>
      <w:pPr>
        <w:pStyle w:val="ListParagraph"/>
        <w:numPr>
          <w:ilvl w:val="0"/>
          <w:numId w:val="1"/>
        </w:numPr>
        <w:spacing w:after="60"/>
      </w:pPr>
      <w:r>
        <w:t xml:space="preserve">OWASP Multi-Tenant Application Security Cheat Sheet</w:t>
      </w:r>
    </w:p>
    <w:p>
      <w:pPr>
        <w:pStyle w:val="ListParagraph"/>
        <w:numPr>
          <w:ilvl w:val="0"/>
          <w:numId w:val="1"/>
        </w:numPr>
        <w:spacing w:after="60"/>
      </w:pPr>
      <w:r>
        <w:t xml:space="preserve">GDPR (Regulation (EU) 2016/679) and CCPA (California Consumer Privacy Act)</w:t>
      </w:r>
    </w:p>
    <w:p>
      <w:pPr>
        <w:pStyle w:val="ListParagraph"/>
        <w:numPr>
          <w:ilvl w:val="0"/>
          <w:numId w:val="1"/>
        </w:numPr>
        <w:spacing w:after="60"/>
      </w:pPr>
      <w:r>
        <w:t xml:space="preserve">ISO/IEC/IEEE 29148:2018 — Systems and software engineering — Requirements engineering</w:t>
      </w:r>
    </w:p>
    <w:p>
      <w:pPr>
        <w:pStyle w:val="Heading1"/>
        <w:pageBreakBefore/>
        <w:spacing w:after="200"/>
      </w:pPr>
      <w:r>
        <w:t xml:space="preserve">2. Overall Description</w:t>
      </w:r>
    </w:p>
    <w:p>
      <w:pPr>
        <w:pStyle w:val="Heading2"/>
        <w:spacing w:after="120" w:before="300"/>
      </w:pPr>
      <w:r>
        <w:t xml:space="preserve">2.1 Product Perspective</w:t>
      </w:r>
    </w:p>
    <w:p>
      <w:pPr>
        <w:spacing w:after="160"/>
      </w:pPr>
      <w:r>
        <w:t xml:space="preserve">The platform is a standalone backend API (FastAPI) with a PostgreSQL data store, intended to be consumed by first-party and eventually third-party frontends. The original design was single-tenant in practice (one shared database, no formal tenant boundary beyond a foreign key to a user). This revision formalizes tenancy as a first-class architectural concern rather than an implicit side effect of a `user_id` column.</w:t>
      </w:r>
    </w:p>
    <w:p>
      <w:pPr>
        <w:pStyle w:val="Heading2"/>
        <w:spacing w:after="120" w:before="300"/>
      </w:pPr>
      <w:r>
        <w:t xml:space="preserve">2.2 Multi-Tenancy Model — Design Decision</w:t>
      </w:r>
    </w:p>
    <w:p>
      <w:pPr>
        <w:spacing w:after="160"/>
      </w:pPr>
      <w:r>
        <w:t xml:space="preserve">GAP IDENTIFIED: the original design never explicitly defined what a "tenant" is. This is resolved as follows:</w:t>
      </w:r>
    </w:p>
    <w:p>
      <w:pPr>
        <w:pStyle w:val="ListParagraph"/>
        <w:numPr>
          <w:ilvl w:val="0"/>
          <w:numId w:val="1"/>
        </w:numPr>
        <w:spacing w:after="60"/>
      </w:pPr>
      <w:r>
        <w:t xml:space="preserve">Tenancy unit: each individual user account is its own tenant (a consumer B2C model), consistent with the platform's personal-finance use case.</w:t>
      </w:r>
    </w:p>
    <w:p>
      <w:pPr>
        <w:pStyle w:val="ListParagraph"/>
        <w:numPr>
          <w:ilvl w:val="0"/>
          <w:numId w:val="1"/>
        </w:numPr>
        <w:spacing w:after="60"/>
      </w:pPr>
      <w:r>
        <w:t xml:space="preserve">Isolation strategy: shared database, shared schema, with a mandatory tenant_id column on every tenant-scoped table, enforced at two layers — the application query layer (every ORM query is automatically scoped) and PostgreSQL Row-Level Security policies as defense-in-depth (see Section 6.2).</w:t>
      </w:r>
    </w:p>
    <w:p>
      <w:pPr>
        <w:pStyle w:val="ListParagraph"/>
        <w:numPr>
          <w:ilvl w:val="0"/>
          <w:numId w:val="1"/>
        </w:numPr>
        <w:spacing w:after="60"/>
      </w:pPr>
      <w:r>
        <w:t xml:space="preserve">Future extension (Phase 2, out of current scope): "household" or "organization" tenants containing multiple linked users with shared visibility into a budget, using an RBAC layer (owner / member roles). This SRS reserves the data model for this but does not require it for public launch.</w:t>
      </w:r>
    </w:p>
    <w:p>
      <w:pPr>
        <w:pStyle w:val="Heading2"/>
        <w:spacing w:after="120" w:before="300"/>
      </w:pPr>
      <w:r>
        <w:t xml:space="preserve">2.3 Product Functions</w:t>
      </w:r>
    </w:p>
    <w:p>
      <w:pPr>
        <w:spacing w:after="160"/>
      </w:pPr>
      <w:r>
        <w:t xml:space="preserve">Summary of major function groups; each is detailed with formal requirements in Chapter 3.</w:t>
      </w:r>
    </w:p>
    <w:p>
      <w:pPr>
        <w:pStyle w:val="ListParagraph"/>
        <w:numPr>
          <w:ilvl w:val="0"/>
          <w:numId w:val="1"/>
        </w:numPr>
        <w:spacing w:after="60"/>
      </w:pPr>
      <w:r>
        <w:t xml:space="preserve">Tenant (user) registration, authentication, and lifecycle management</w:t>
      </w:r>
    </w:p>
    <w:p>
      <w:pPr>
        <w:pStyle w:val="ListParagraph"/>
        <w:numPr>
          <w:ilvl w:val="0"/>
          <w:numId w:val="1"/>
        </w:numPr>
        <w:spacing w:after="60"/>
      </w:pPr>
      <w:r>
        <w:t xml:space="preserve">Financial account management (checking, savings, credit)</w:t>
      </w:r>
    </w:p>
    <w:p>
      <w:pPr>
        <w:pStyle w:val="ListParagraph"/>
        <w:numPr>
          <w:ilvl w:val="0"/>
          <w:numId w:val="1"/>
        </w:numPr>
        <w:spacing w:after="60"/>
      </w:pPr>
      <w:r>
        <w:t xml:space="preserve">Category and budget management</w:t>
      </w:r>
    </w:p>
    <w:p>
      <w:pPr>
        <w:pStyle w:val="ListParagraph"/>
        <w:numPr>
          <w:ilvl w:val="0"/>
          <w:numId w:val="1"/>
        </w:numPr>
        <w:spacing w:after="60"/>
      </w:pPr>
      <w:r>
        <w:t xml:space="preserve">Transaction logging with automatic balance updates</w:t>
      </w:r>
    </w:p>
    <w:p>
      <w:pPr>
        <w:pStyle w:val="ListParagraph"/>
        <w:numPr>
          <w:ilvl w:val="0"/>
          <w:numId w:val="1"/>
        </w:numPr>
        <w:spacing w:after="60"/>
      </w:pPr>
      <w:r>
        <w:t xml:space="preserve">Recurring bill definitions with automated transaction generation</w:t>
      </w:r>
    </w:p>
    <w:p>
      <w:pPr>
        <w:pStyle w:val="ListParagraph"/>
        <w:numPr>
          <w:ilvl w:val="0"/>
          <w:numId w:val="1"/>
        </w:numPr>
        <w:spacing w:after="60"/>
      </w:pPr>
      <w:r>
        <w:t xml:space="preserve">Savings goal tracking</w:t>
      </w:r>
    </w:p>
    <w:p>
      <w:pPr>
        <w:pStyle w:val="ListParagraph"/>
        <w:numPr>
          <w:ilvl w:val="0"/>
          <w:numId w:val="1"/>
        </w:numPr>
        <w:spacing w:after="60"/>
      </w:pPr>
      <w:r>
        <w:t xml:space="preserve">Spending, income, and net-worth reporting</w:t>
      </w:r>
    </w:p>
    <w:p>
      <w:pPr>
        <w:pStyle w:val="ListParagraph"/>
        <w:numPr>
          <w:ilvl w:val="0"/>
          <w:numId w:val="1"/>
        </w:numPr>
        <w:spacing w:after="60"/>
      </w:pPr>
      <w:r>
        <w:t xml:space="preserve">Notifications (email and in-app)</w:t>
      </w:r>
    </w:p>
    <w:p>
      <w:pPr>
        <w:pStyle w:val="ListParagraph"/>
        <w:numPr>
          <w:ilvl w:val="0"/>
          <w:numId w:val="1"/>
        </w:numPr>
        <w:spacing w:after="60"/>
      </w:pPr>
      <w:r>
        <w:t xml:space="preserve">Administrative and customer-support tooling</w:t>
      </w:r>
    </w:p>
    <w:p>
      <w:pPr>
        <w:pStyle w:val="ListParagraph"/>
        <w:numPr>
          <w:ilvl w:val="0"/>
          <w:numId w:val="1"/>
        </w:numPr>
        <w:spacing w:after="60"/>
      </w:pPr>
      <w:r>
        <w:t xml:space="preserve">Monthly subscription billing, scoped specifically to bank-linking access — manual tracking remains free (Section 3.12)</w:t>
      </w:r>
    </w:p>
    <w:p>
      <w:pPr>
        <w:pStyle w:val="ListParagraph"/>
        <w:numPr>
          <w:ilvl w:val="0"/>
          <w:numId w:val="1"/>
        </w:numPr>
        <w:spacing w:after="60"/>
      </w:pPr>
      <w:r>
        <w:t xml:space="preserve">Multi-bank account linking with consolidated, read-only gross balance and transaction monitoring across institutions (Section 3.14)</w:t>
      </w:r>
    </w:p>
    <w:p>
      <w:pPr>
        <w:pStyle w:val="Heading2"/>
        <w:spacing w:after="120" w:before="300"/>
      </w:pPr>
      <w:r>
        <w:t xml:space="preserve">2.4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D9D9D9" w:color="auto" w:val="clear"/>
            <w:tcMar>
              <w:top w:type="dxa" w:w="80"/>
              <w:left w:type="dxa" w:w="100"/>
              <w:bottom w:type="dxa" w:w="80"/>
              <w:right w:type="dxa" w:w="100"/>
            </w:tcMar>
            <w:vAlign w:val="center"/>
          </w:tcPr>
          <w:p>
            <w:r>
              <w:rPr>
                <w:b/>
                <w:bCs/>
                <w:sz w:val="20"/>
                <w:szCs w:val="20"/>
              </w:rPr>
              <w:t xml:space="preserve">User Class</w:t>
            </w:r>
          </w:p>
        </w:tc>
        <w:tc>
          <w:tcPr>
            <w:tcW w:type="dxa" w:w="4160"/>
            <w:shd w:fill="D9D9D9" w:color="auto" w:val="clear"/>
            <w:tcMar>
              <w:top w:type="dxa" w:w="80"/>
              <w:left w:type="dxa" w:w="100"/>
              <w:bottom w:type="dxa" w:w="80"/>
              <w:right w:type="dxa" w:w="100"/>
            </w:tcMar>
            <w:vAlign w:val="center"/>
          </w:tcPr>
          <w:p>
            <w:r>
              <w:rPr>
                <w:b/>
                <w:bCs/>
                <w:sz w:val="20"/>
                <w:szCs w:val="20"/>
              </w:rPr>
              <w:t xml:space="preserve">Description</w:t>
            </w:r>
          </w:p>
        </w:tc>
        <w:tc>
          <w:tcPr>
            <w:tcW w:type="dxa" w:w="2800"/>
            <w:shd w:fill="D9D9D9" w:color="auto" w:val="clear"/>
            <w:tcMar>
              <w:top w:type="dxa" w:w="80"/>
              <w:left w:type="dxa" w:w="100"/>
              <w:bottom w:type="dxa" w:w="80"/>
              <w:right w:type="dxa" w:w="100"/>
            </w:tcMar>
            <w:vAlign w:val="center"/>
          </w:tcPr>
          <w:p>
            <w:r>
              <w:rPr>
                <w:b/>
                <w:bCs/>
                <w:sz w:val="20"/>
                <w:szCs w:val="20"/>
              </w:rPr>
              <w:t xml:space="preserve">Access Level</w:t>
            </w:r>
          </w:p>
        </w:tc>
      </w:tr>
      <w:tr>
        <w:tc>
          <w:tcPr>
            <w:tcW w:type="dxa" w:w="2400"/>
            <w:tcMar>
              <w:top w:type="dxa" w:w="80"/>
              <w:left w:type="dxa" w:w="100"/>
              <w:bottom w:type="dxa" w:w="80"/>
              <w:right w:type="dxa" w:w="100"/>
            </w:tcMar>
            <w:vAlign w:val="center"/>
          </w:tcPr>
          <w:p>
            <w:r>
              <w:rPr>
                <w:b w:val="false"/>
                <w:bCs w:val="false"/>
                <w:sz w:val="20"/>
                <w:szCs w:val="20"/>
              </w:rPr>
              <w:t xml:space="preserve">Anonymous Visitor</w:t>
            </w:r>
          </w:p>
        </w:tc>
        <w:tc>
          <w:tcPr>
            <w:tcW w:type="dxa" w:w="4160"/>
            <w:tcMar>
              <w:top w:type="dxa" w:w="80"/>
              <w:left w:type="dxa" w:w="100"/>
              <w:bottom w:type="dxa" w:w="80"/>
              <w:right w:type="dxa" w:w="100"/>
            </w:tcMar>
            <w:vAlign w:val="center"/>
          </w:tcPr>
          <w:p>
            <w:r>
              <w:rPr>
                <w:b w:val="false"/>
                <w:bCs w:val="false"/>
                <w:sz w:val="20"/>
                <w:szCs w:val="20"/>
              </w:rPr>
              <w:t xml:space="preserve">Unauthenticated public</w:t>
            </w:r>
          </w:p>
        </w:tc>
        <w:tc>
          <w:tcPr>
            <w:tcW w:type="dxa" w:w="2800"/>
            <w:tcMar>
              <w:top w:type="dxa" w:w="80"/>
              <w:left w:type="dxa" w:w="100"/>
              <w:bottom w:type="dxa" w:w="80"/>
              <w:right w:type="dxa" w:w="100"/>
            </w:tcMar>
            <w:vAlign w:val="center"/>
          </w:tcPr>
          <w:p>
            <w:r>
              <w:rPr>
                <w:b w:val="false"/>
                <w:bCs w:val="false"/>
                <w:sz w:val="20"/>
                <w:szCs w:val="20"/>
              </w:rPr>
              <w:t xml:space="preserve">Signup, login, public docs only</w:t>
            </w:r>
          </w:p>
        </w:tc>
      </w:tr>
      <w:tr>
        <w:tc>
          <w:tcPr>
            <w:tcW w:type="dxa" w:w="2400"/>
            <w:tcMar>
              <w:top w:type="dxa" w:w="80"/>
              <w:left w:type="dxa" w:w="100"/>
              <w:bottom w:type="dxa" w:w="80"/>
              <w:right w:type="dxa" w:w="100"/>
            </w:tcMar>
            <w:vAlign w:val="center"/>
          </w:tcPr>
          <w:p>
            <w:r>
              <w:rPr>
                <w:b w:val="false"/>
                <w:bCs w:val="false"/>
                <w:sz w:val="20"/>
                <w:szCs w:val="20"/>
              </w:rPr>
              <w:t xml:space="preserve">Registered User (Tenant)</w:t>
            </w:r>
          </w:p>
        </w:tc>
        <w:tc>
          <w:tcPr>
            <w:tcW w:type="dxa" w:w="4160"/>
            <w:tcMar>
              <w:top w:type="dxa" w:w="80"/>
              <w:left w:type="dxa" w:w="100"/>
              <w:bottom w:type="dxa" w:w="80"/>
              <w:right w:type="dxa" w:w="100"/>
            </w:tcMar>
            <w:vAlign w:val="center"/>
          </w:tcPr>
          <w:p>
            <w:r>
              <w:rPr>
                <w:b w:val="false"/>
                <w:bCs w:val="false"/>
                <w:sz w:val="20"/>
                <w:szCs w:val="20"/>
              </w:rPr>
              <w:t xml:space="preserve">Individual managing their own financial data</w:t>
            </w:r>
          </w:p>
        </w:tc>
        <w:tc>
          <w:tcPr>
            <w:tcW w:type="dxa" w:w="2800"/>
            <w:tcMar>
              <w:top w:type="dxa" w:w="80"/>
              <w:left w:type="dxa" w:w="100"/>
              <w:bottom w:type="dxa" w:w="80"/>
              <w:right w:type="dxa" w:w="100"/>
            </w:tcMar>
            <w:vAlign w:val="center"/>
          </w:tcPr>
          <w:p>
            <w:r>
              <w:rPr>
                <w:b w:val="false"/>
                <w:bCs w:val="false"/>
                <w:sz w:val="20"/>
                <w:szCs w:val="20"/>
              </w:rPr>
              <w:t xml:space="preserve">Full CRUD scoped strictly to own tenant</w:t>
            </w:r>
          </w:p>
        </w:tc>
      </w:tr>
      <w:tr>
        <w:tc>
          <w:tcPr>
            <w:tcW w:type="dxa" w:w="2400"/>
            <w:tcMar>
              <w:top w:type="dxa" w:w="80"/>
              <w:left w:type="dxa" w:w="100"/>
              <w:bottom w:type="dxa" w:w="80"/>
              <w:right w:type="dxa" w:w="100"/>
            </w:tcMar>
            <w:vAlign w:val="center"/>
          </w:tcPr>
          <w:p>
            <w:r>
              <w:rPr>
                <w:b w:val="false"/>
                <w:bCs w:val="false"/>
                <w:sz w:val="20"/>
                <w:szCs w:val="20"/>
              </w:rPr>
              <w:t xml:space="preserve">Support Agent</w:t>
            </w:r>
          </w:p>
        </w:tc>
        <w:tc>
          <w:tcPr>
            <w:tcW w:type="dxa" w:w="4160"/>
            <w:tcMar>
              <w:top w:type="dxa" w:w="80"/>
              <w:left w:type="dxa" w:w="100"/>
              <w:bottom w:type="dxa" w:w="80"/>
              <w:right w:type="dxa" w:w="100"/>
            </w:tcMar>
            <w:vAlign w:val="center"/>
          </w:tcPr>
          <w:p>
            <w:r>
              <w:rPr>
                <w:b w:val="false"/>
                <w:bCs w:val="false"/>
                <w:sz w:val="20"/>
                <w:szCs w:val="20"/>
              </w:rPr>
              <w:t xml:space="preserve">Internal staff assisting users</w:t>
            </w:r>
          </w:p>
        </w:tc>
        <w:tc>
          <w:tcPr>
            <w:tcW w:type="dxa" w:w="2800"/>
            <w:tcMar>
              <w:top w:type="dxa" w:w="80"/>
              <w:left w:type="dxa" w:w="100"/>
              <w:bottom w:type="dxa" w:w="80"/>
              <w:right w:type="dxa" w:w="100"/>
            </w:tcMar>
            <w:vAlign w:val="center"/>
          </w:tcPr>
          <w:p>
            <w:r>
              <w:rPr>
                <w:b w:val="false"/>
                <w:bCs w:val="false"/>
                <w:sz w:val="20"/>
                <w:szCs w:val="20"/>
              </w:rPr>
              <w:t xml:space="preserve">Read-only, audited, time-boxed access to a specific tenant on request (Section 3.11)</w:t>
            </w:r>
          </w:p>
        </w:tc>
      </w:tr>
      <w:tr>
        <w:tc>
          <w:tcPr>
            <w:tcW w:type="dxa" w:w="2400"/>
            <w:tcMar>
              <w:top w:type="dxa" w:w="80"/>
              <w:left w:type="dxa" w:w="100"/>
              <w:bottom w:type="dxa" w:w="80"/>
              <w:right w:type="dxa" w:w="100"/>
            </w:tcMar>
            <w:vAlign w:val="center"/>
          </w:tcPr>
          <w:p>
            <w:r>
              <w:rPr>
                <w:b w:val="false"/>
                <w:bCs w:val="false"/>
                <w:sz w:val="20"/>
                <w:szCs w:val="20"/>
              </w:rPr>
              <w:t xml:space="preserve">System Administrator</w:t>
            </w:r>
          </w:p>
        </w:tc>
        <w:tc>
          <w:tcPr>
            <w:tcW w:type="dxa" w:w="4160"/>
            <w:tcMar>
              <w:top w:type="dxa" w:w="80"/>
              <w:left w:type="dxa" w:w="100"/>
              <w:bottom w:type="dxa" w:w="80"/>
              <w:right w:type="dxa" w:w="100"/>
            </w:tcMar>
            <w:vAlign w:val="center"/>
          </w:tcPr>
          <w:p>
            <w:r>
              <w:rPr>
                <w:b w:val="false"/>
                <w:bCs w:val="false"/>
                <w:sz w:val="20"/>
                <w:szCs w:val="20"/>
              </w:rPr>
              <w:t xml:space="preserve">Internal staff operating infrastructure</w:t>
            </w:r>
          </w:p>
        </w:tc>
        <w:tc>
          <w:tcPr>
            <w:tcW w:type="dxa" w:w="2800"/>
            <w:tcMar>
              <w:top w:type="dxa" w:w="80"/>
              <w:left w:type="dxa" w:w="100"/>
              <w:bottom w:type="dxa" w:w="80"/>
              <w:right w:type="dxa" w:w="100"/>
            </w:tcMar>
            <w:vAlign w:val="center"/>
          </w:tcPr>
          <w:p>
            <w:r>
              <w:rPr>
                <w:b w:val="false"/>
                <w:bCs w:val="false"/>
                <w:sz w:val="20"/>
                <w:szCs w:val="20"/>
              </w:rPr>
              <w:t xml:space="preserve">Backend/infra access; no implicit access to tenant financial data</w:t>
            </w:r>
          </w:p>
        </w:tc>
      </w:tr>
    </w:tbl>
    <w:p>
      <w:pPr>
        <w:spacing w:after="120"/>
      </w:pPr>
    </w:p>
    <w:p>
      <w:pPr>
        <w:pStyle w:val="Heading2"/>
        <w:spacing w:after="120" w:before="300"/>
      </w:pPr>
      <w:r>
        <w:t xml:space="preserve">2.5 Operating Environment</w:t>
      </w:r>
    </w:p>
    <w:p>
      <w:pPr>
        <w:pStyle w:val="ListParagraph"/>
        <w:numPr>
          <w:ilvl w:val="0"/>
          <w:numId w:val="1"/>
        </w:numPr>
        <w:spacing w:after="60"/>
      </w:pPr>
      <w:r>
        <w:t xml:space="preserve">Python 3.11+, FastAPI, served via Gunicorn-managed Uvicorn workers</w:t>
      </w:r>
    </w:p>
    <w:p>
      <w:pPr>
        <w:pStyle w:val="ListParagraph"/>
        <w:numPr>
          <w:ilvl w:val="0"/>
          <w:numId w:val="1"/>
        </w:numPr>
        <w:spacing w:after="60"/>
      </w:pPr>
      <w:r>
        <w:t xml:space="preserve">PostgreSQL 14+ as the primary datastore</w:t>
      </w:r>
    </w:p>
    <w:p>
      <w:pPr>
        <w:pStyle w:val="ListParagraph"/>
        <w:numPr>
          <w:ilvl w:val="0"/>
          <w:numId w:val="1"/>
        </w:numPr>
        <w:spacing w:after="60"/>
      </w:pPr>
      <w:r>
        <w:t xml:space="preserve">Redis 7+ for caching, rate-limit counters, and background job brokering</w:t>
      </w:r>
    </w:p>
    <w:p>
      <w:pPr>
        <w:pStyle w:val="ListParagraph"/>
        <w:numPr>
          <w:ilvl w:val="0"/>
          <w:numId w:val="1"/>
        </w:numPr>
        <w:spacing w:after="60"/>
      </w:pPr>
      <w:r>
        <w:t xml:space="preserve">Deployed in containers behind a load balancer, terminating TLS at the edge</w:t>
      </w:r>
    </w:p>
    <w:p>
      <w:pPr>
        <w:pStyle w:val="ListParagraph"/>
        <w:numPr>
          <w:ilvl w:val="0"/>
          <w:numId w:val="1"/>
        </w:numPr>
        <w:spacing w:after="60"/>
      </w:pPr>
      <w:r>
        <w:t xml:space="preserve">Consumers: first-party web/mobile clients and, in future, third-party API integrators</w:t>
      </w:r>
    </w:p>
    <w:p>
      <w:pPr>
        <w:pStyle w:val="Heading2"/>
        <w:spacing w:after="120" w:before="300"/>
      </w:pPr>
      <w:r>
        <w:t xml:space="preserve">2.6 Design and Implementation Constraints</w:t>
      </w:r>
    </w:p>
    <w:p>
      <w:pPr>
        <w:pStyle w:val="ListParagraph"/>
        <w:numPr>
          <w:ilvl w:val="0"/>
          <w:numId w:val="1"/>
        </w:numPr>
        <w:spacing w:after="60"/>
      </w:pPr>
      <w:r>
        <w:t xml:space="preserve">The API must remain stateless; no server-side session state outside JWT/Redis</w:t>
      </w:r>
    </w:p>
    <w:p>
      <w:pPr>
        <w:pStyle w:val="ListParagraph"/>
        <w:numPr>
          <w:ilvl w:val="0"/>
          <w:numId w:val="1"/>
        </w:numPr>
        <w:spacing w:after="60"/>
      </w:pPr>
      <w:r>
        <w:t xml:space="preserve">All monetary values stored as fixed-precision decimals (never floating point)</w:t>
      </w:r>
    </w:p>
    <w:p>
      <w:pPr>
        <w:pStyle w:val="ListParagraph"/>
        <w:numPr>
          <w:ilvl w:val="0"/>
          <w:numId w:val="1"/>
        </w:numPr>
        <w:spacing w:after="60"/>
      </w:pPr>
      <w:r>
        <w:t xml:space="preserve">No tenant-scoped endpoint may execute a query without an explicit or RLS-enforced tenant filter</w:t>
      </w:r>
    </w:p>
    <w:p>
      <w:pPr>
        <w:pStyle w:val="ListParagraph"/>
        <w:numPr>
          <w:ilvl w:val="0"/>
          <w:numId w:val="1"/>
        </w:numPr>
        <w:spacing w:after="60"/>
      </w:pPr>
      <w:r>
        <w:t xml:space="preserve">All configuration via environment variables; no secrets in source control</w:t>
      </w:r>
    </w:p>
    <w:p>
      <w:pPr>
        <w:pStyle w:val="ListParagraph"/>
        <w:numPr>
          <w:ilvl w:val="0"/>
          <w:numId w:val="1"/>
        </w:numPr>
        <w:spacing w:after="60"/>
      </w:pPr>
      <w:r>
        <w:t xml:space="preserve">Backward-compatible API versioning once made public (breaking changes require a new version path)</w:t>
      </w:r>
    </w:p>
    <w:p>
      <w:pPr>
        <w:pStyle w:val="Heading2"/>
        <w:spacing w:after="120" w:before="300"/>
      </w:pPr>
      <w:r>
        <w:t xml:space="preserve">2.7 Assumptions and Dependencies</w:t>
      </w:r>
    </w:p>
    <w:p>
      <w:pPr>
        <w:pStyle w:val="ListParagraph"/>
        <w:numPr>
          <w:ilvl w:val="0"/>
          <w:numId w:val="1"/>
        </w:numPr>
        <w:spacing w:after="60"/>
      </w:pPr>
      <w:r>
        <w:t xml:space="preserve">Users may continue to self-report financial data manually (Sections 3.4/3.6) and/or link real external bank accounts via a certified third-party aggregation provider (Section 3.14) for read-only balance and transaction monitoring; no payment-initiation capability is assumed, planned, or in scope at any point in this document</w:t>
      </w:r>
    </w:p>
    <w:p>
      <w:pPr>
        <w:pStyle w:val="ListParagraph"/>
        <w:numPr>
          <w:ilvl w:val="0"/>
          <w:numId w:val="1"/>
        </w:numPr>
        <w:spacing w:after="60"/>
      </w:pPr>
      <w:r>
        <w:t xml:space="preserve">A transactional email provider will be available in production for verification, reset, and notification emails</w:t>
      </w:r>
    </w:p>
    <w:p>
      <w:pPr>
        <w:pStyle w:val="ListParagraph"/>
        <w:numPr>
          <w:ilvl w:val="0"/>
          <w:numId w:val="1"/>
        </w:numPr>
        <w:spacing w:after="60"/>
      </w:pPr>
      <w:r>
        <w:t xml:space="preserve">The hosting platform supports running an independent background-worker process alongside the API</w:t>
      </w:r>
    </w:p>
    <w:p>
      <w:pPr>
        <w:pStyle w:val="ListParagraph"/>
        <w:numPr>
          <w:ilvl w:val="0"/>
          <w:numId w:val="1"/>
        </w:numPr>
        <w:spacing w:after="60"/>
      </w:pPr>
      <w:r>
        <w:t xml:space="preserve">Legal review of Terms of Service and Privacy Policy occurs before public launch and is tracked outside this document</w:t>
      </w:r>
    </w:p>
    <w:p>
      <w:pPr>
        <w:pStyle w:val="Heading2"/>
        <w:spacing w:after="120" w:before="300"/>
      </w:pPr>
      <w:r>
        <w:t xml:space="preserve">2.8 Apportioning of Requirements</w:t>
      </w:r>
    </w:p>
    <w:p>
      <w:pPr>
        <w:spacing w:after="160"/>
      </w:pPr>
      <w:r>
        <w:t xml:space="preserve">Requirements marked "Phase 2" throughout this document (household tenancy, SSO, data residency controls) are explicitly deferred and are not blocking for initial public launch, but are captured here so they are designed for rather than retrofitted. Monthly subscription billing (Section 3.12) was originally scoped as Phase 2 but has since been elevated to a launch requirement.</w:t>
      </w:r>
    </w:p>
    <w:p>
      <w:pPr>
        <w:pStyle w:val="Heading1"/>
        <w:pageBreakBefore/>
        <w:spacing w:after="200"/>
      </w:pPr>
      <w:r>
        <w:t xml:space="preserve">3. Functional Requirements</w:t>
      </w:r>
    </w:p>
    <w:p>
      <w:pPr>
        <w:spacing w:after="160"/>
      </w:pPr>
      <w:r>
        <w:t xml:space="preserve">Requirements are grouped by module. Priority follows MoSCoW (Must / Should / Could).</w:t>
      </w:r>
    </w:p>
    <w:p>
      <w:pPr>
        <w:pStyle w:val="Heading2"/>
        <w:spacing w:after="120" w:before="300"/>
      </w:pPr>
      <w:r>
        <w:t xml:space="preserve">3.1 Tenant &amp; Account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FR-1.1</w:t>
            </w:r>
          </w:p>
        </w:tc>
        <w:tc>
          <w:tcPr>
            <w:tcW w:type="dxa" w:w="6800"/>
            <w:tcMar>
              <w:top w:type="dxa" w:w="80"/>
              <w:left w:type="dxa" w:w="100"/>
              <w:bottom w:type="dxa" w:w="80"/>
              <w:right w:type="dxa" w:w="100"/>
            </w:tcMar>
            <w:vAlign w:val="center"/>
          </w:tcPr>
          <w:p>
            <w:r>
              <w:rPr>
                <w:b w:val="false"/>
                <w:bCs w:val="false"/>
                <w:sz w:val="20"/>
                <w:szCs w:val="20"/>
              </w:rPr>
              <w:t xml:space="preserve">System shall create a new tenant record atomically with the user's account upon signup.</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FR-1.2</w:t>
            </w:r>
          </w:p>
        </w:tc>
        <w:tc>
          <w:tcPr>
            <w:tcW w:type="dxa" w:w="6800"/>
            <w:tcMar>
              <w:top w:type="dxa" w:w="80"/>
              <w:left w:type="dxa" w:w="100"/>
              <w:bottom w:type="dxa" w:w="80"/>
              <w:right w:type="dxa" w:w="100"/>
            </w:tcMar>
            <w:vAlign w:val="center"/>
          </w:tcPr>
          <w:p>
            <w:r>
              <w:rPr>
                <w:b w:val="false"/>
                <w:bCs w:val="false"/>
                <w:sz w:val="20"/>
                <w:szCs w:val="20"/>
              </w:rPr>
              <w:t xml:space="preserve">System shall assign every subsequently created resource (accounts, categories, transactions, etc.) the creating user's tenant_id automatically — never client-supplied.</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FR-1.3</w:t>
            </w:r>
          </w:p>
        </w:tc>
        <w:tc>
          <w:tcPr>
            <w:tcW w:type="dxa" w:w="6800"/>
            <w:tcMar>
              <w:top w:type="dxa" w:w="80"/>
              <w:left w:type="dxa" w:w="100"/>
              <w:bottom w:type="dxa" w:w="80"/>
              <w:right w:type="dxa" w:w="100"/>
            </w:tcMar>
            <w:vAlign w:val="center"/>
          </w:tcPr>
          <w:p>
            <w:r>
              <w:rPr>
                <w:b w:val="false"/>
                <w:bCs w:val="false"/>
                <w:sz w:val="20"/>
                <w:szCs w:val="20"/>
              </w:rPr>
              <w:t xml:space="preserve">System shall support tenant self-service deletion, which soft-deletes and schedules hard-deletion of all tenant data after a defined retention window (Section 6.4).</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w:t>
            </w:r>
          </w:p>
        </w:tc>
        <w:tc>
          <w:tcPr>
            <w:tcW w:type="dxa" w:w="6800"/>
            <w:tcMar>
              <w:top w:type="dxa" w:w="80"/>
              <w:left w:type="dxa" w:w="100"/>
              <w:bottom w:type="dxa" w:w="80"/>
              <w:right w:type="dxa" w:w="100"/>
            </w:tcMar>
            <w:vAlign w:val="center"/>
          </w:tcPr>
          <w:p>
            <w:r>
              <w:rPr>
                <w:b w:val="false"/>
                <w:bCs w:val="false"/>
                <w:sz w:val="20"/>
                <w:szCs w:val="20"/>
              </w:rPr>
              <w:t xml:space="preserve">System shall reserve a nullable household_id field on the tenant record for Phase 2 multi-user tenancy.</w:t>
            </w:r>
          </w:p>
        </w:tc>
        <w:tc>
          <w:tcPr>
            <w:tcW w:type="dxa" w:w="1160"/>
            <w:tcMar>
              <w:top w:type="dxa" w:w="80"/>
              <w:left w:type="dxa" w:w="100"/>
              <w:bottom w:type="dxa" w:w="80"/>
              <w:right w:type="dxa" w:w="100"/>
            </w:tcMar>
            <w:vAlign w:val="center"/>
          </w:tcPr>
          <w:p>
            <w:r>
              <w:rPr>
                <w:b w:val="false"/>
                <w:bCs w:val="false"/>
                <w:sz w:val="20"/>
                <w:szCs w:val="20"/>
              </w:rPr>
              <w:t xml:space="preserve">Could</w:t>
            </w:r>
          </w:p>
        </w:tc>
      </w:tr>
    </w:tbl>
    <w:p>
      <w:pPr>
        <w:spacing w:after="120"/>
      </w:pPr>
    </w:p>
    <w:p>
      <w:pPr>
        <w:pStyle w:val="Heading2"/>
        <w:spacing w:after="120" w:before="300"/>
      </w:pPr>
      <w:r>
        <w:t xml:space="preserve">3.2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FR-2.1</w:t>
            </w:r>
          </w:p>
        </w:tc>
        <w:tc>
          <w:tcPr>
            <w:tcW w:type="dxa" w:w="6800"/>
            <w:tcMar>
              <w:top w:type="dxa" w:w="80"/>
              <w:left w:type="dxa" w:w="100"/>
              <w:bottom w:type="dxa" w:w="80"/>
              <w:right w:type="dxa" w:w="100"/>
            </w:tcMar>
            <w:vAlign w:val="center"/>
          </w:tcPr>
          <w:p>
            <w:r>
              <w:rPr>
                <w:b w:val="false"/>
                <w:bCs w:val="false"/>
                <w:sz w:val="20"/>
                <w:szCs w:val="20"/>
              </w:rPr>
              <w:t xml:space="preserve">System shall allow signup with email + password; password hashed with bcrypt before storage.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FR-2.2</w:t>
            </w:r>
          </w:p>
        </w:tc>
        <w:tc>
          <w:tcPr>
            <w:tcW w:type="dxa" w:w="6800"/>
            <w:tcMar>
              <w:top w:type="dxa" w:w="80"/>
              <w:left w:type="dxa" w:w="100"/>
              <w:bottom w:type="dxa" w:w="80"/>
              <w:right w:type="dxa" w:w="100"/>
            </w:tcMar>
            <w:vAlign w:val="center"/>
          </w:tcPr>
          <w:p>
            <w:r>
              <w:rPr>
                <w:b w:val="false"/>
                <w:bCs w:val="false"/>
                <w:sz w:val="20"/>
                <w:szCs w:val="20"/>
              </w:rPr>
              <w:t xml:space="preserve">System shall issue a short-lived JWT access token and a longer-lived, revocable refresh token on login.</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FR-2.3</w:t>
            </w:r>
          </w:p>
        </w:tc>
        <w:tc>
          <w:tcPr>
            <w:tcW w:type="dxa" w:w="6800"/>
            <w:tcMar>
              <w:top w:type="dxa" w:w="80"/>
              <w:left w:type="dxa" w:w="100"/>
              <w:bottom w:type="dxa" w:w="80"/>
              <w:right w:type="dxa" w:w="100"/>
            </w:tcMar>
            <w:vAlign w:val="center"/>
          </w:tcPr>
          <w:p>
            <w:r>
              <w:rPr>
                <w:b w:val="false"/>
                <w:bCs w:val="false"/>
                <w:sz w:val="20"/>
                <w:szCs w:val="20"/>
              </w:rPr>
              <w:t xml:space="preserve">System shall require email verification before granting full account access.</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FR-2.4</w:t>
            </w:r>
          </w:p>
        </w:tc>
        <w:tc>
          <w:tcPr>
            <w:tcW w:type="dxa" w:w="6800"/>
            <w:tcMar>
              <w:top w:type="dxa" w:w="80"/>
              <w:left w:type="dxa" w:w="100"/>
              <w:bottom w:type="dxa" w:w="80"/>
              <w:right w:type="dxa" w:w="100"/>
            </w:tcMar>
            <w:vAlign w:val="center"/>
          </w:tcPr>
          <w:p>
            <w:r>
              <w:rPr>
                <w:b w:val="false"/>
                <w:bCs w:val="false"/>
                <w:sz w:val="20"/>
                <w:szCs w:val="20"/>
              </w:rPr>
              <w:t xml:space="preserve">System shall support a password-reset flow via time-limited, single-use tokens sent by email.</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FR-2.5</w:t>
            </w:r>
          </w:p>
        </w:tc>
        <w:tc>
          <w:tcPr>
            <w:tcW w:type="dxa" w:w="6800"/>
            <w:tcMar>
              <w:top w:type="dxa" w:w="80"/>
              <w:left w:type="dxa" w:w="100"/>
              <w:bottom w:type="dxa" w:w="80"/>
              <w:right w:type="dxa" w:w="100"/>
            </w:tcMar>
            <w:vAlign w:val="center"/>
          </w:tcPr>
          <w:p>
            <w:r>
              <w:rPr>
                <w:b w:val="false"/>
                <w:bCs w:val="false"/>
                <w:sz w:val="20"/>
                <w:szCs w:val="20"/>
              </w:rPr>
              <w:t xml:space="preserve">System shall rate-limit login, signup, and password-reset endpoints per IP and per account.</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FR-2.6</w:t>
            </w:r>
          </w:p>
        </w:tc>
        <w:tc>
          <w:tcPr>
            <w:tcW w:type="dxa" w:w="6800"/>
            <w:tcMar>
              <w:top w:type="dxa" w:w="80"/>
              <w:left w:type="dxa" w:w="100"/>
              <w:bottom w:type="dxa" w:w="80"/>
              <w:right w:type="dxa" w:w="100"/>
            </w:tcMar>
            <w:vAlign w:val="center"/>
          </w:tcPr>
          <w:p>
            <w:r>
              <w:rPr>
                <w:b w:val="false"/>
                <w:bCs w:val="false"/>
                <w:sz w:val="20"/>
                <w:szCs w:val="20"/>
              </w:rPr>
              <w:t xml:space="preserve">System shall support optional multi-factor authentication (TOTP).</w:t>
            </w:r>
          </w:p>
        </w:tc>
        <w:tc>
          <w:tcPr>
            <w:tcW w:type="dxa" w:w="1160"/>
            <w:tcMar>
              <w:top w:type="dxa" w:w="80"/>
              <w:left w:type="dxa" w:w="100"/>
              <w:bottom w:type="dxa" w:w="80"/>
              <w:right w:type="dxa" w:w="100"/>
            </w:tcMar>
            <w:vAlign w:val="center"/>
          </w:tcPr>
          <w:p>
            <w:r>
              <w:rPr>
                <w:b w:val="false"/>
                <w:bCs w:val="false"/>
                <w:sz w:val="20"/>
                <w:szCs w:val="20"/>
              </w:rPr>
              <w:t xml:space="preserve">Should — Phase 2</w:t>
            </w:r>
          </w:p>
        </w:tc>
      </w:tr>
      <w:tr>
        <w:tc>
          <w:tcPr>
            <w:tcW w:type="dxa" w:w="1400"/>
            <w:tcMar>
              <w:top w:type="dxa" w:w="80"/>
              <w:left w:type="dxa" w:w="100"/>
              <w:bottom w:type="dxa" w:w="80"/>
              <w:right w:type="dxa" w:w="100"/>
            </w:tcMar>
            <w:vAlign w:val="center"/>
          </w:tcPr>
          <w:p>
            <w:r>
              <w:rPr>
                <w:b w:val="false"/>
                <w:bCs w:val="false"/>
                <w:sz w:val="20"/>
                <w:szCs w:val="20"/>
              </w:rPr>
              <w:t xml:space="preserve">FR-2.7</w:t>
            </w:r>
          </w:p>
        </w:tc>
        <w:tc>
          <w:tcPr>
            <w:tcW w:type="dxa" w:w="6800"/>
            <w:tcMar>
              <w:top w:type="dxa" w:w="80"/>
              <w:left w:type="dxa" w:w="100"/>
              <w:bottom w:type="dxa" w:w="80"/>
              <w:right w:type="dxa" w:w="100"/>
            </w:tcMar>
            <w:vAlign w:val="center"/>
          </w:tcPr>
          <w:p>
            <w:r>
              <w:rPr>
                <w:b w:val="false"/>
                <w:bCs w:val="false"/>
                <w:sz w:val="20"/>
                <w:szCs w:val="20"/>
              </w:rPr>
              <w:t xml:space="preserve">System shall support Single Sign-On (Google/Apple OAuth) as an alternative to password auth.</w:t>
            </w:r>
          </w:p>
        </w:tc>
        <w:tc>
          <w:tcPr>
            <w:tcW w:type="dxa" w:w="1160"/>
            <w:tcMar>
              <w:top w:type="dxa" w:w="80"/>
              <w:left w:type="dxa" w:w="100"/>
              <w:bottom w:type="dxa" w:w="80"/>
              <w:right w:type="dxa" w:w="100"/>
            </w:tcMar>
            <w:vAlign w:val="center"/>
          </w:tcPr>
          <w:p>
            <w:r>
              <w:rPr>
                <w:b w:val="false"/>
                <w:bCs w:val="false"/>
                <w:sz w:val="20"/>
                <w:szCs w:val="20"/>
              </w:rPr>
              <w:t xml:space="preserve">Could — Phase 2</w:t>
            </w:r>
          </w:p>
        </w:tc>
      </w:tr>
    </w:tbl>
    <w:p>
      <w:pPr>
        <w:spacing w:after="120"/>
      </w:pPr>
    </w:p>
    <w:p>
      <w:pPr>
        <w:pStyle w:val="Heading2"/>
        <w:spacing w:after="120" w:before="300"/>
      </w:pPr>
      <w:r>
        <w:t xml:space="preserve">3.3 User Profile &amp;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FR-3.1</w:t>
            </w:r>
          </w:p>
        </w:tc>
        <w:tc>
          <w:tcPr>
            <w:tcW w:type="dxa" w:w="6800"/>
            <w:tcMar>
              <w:top w:type="dxa" w:w="80"/>
              <w:left w:type="dxa" w:w="100"/>
              <w:bottom w:type="dxa" w:w="80"/>
              <w:right w:type="dxa" w:w="100"/>
            </w:tcMar>
            <w:vAlign w:val="center"/>
          </w:tcPr>
          <w:p>
            <w:r>
              <w:rPr>
                <w:b w:val="false"/>
                <w:bCs w:val="false"/>
                <w:sz w:val="20"/>
                <w:szCs w:val="20"/>
              </w:rPr>
              <w:t xml:space="preserve">User shall be able to view and update profile fields (name, email, timezone, currency preference).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FR-3.2</w:t>
            </w:r>
          </w:p>
        </w:tc>
        <w:tc>
          <w:tcPr>
            <w:tcW w:type="dxa" w:w="6800"/>
            <w:tcMar>
              <w:top w:type="dxa" w:w="80"/>
              <w:left w:type="dxa" w:w="100"/>
              <w:bottom w:type="dxa" w:w="80"/>
              <w:right w:type="dxa" w:w="100"/>
            </w:tcMar>
            <w:vAlign w:val="center"/>
          </w:tcPr>
          <w:p>
            <w:r>
              <w:rPr>
                <w:b w:val="false"/>
                <w:bCs w:val="false"/>
                <w:sz w:val="20"/>
                <w:szCs w:val="20"/>
              </w:rPr>
              <w:t xml:space="preserve">User shall be able to configure notification preferences (email on/off per notification type).</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FR-3.3</w:t>
            </w:r>
          </w:p>
        </w:tc>
        <w:tc>
          <w:tcPr>
            <w:tcW w:type="dxa" w:w="6800"/>
            <w:tcMar>
              <w:top w:type="dxa" w:w="80"/>
              <w:left w:type="dxa" w:w="100"/>
              <w:bottom w:type="dxa" w:w="80"/>
              <w:right w:type="dxa" w:w="100"/>
            </w:tcMar>
            <w:vAlign w:val="center"/>
          </w:tcPr>
          <w:p>
            <w:r>
              <w:rPr>
                <w:b w:val="false"/>
                <w:bCs w:val="false"/>
                <w:sz w:val="20"/>
                <w:szCs w:val="20"/>
              </w:rPr>
              <w:t xml:space="preserve">User shall be able to export their profile and preferences as part of data portability (Section 3.13).</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3.4 Financial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FR-4.1</w:t>
            </w:r>
          </w:p>
        </w:tc>
        <w:tc>
          <w:tcPr>
            <w:tcW w:type="dxa" w:w="6800"/>
            <w:tcMar>
              <w:top w:type="dxa" w:w="80"/>
              <w:left w:type="dxa" w:w="100"/>
              <w:bottom w:type="dxa" w:w="80"/>
              <w:right w:type="dxa" w:w="100"/>
            </w:tcMar>
            <w:vAlign w:val="center"/>
          </w:tcPr>
          <w:p>
            <w:r>
              <w:rPr>
                <w:b w:val="false"/>
                <w:bCs w:val="false"/>
                <w:sz w:val="20"/>
                <w:szCs w:val="20"/>
              </w:rPr>
              <w:t xml:space="preserve">User shall create an account of type checking, savings, or credit, scoped to their tenant.</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FR-4.2</w:t>
            </w:r>
          </w:p>
        </w:tc>
        <w:tc>
          <w:tcPr>
            <w:tcW w:type="dxa" w:w="6800"/>
            <w:tcMar>
              <w:top w:type="dxa" w:w="80"/>
              <w:left w:type="dxa" w:w="100"/>
              <w:bottom w:type="dxa" w:w="80"/>
              <w:right w:type="dxa" w:w="100"/>
            </w:tcMar>
            <w:vAlign w:val="center"/>
          </w:tcPr>
          <w:p>
            <w:r>
              <w:rPr>
                <w:b w:val="false"/>
                <w:bCs w:val="false"/>
                <w:sz w:val="20"/>
                <w:szCs w:val="20"/>
              </w:rPr>
              <w:t xml:space="preserve">User shall view, update, and delete only accounts belonging to their own tenant.</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FR-4.3</w:t>
            </w:r>
          </w:p>
        </w:tc>
        <w:tc>
          <w:tcPr>
            <w:tcW w:type="dxa" w:w="6800"/>
            <w:tcMar>
              <w:top w:type="dxa" w:w="80"/>
              <w:left w:type="dxa" w:w="100"/>
              <w:bottom w:type="dxa" w:w="80"/>
              <w:right w:type="dxa" w:w="100"/>
            </w:tcMar>
            <w:vAlign w:val="center"/>
          </w:tcPr>
          <w:p>
            <w:r>
              <w:rPr>
                <w:b w:val="false"/>
                <w:bCs w:val="false"/>
                <w:sz w:val="20"/>
                <w:szCs w:val="20"/>
              </w:rPr>
              <w:t xml:space="preserve">System shall maintain a running balance per account, updated automatically by transaction activity.</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FR-4.4</w:t>
            </w:r>
          </w:p>
        </w:tc>
        <w:tc>
          <w:tcPr>
            <w:tcW w:type="dxa" w:w="6800"/>
            <w:tcMar>
              <w:top w:type="dxa" w:w="80"/>
              <w:left w:type="dxa" w:w="100"/>
              <w:bottom w:type="dxa" w:w="80"/>
              <w:right w:type="dxa" w:w="100"/>
            </w:tcMar>
            <w:vAlign w:val="center"/>
          </w:tcPr>
          <w:p>
            <w:r>
              <w:rPr>
                <w:b w:val="false"/>
                <w:bCs w:val="false"/>
                <w:sz w:val="20"/>
                <w:szCs w:val="20"/>
              </w:rPr>
              <w:t xml:space="preserve">User shall set a native currency for each account at creation time, defaulting to the user's preferred currency (FR-3.1) but independently selectable per account.</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3.5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FR-5.1</w:t>
            </w:r>
          </w:p>
        </w:tc>
        <w:tc>
          <w:tcPr>
            <w:tcW w:type="dxa" w:w="6800"/>
            <w:tcMar>
              <w:top w:type="dxa" w:w="80"/>
              <w:left w:type="dxa" w:w="100"/>
              <w:bottom w:type="dxa" w:w="80"/>
              <w:right w:type="dxa" w:w="100"/>
            </w:tcMar>
            <w:vAlign w:val="center"/>
          </w:tcPr>
          <w:p>
            <w:r>
              <w:rPr>
                <w:b w:val="false"/>
                <w:bCs w:val="false"/>
                <w:sz w:val="20"/>
                <w:szCs w:val="20"/>
              </w:rPr>
              <w:t xml:space="preserve">User shall create custom budget categories with an optional monthly limit.</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FR-5.2</w:t>
            </w:r>
          </w:p>
        </w:tc>
        <w:tc>
          <w:tcPr>
            <w:tcW w:type="dxa" w:w="6800"/>
            <w:tcMar>
              <w:top w:type="dxa" w:w="80"/>
              <w:left w:type="dxa" w:w="100"/>
              <w:bottom w:type="dxa" w:w="80"/>
              <w:right w:type="dxa" w:w="100"/>
            </w:tcMar>
            <w:vAlign w:val="center"/>
          </w:tcPr>
          <w:p>
            <w:r>
              <w:rPr>
                <w:b w:val="false"/>
                <w:bCs w:val="false"/>
                <w:sz w:val="20"/>
                <w:szCs w:val="20"/>
              </w:rPr>
              <w:t xml:space="preserve">User shall view, update, and delete only categories belonging to their own tenant.</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FR-5.3</w:t>
            </w:r>
          </w:p>
        </w:tc>
        <w:tc>
          <w:tcPr>
            <w:tcW w:type="dxa" w:w="6800"/>
            <w:tcMar>
              <w:top w:type="dxa" w:w="80"/>
              <w:left w:type="dxa" w:w="100"/>
              <w:bottom w:type="dxa" w:w="80"/>
              <w:right w:type="dxa" w:w="100"/>
            </w:tcMar>
            <w:vAlign w:val="center"/>
          </w:tcPr>
          <w:p>
            <w:r>
              <w:rPr>
                <w:b w:val="false"/>
                <w:bCs w:val="false"/>
                <w:sz w:val="20"/>
                <w:szCs w:val="20"/>
              </w:rPr>
              <w:t xml:space="preserve">System shall provide a default starter set of categories at signup, editable/removable by the user.</w:t>
            </w:r>
          </w:p>
        </w:tc>
        <w:tc>
          <w:tcPr>
            <w:tcW w:type="dxa" w:w="1160"/>
            <w:tcMar>
              <w:top w:type="dxa" w:w="80"/>
              <w:left w:type="dxa" w:w="100"/>
              <w:bottom w:type="dxa" w:w="80"/>
              <w:right w:type="dxa" w:w="100"/>
            </w:tcMar>
            <w:vAlign w:val="center"/>
          </w:tcPr>
          <w:p>
            <w:r>
              <w:rPr>
                <w:b w:val="false"/>
                <w:bCs w:val="false"/>
                <w:sz w:val="20"/>
                <w:szCs w:val="20"/>
              </w:rPr>
              <w:t xml:space="preserve">Should</w:t>
            </w:r>
          </w:p>
        </w:tc>
      </w:tr>
    </w:tbl>
    <w:p>
      <w:pPr>
        <w:spacing w:after="120"/>
      </w:pPr>
    </w:p>
    <w:p>
      <w:pPr>
        <w:pStyle w:val="Heading2"/>
        <w:spacing w:after="120" w:before="300"/>
      </w:pPr>
      <w:r>
        <w:t xml:space="preserve">3.6 Transactions</w:t>
      </w:r>
    </w:p>
    <w:p>
      <w:pPr>
        <w:spacing w:after="160"/>
      </w:pPr>
      <w:r>
        <w:t xml:space="preserve">GAP IDENTIFIED AND RESOLVED: the original design assumed a transaction's currency was implicitly whatever the account or user preference was set to. A user logging a purchase made abroad, or in a currency other than the account's native one, needs to state that explicitly rather than have it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FR-6.1</w:t>
            </w:r>
          </w:p>
        </w:tc>
        <w:tc>
          <w:tcPr>
            <w:tcW w:type="dxa" w:w="6800"/>
            <w:tcMar>
              <w:top w:type="dxa" w:w="80"/>
              <w:left w:type="dxa" w:w="100"/>
              <w:bottom w:type="dxa" w:w="80"/>
              <w:right w:type="dxa" w:w="100"/>
            </w:tcMar>
            <w:vAlign w:val="center"/>
          </w:tcPr>
          <w:p>
            <w:r>
              <w:rPr>
                <w:b w:val="false"/>
                <w:bCs w:val="false"/>
                <w:sz w:val="20"/>
                <w:szCs w:val="20"/>
              </w:rPr>
              <w:t xml:space="preserve">User shall log a transaction (amount, currency, type, category, account, date, note). The transaction's currency is set by the user at entry and is independent of the account's native currency (FR-4.4) — it is never inferred or defaulted silently.</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FR-6.2</w:t>
            </w:r>
          </w:p>
        </w:tc>
        <w:tc>
          <w:tcPr>
            <w:tcW w:type="dxa" w:w="6800"/>
            <w:tcMar>
              <w:top w:type="dxa" w:w="80"/>
              <w:left w:type="dxa" w:w="100"/>
              <w:bottom w:type="dxa" w:w="80"/>
              <w:right w:type="dxa" w:w="100"/>
            </w:tcMar>
            <w:vAlign w:val="center"/>
          </w:tcPr>
          <w:p>
            <w:r>
              <w:rPr>
                <w:b w:val="false"/>
                <w:bCs w:val="false"/>
                <w:sz w:val="20"/>
                <w:szCs w:val="20"/>
              </w:rPr>
              <w:t xml:space="preserve">System shall automatically adjust the associated account balance on create, update, and delete. Where a transaction's currency (FR-6.1) differs from its account's native currency (FR-4.4), the system shall convert the transaction amount into the account's native currency, using an exchange rate as of the transaction date, before applying it to the balance.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FR-6.3</w:t>
            </w:r>
          </w:p>
        </w:tc>
        <w:tc>
          <w:tcPr>
            <w:tcW w:type="dxa" w:w="6800"/>
            <w:tcMar>
              <w:top w:type="dxa" w:w="80"/>
              <w:left w:type="dxa" w:w="100"/>
              <w:bottom w:type="dxa" w:w="80"/>
              <w:right w:type="dxa" w:w="100"/>
            </w:tcMar>
            <w:vAlign w:val="center"/>
          </w:tcPr>
          <w:p>
            <w:r>
              <w:rPr>
                <w:b w:val="false"/>
                <w:bCs w:val="false"/>
                <w:sz w:val="20"/>
                <w:szCs w:val="20"/>
              </w:rPr>
              <w:t xml:space="preserve">System shall support paginated, filterable retrieval of transactions (date range, category, account).</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FR-6.4</w:t>
            </w:r>
          </w:p>
        </w:tc>
        <w:tc>
          <w:tcPr>
            <w:tcW w:type="dxa" w:w="6800"/>
            <w:tcMar>
              <w:top w:type="dxa" w:w="80"/>
              <w:left w:type="dxa" w:w="100"/>
              <w:bottom w:type="dxa" w:w="80"/>
              <w:right w:type="dxa" w:w="100"/>
            </w:tcMar>
            <w:vAlign w:val="center"/>
          </w:tcPr>
          <w:p>
            <w:r>
              <w:rPr>
                <w:b w:val="false"/>
                <w:bCs w:val="false"/>
                <w:sz w:val="20"/>
                <w:szCs w:val="20"/>
              </w:rPr>
              <w:t xml:space="preserve">System shall support bulk import of transactions via CSV, validated and scoped to the importing tenant.</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FR-6.5</w:t>
            </w:r>
          </w:p>
        </w:tc>
        <w:tc>
          <w:tcPr>
            <w:tcW w:type="dxa" w:w="6800"/>
            <w:tcMar>
              <w:top w:type="dxa" w:w="80"/>
              <w:left w:type="dxa" w:w="100"/>
              <w:bottom w:type="dxa" w:w="80"/>
              <w:right w:type="dxa" w:w="100"/>
            </w:tcMar>
            <w:vAlign w:val="center"/>
          </w:tcPr>
          <w:p>
            <w:r>
              <w:rPr>
                <w:b w:val="false"/>
                <w:bCs w:val="false"/>
                <w:sz w:val="20"/>
                <w:szCs w:val="20"/>
              </w:rPr>
              <w:t xml:space="preserve">System shall retain and display both the original amount/currency as entered by the user and the converted amount applied to the account balance, for any transaction where the two currencies differ.</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3.7 Recurring Bills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FR-7.1</w:t>
            </w:r>
          </w:p>
        </w:tc>
        <w:tc>
          <w:tcPr>
            <w:tcW w:type="dxa" w:w="6800"/>
            <w:tcMar>
              <w:top w:type="dxa" w:w="80"/>
              <w:left w:type="dxa" w:w="100"/>
              <w:bottom w:type="dxa" w:w="80"/>
              <w:right w:type="dxa" w:w="100"/>
            </w:tcMar>
            <w:vAlign w:val="center"/>
          </w:tcPr>
          <w:p>
            <w:r>
              <w:rPr>
                <w:b w:val="false"/>
                <w:bCs w:val="false"/>
                <w:sz w:val="20"/>
                <w:szCs w:val="20"/>
              </w:rPr>
              <w:t xml:space="preserve">User shall define a recurring bill (amount, category, account, frequency, due day).</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FR-7.2</w:t>
            </w:r>
          </w:p>
        </w:tc>
        <w:tc>
          <w:tcPr>
            <w:tcW w:type="dxa" w:w="6800"/>
            <w:tcMar>
              <w:top w:type="dxa" w:w="80"/>
              <w:left w:type="dxa" w:w="100"/>
              <w:bottom w:type="dxa" w:w="80"/>
              <w:right w:type="dxa" w:w="100"/>
            </w:tcMar>
            <w:vAlign w:val="center"/>
          </w:tcPr>
          <w:p>
            <w:r>
              <w:rPr>
                <w:b w:val="false"/>
                <w:bCs w:val="false"/>
                <w:sz w:val="20"/>
                <w:szCs w:val="20"/>
              </w:rPr>
              <w:t xml:space="preserve">System shall auto-generate a transaction on each bill's due date via an idempotent, retry-safe background job.</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FR-7.3</w:t>
            </w:r>
          </w:p>
        </w:tc>
        <w:tc>
          <w:tcPr>
            <w:tcW w:type="dxa" w:w="6800"/>
            <w:tcMar>
              <w:top w:type="dxa" w:w="80"/>
              <w:left w:type="dxa" w:w="100"/>
              <w:bottom w:type="dxa" w:w="80"/>
              <w:right w:type="dxa" w:w="100"/>
            </w:tcMar>
            <w:vAlign w:val="center"/>
          </w:tcPr>
          <w:p>
            <w:r>
              <w:rPr>
                <w:b w:val="false"/>
                <w:bCs w:val="false"/>
                <w:sz w:val="20"/>
                <w:szCs w:val="20"/>
              </w:rPr>
              <w:t xml:space="preserve">System shall notify the user when a bill is generated or becomes overdue.</w:t>
            </w:r>
          </w:p>
        </w:tc>
        <w:tc>
          <w:tcPr>
            <w:tcW w:type="dxa" w:w="1160"/>
            <w:tcMar>
              <w:top w:type="dxa" w:w="80"/>
              <w:left w:type="dxa" w:w="100"/>
              <w:bottom w:type="dxa" w:w="80"/>
              <w:right w:type="dxa" w:w="100"/>
            </w:tcMar>
            <w:vAlign w:val="center"/>
          </w:tcPr>
          <w:p>
            <w:r>
              <w:rPr>
                <w:b w:val="false"/>
                <w:bCs w:val="false"/>
                <w:sz w:val="20"/>
                <w:szCs w:val="20"/>
              </w:rPr>
              <w:t xml:space="preserve">Should</w:t>
            </w:r>
          </w:p>
        </w:tc>
      </w:tr>
    </w:tbl>
    <w:p>
      <w:pPr>
        <w:spacing w:after="120"/>
      </w:pPr>
    </w:p>
    <w:p>
      <w:pPr>
        <w:pStyle w:val="Heading2"/>
        <w:spacing w:after="120" w:before="300"/>
      </w:pPr>
      <w:r>
        <w:t xml:space="preserve">3.8 Savings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FR-8.1</w:t>
            </w:r>
          </w:p>
        </w:tc>
        <w:tc>
          <w:tcPr>
            <w:tcW w:type="dxa" w:w="6800"/>
            <w:tcMar>
              <w:top w:type="dxa" w:w="80"/>
              <w:left w:type="dxa" w:w="100"/>
              <w:bottom w:type="dxa" w:w="80"/>
              <w:right w:type="dxa" w:w="100"/>
            </w:tcMar>
            <w:vAlign w:val="center"/>
          </w:tcPr>
          <w:p>
            <w:r>
              <w:rPr>
                <w:b w:val="false"/>
                <w:bCs w:val="false"/>
                <w:sz w:val="20"/>
                <w:szCs w:val="20"/>
              </w:rPr>
              <w:t xml:space="preserve">User shall create a savings goal with a target amount and optional target date.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FR-8.2</w:t>
            </w:r>
          </w:p>
        </w:tc>
        <w:tc>
          <w:tcPr>
            <w:tcW w:type="dxa" w:w="6800"/>
            <w:tcMar>
              <w:top w:type="dxa" w:w="80"/>
              <w:left w:type="dxa" w:w="100"/>
              <w:bottom w:type="dxa" w:w="80"/>
              <w:right w:type="dxa" w:w="100"/>
            </w:tcMar>
            <w:vAlign w:val="center"/>
          </w:tcPr>
          <w:p>
            <w:r>
              <w:rPr>
                <w:b w:val="false"/>
                <w:bCs w:val="false"/>
                <w:sz w:val="20"/>
                <w:szCs w:val="20"/>
              </w:rPr>
              <w:t xml:space="preserve">System shall track progress toward each goal from linked account/transaction activity.</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3.9 Reports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FR-9.1</w:t>
            </w:r>
          </w:p>
        </w:tc>
        <w:tc>
          <w:tcPr>
            <w:tcW w:type="dxa" w:w="6800"/>
            <w:tcMar>
              <w:top w:type="dxa" w:w="80"/>
              <w:left w:type="dxa" w:w="100"/>
              <w:bottom w:type="dxa" w:w="80"/>
              <w:right w:type="dxa" w:w="100"/>
            </w:tcMar>
            <w:vAlign w:val="center"/>
          </w:tcPr>
          <w:p>
            <w:r>
              <w:rPr>
                <w:b w:val="false"/>
                <w:bCs w:val="false"/>
                <w:sz w:val="20"/>
                <w:szCs w:val="20"/>
              </w:rPr>
              <w:t xml:space="preserve">System shall provide spending-by-category reports for a specified date range.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FR-9.2</w:t>
            </w:r>
          </w:p>
        </w:tc>
        <w:tc>
          <w:tcPr>
            <w:tcW w:type="dxa" w:w="6800"/>
            <w:tcMar>
              <w:top w:type="dxa" w:w="80"/>
              <w:left w:type="dxa" w:w="100"/>
              <w:bottom w:type="dxa" w:w="80"/>
              <w:right w:type="dxa" w:w="100"/>
            </w:tcMar>
            <w:vAlign w:val="center"/>
          </w:tcPr>
          <w:p>
            <w:r>
              <w:rPr>
                <w:b w:val="false"/>
                <w:bCs w:val="false"/>
                <w:sz w:val="20"/>
                <w:szCs w:val="20"/>
              </w:rPr>
              <w:t xml:space="preserve">System shall provide income-vs-expense summaries.</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FR-9.3</w:t>
            </w:r>
          </w:p>
        </w:tc>
        <w:tc>
          <w:tcPr>
            <w:tcW w:type="dxa" w:w="6800"/>
            <w:tcMar>
              <w:top w:type="dxa" w:w="80"/>
              <w:left w:type="dxa" w:w="100"/>
              <w:bottom w:type="dxa" w:w="80"/>
              <w:right w:type="dxa" w:w="100"/>
            </w:tcMar>
            <w:vAlign w:val="center"/>
          </w:tcPr>
          <w:p>
            <w:r>
              <w:rPr>
                <w:b w:val="false"/>
                <w:bCs w:val="false"/>
                <w:sz w:val="20"/>
                <w:szCs w:val="20"/>
              </w:rPr>
              <w:t xml:space="preserve">System shall provide a net-worth calculation across all of a tenant's accounts.</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FR-9.4</w:t>
            </w:r>
          </w:p>
        </w:tc>
        <w:tc>
          <w:tcPr>
            <w:tcW w:type="dxa" w:w="6800"/>
            <w:tcMar>
              <w:top w:type="dxa" w:w="80"/>
              <w:left w:type="dxa" w:w="100"/>
              <w:bottom w:type="dxa" w:w="80"/>
              <w:right w:type="dxa" w:w="100"/>
            </w:tcMar>
            <w:vAlign w:val="center"/>
          </w:tcPr>
          <w:p>
            <w:r>
              <w:rPr>
                <w:b w:val="false"/>
                <w:bCs w:val="false"/>
                <w:sz w:val="20"/>
                <w:szCs w:val="20"/>
              </w:rPr>
              <w:t xml:space="preserve">All report queries shall be tenant-scoped at the query layer and verified by automated tests (Section 9).</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3.10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FR-10.1</w:t>
            </w:r>
          </w:p>
        </w:tc>
        <w:tc>
          <w:tcPr>
            <w:tcW w:type="dxa" w:w="6800"/>
            <w:tcMar>
              <w:top w:type="dxa" w:w="80"/>
              <w:left w:type="dxa" w:w="100"/>
              <w:bottom w:type="dxa" w:w="80"/>
              <w:right w:type="dxa" w:w="100"/>
            </w:tcMar>
            <w:vAlign w:val="center"/>
          </w:tcPr>
          <w:p>
            <w:r>
              <w:rPr>
                <w:b w:val="false"/>
                <w:bCs w:val="false"/>
                <w:sz w:val="20"/>
                <w:szCs w:val="20"/>
              </w:rPr>
              <w:t xml:space="preserve">System shall send transactional emails (verification, password reset, bill reminders).</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FR-10.2</w:t>
            </w:r>
          </w:p>
        </w:tc>
        <w:tc>
          <w:tcPr>
            <w:tcW w:type="dxa" w:w="6800"/>
            <w:tcMar>
              <w:top w:type="dxa" w:w="80"/>
              <w:left w:type="dxa" w:w="100"/>
              <w:bottom w:type="dxa" w:w="80"/>
              <w:right w:type="dxa" w:w="100"/>
            </w:tcMar>
            <w:vAlign w:val="center"/>
          </w:tcPr>
          <w:p>
            <w:r>
              <w:rPr>
                <w:b w:val="false"/>
                <w:bCs w:val="false"/>
                <w:sz w:val="20"/>
                <w:szCs w:val="20"/>
              </w:rPr>
              <w:t xml:space="preserve">System shall log all outbound notification attempts with delivery status.</w:t>
            </w:r>
          </w:p>
        </w:tc>
        <w:tc>
          <w:tcPr>
            <w:tcW w:type="dxa" w:w="1160"/>
            <w:tcMar>
              <w:top w:type="dxa" w:w="80"/>
              <w:left w:type="dxa" w:w="100"/>
              <w:bottom w:type="dxa" w:w="80"/>
              <w:right w:type="dxa" w:w="100"/>
            </w:tcMar>
            <w:vAlign w:val="center"/>
          </w:tcPr>
          <w:p>
            <w:r>
              <w:rPr>
                <w:b w:val="false"/>
                <w:bCs w:val="false"/>
                <w:sz w:val="20"/>
                <w:szCs w:val="20"/>
              </w:rPr>
              <w:t xml:space="preserve">Should</w:t>
            </w:r>
          </w:p>
        </w:tc>
      </w:tr>
    </w:tbl>
    <w:p>
      <w:pPr>
        <w:spacing w:after="120"/>
      </w:pPr>
    </w:p>
    <w:p>
      <w:pPr>
        <w:pStyle w:val="Heading2"/>
        <w:spacing w:after="120" w:before="300"/>
      </w:pPr>
      <w:r>
        <w:t xml:space="preserve">3.11 Admin &amp; Support Console</w:t>
      </w:r>
    </w:p>
    <w:p>
      <w:pPr>
        <w:spacing w:after="160"/>
      </w:pPr>
      <w:r>
        <w:t xml:space="preserve">GAP IDENTIFIED: the original design had no operational path for staff to support users without direct database access — unacceptable for a public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FR-11.1</w:t>
            </w:r>
          </w:p>
        </w:tc>
        <w:tc>
          <w:tcPr>
            <w:tcW w:type="dxa" w:w="6800"/>
            <w:tcMar>
              <w:top w:type="dxa" w:w="80"/>
              <w:left w:type="dxa" w:w="100"/>
              <w:bottom w:type="dxa" w:w="80"/>
              <w:right w:type="dxa" w:w="100"/>
            </w:tcMar>
            <w:vAlign w:val="center"/>
          </w:tcPr>
          <w:p>
            <w:r>
              <w:rPr>
                <w:b w:val="false"/>
                <w:bCs w:val="false"/>
                <w:sz w:val="20"/>
                <w:szCs w:val="20"/>
              </w:rPr>
              <w:t xml:space="preserve">System shall provide an internal admin interface for support staff to look up a tenant by email (read-only).</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FR-11.2</w:t>
            </w:r>
          </w:p>
        </w:tc>
        <w:tc>
          <w:tcPr>
            <w:tcW w:type="dxa" w:w="6800"/>
            <w:tcMar>
              <w:top w:type="dxa" w:w="80"/>
              <w:left w:type="dxa" w:w="100"/>
              <w:bottom w:type="dxa" w:w="80"/>
              <w:right w:type="dxa" w:w="100"/>
            </w:tcMar>
            <w:vAlign w:val="center"/>
          </w:tcPr>
          <w:p>
            <w:r>
              <w:rPr>
                <w:b w:val="false"/>
                <w:bCs w:val="false"/>
                <w:sz w:val="20"/>
                <w:szCs w:val="20"/>
              </w:rPr>
              <w:t xml:space="preserve">Every support-staff access to tenant data shall be logged with staff identity, timestamp, and reason.</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FR-11.3</w:t>
            </w:r>
          </w:p>
        </w:tc>
        <w:tc>
          <w:tcPr>
            <w:tcW w:type="dxa" w:w="6800"/>
            <w:tcMar>
              <w:top w:type="dxa" w:w="80"/>
              <w:left w:type="dxa" w:w="100"/>
              <w:bottom w:type="dxa" w:w="80"/>
              <w:right w:type="dxa" w:w="100"/>
            </w:tcMar>
            <w:vAlign w:val="center"/>
          </w:tcPr>
          <w:p>
            <w:r>
              <w:rPr>
                <w:b w:val="false"/>
                <w:bCs w:val="false"/>
                <w:sz w:val="20"/>
                <w:szCs w:val="20"/>
              </w:rPr>
              <w:t xml:space="preserve">Support access to tenant data shall require explicit, time-boxed elevation (not standing access).</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FR-11.4</w:t>
            </w:r>
          </w:p>
        </w:tc>
        <w:tc>
          <w:tcPr>
            <w:tcW w:type="dxa" w:w="6800"/>
            <w:tcMar>
              <w:top w:type="dxa" w:w="80"/>
              <w:left w:type="dxa" w:w="100"/>
              <w:bottom w:type="dxa" w:w="80"/>
              <w:right w:type="dxa" w:w="100"/>
            </w:tcMar>
            <w:vAlign w:val="center"/>
          </w:tcPr>
          <w:p>
            <w:r>
              <w:rPr>
                <w:b w:val="false"/>
                <w:bCs w:val="false"/>
                <w:sz w:val="20"/>
                <w:szCs w:val="20"/>
              </w:rPr>
              <w:t xml:space="preserve">System shall provide an internal dashboard of system health, error rates, and job queue status.</w:t>
            </w:r>
          </w:p>
        </w:tc>
        <w:tc>
          <w:tcPr>
            <w:tcW w:type="dxa" w:w="1160"/>
            <w:tcMar>
              <w:top w:type="dxa" w:w="80"/>
              <w:left w:type="dxa" w:w="100"/>
              <w:bottom w:type="dxa" w:w="80"/>
              <w:right w:type="dxa" w:w="100"/>
            </w:tcMar>
            <w:vAlign w:val="center"/>
          </w:tcPr>
          <w:p>
            <w:r>
              <w:rPr>
                <w:b w:val="false"/>
                <w:bCs w:val="false"/>
                <w:sz w:val="20"/>
                <w:szCs w:val="20"/>
              </w:rPr>
              <w:t xml:space="preserve">Should</w:t>
            </w:r>
          </w:p>
        </w:tc>
      </w:tr>
    </w:tbl>
    <w:p>
      <w:pPr>
        <w:spacing w:after="120"/>
      </w:pPr>
    </w:p>
    <w:p>
      <w:pPr>
        <w:pStyle w:val="Heading2"/>
        <w:spacing w:after="120" w:before="300"/>
      </w:pPr>
      <w:r>
        <w:t xml:space="preserve">3.12 Billing &amp; Subscription Management</w:t>
      </w:r>
    </w:p>
    <w:p>
      <w:pPr>
        <w:spacing w:after="160"/>
      </w:pPr>
      <w:r>
        <w:t xml:space="preserve">DECISION: rather than gating the whole platform behind payment, the subscription is scoped specifically to bank account linking (Section 3.14) — the feature that carries real, ongoing third-party connection cost. Manual financial tracking (accounts, categories, transactions, recurring bills, savings goals, reports — Sections 3.4–3.9) remains available with no payment required. This lets a new, unproven product earn trust before asking for both a card and bank credentials at once, and keeps cost and pricing aligned: the platform charges for the feature that costs it money to provide, not for basic budgeting. The assumptions below (a free trial period, single-plan pricing) are reasonable defaults, not confirmed business decisions; they should be reviewed against actual pricing strategy before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FR-12.1</w:t>
            </w:r>
          </w:p>
        </w:tc>
        <w:tc>
          <w:tcPr>
            <w:tcW w:type="dxa" w:w="6800"/>
            <w:tcMar>
              <w:top w:type="dxa" w:w="80"/>
              <w:left w:type="dxa" w:w="100"/>
              <w:bottom w:type="dxa" w:w="80"/>
              <w:right w:type="dxa" w:w="100"/>
            </w:tcMar>
            <w:vAlign w:val="center"/>
          </w:tcPr>
          <w:p>
            <w:r>
              <w:rPr>
                <w:b w:val="false"/>
                <w:bCs w:val="false"/>
                <w:sz w:val="20"/>
                <w:szCs w:val="20"/>
              </w:rPr>
              <w:t xml:space="preserve">System shall provide manual financial tracking (Sections 3.4–3.9) to every registered user at no charge; no subscription or payment shall be required to create accounts, log transactions, or view reports.</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FR-12.2</w:t>
            </w:r>
          </w:p>
        </w:tc>
        <w:tc>
          <w:tcPr>
            <w:tcW w:type="dxa" w:w="6800"/>
            <w:tcMar>
              <w:top w:type="dxa" w:w="80"/>
              <w:left w:type="dxa" w:w="100"/>
              <w:bottom w:type="dxa" w:w="80"/>
              <w:right w:type="dxa" w:w="100"/>
            </w:tcMar>
            <w:vAlign w:val="center"/>
          </w:tcPr>
          <w:p>
            <w:r>
              <w:rPr>
                <w:b w:val="false"/>
                <w:bCs w:val="false"/>
                <w:sz w:val="20"/>
                <w:szCs w:val="20"/>
              </w:rPr>
              <w:t xml:space="preserve">System shall require an active monthly subscription specifically for bank account linking and Gross Balance monitoring (Section 3.14); all other core functionality remains accessible without one, per FR-12.1.</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FR-12.3</w:t>
            </w:r>
          </w:p>
        </w:tc>
        <w:tc>
          <w:tcPr>
            <w:tcW w:type="dxa" w:w="6800"/>
            <w:tcMar>
              <w:top w:type="dxa" w:w="80"/>
              <w:left w:type="dxa" w:w="100"/>
              <w:bottom w:type="dxa" w:w="80"/>
              <w:right w:type="dxa" w:w="100"/>
            </w:tcMar>
            <w:vAlign w:val="center"/>
          </w:tcPr>
          <w:p>
            <w:r>
              <w:rPr>
                <w:b w:val="false"/>
                <w:bCs w:val="false"/>
                <w:sz w:val="20"/>
                <w:szCs w:val="20"/>
              </w:rPr>
              <w:t xml:space="preserve">System shall integrate a PCI-compliant third-party payment processor (e.g., Stripe) to handle all subscription billing, so the platform never directly handles or stores raw card data.</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FR-12.4</w:t>
            </w:r>
          </w:p>
        </w:tc>
        <w:tc>
          <w:tcPr>
            <w:tcW w:type="dxa" w:w="6800"/>
            <w:tcMar>
              <w:top w:type="dxa" w:w="80"/>
              <w:left w:type="dxa" w:w="100"/>
              <w:bottom w:type="dxa" w:w="80"/>
              <w:right w:type="dxa" w:w="100"/>
            </w:tcMar>
            <w:vAlign w:val="center"/>
          </w:tcPr>
          <w:p>
            <w:r>
              <w:rPr>
                <w:b w:val="false"/>
                <w:bCs w:val="false"/>
                <w:sz w:val="20"/>
                <w:szCs w:val="20"/>
              </w:rPr>
              <w:t xml:space="preserve">System shall bill the subscription automatically on a recurring monthly cycle and issue a receipt/invoice on each successful charge.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FR-12.5</w:t>
            </w:r>
          </w:p>
        </w:tc>
        <w:tc>
          <w:tcPr>
            <w:tcW w:type="dxa" w:w="6800"/>
            <w:tcMar>
              <w:top w:type="dxa" w:w="80"/>
              <w:left w:type="dxa" w:w="100"/>
              <w:bottom w:type="dxa" w:w="80"/>
              <w:right w:type="dxa" w:w="100"/>
            </w:tcMar>
            <w:vAlign w:val="center"/>
          </w:tcPr>
          <w:p>
            <w:r>
              <w:rPr>
                <w:b w:val="false"/>
                <w:bCs w:val="false"/>
                <w:sz w:val="20"/>
                <w:szCs w:val="20"/>
              </w:rPr>
              <w:t xml:space="preserve">System shall offer a defined free trial period (default assumption: 14 days) of bank-linking access before the first charge; the exact length is a pricing decision to confirm, not a fixed technical constraint.</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FR-12.6</w:t>
            </w:r>
          </w:p>
        </w:tc>
        <w:tc>
          <w:tcPr>
            <w:tcW w:type="dxa" w:w="6800"/>
            <w:tcMar>
              <w:top w:type="dxa" w:w="80"/>
              <w:left w:type="dxa" w:w="100"/>
              <w:bottom w:type="dxa" w:w="80"/>
              <w:right w:type="dxa" w:w="100"/>
            </w:tcMar>
            <w:vAlign w:val="center"/>
          </w:tcPr>
          <w:p>
            <w:r>
              <w:rPr>
                <w:b w:val="false"/>
                <w:bCs w:val="false"/>
                <w:sz w:val="20"/>
                <w:szCs w:val="20"/>
              </w:rPr>
              <w:t xml:space="preserve">On a failed payment, system shall retry per the payment processor's standard retry schedule, notify the user, and allow a grace period before restricting bank-linking access — avoiding immediate loss of access on a single failed charge.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FR-12.7</w:t>
            </w:r>
          </w:p>
        </w:tc>
        <w:tc>
          <w:tcPr>
            <w:tcW w:type="dxa" w:w="6800"/>
            <w:tcMar>
              <w:top w:type="dxa" w:w="80"/>
              <w:left w:type="dxa" w:w="100"/>
              <w:bottom w:type="dxa" w:w="80"/>
              <w:right w:type="dxa" w:w="100"/>
            </w:tcMar>
            <w:vAlign w:val="center"/>
          </w:tcPr>
          <w:p>
            <w:r>
              <w:rPr>
                <w:b w:val="false"/>
                <w:bCs w:val="false"/>
                <w:sz w:val="20"/>
                <w:szCs w:val="20"/>
              </w:rPr>
              <w:t xml:space="preserve">User shall be able to view their current subscription status, next billing date, and billing history at any time.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FR-12.8</w:t>
            </w:r>
          </w:p>
        </w:tc>
        <w:tc>
          <w:tcPr>
            <w:tcW w:type="dxa" w:w="6800"/>
            <w:tcMar>
              <w:top w:type="dxa" w:w="80"/>
              <w:left w:type="dxa" w:w="100"/>
              <w:bottom w:type="dxa" w:w="80"/>
              <w:right w:type="dxa" w:w="100"/>
            </w:tcMar>
            <w:vAlign w:val="center"/>
          </w:tcPr>
          <w:p>
            <w:r>
              <w:rPr>
                <w:b w:val="false"/>
                <w:bCs w:val="false"/>
                <w:sz w:val="20"/>
                <w:szCs w:val="20"/>
              </w:rPr>
              <w:t xml:space="preserve">User shall be able to cancel their subscription at any time; bank-linking access continues through the end of the already-paid billing cycle, after which the account reverts to free manual-tracking access (FR-12.1) rather than being locked out entirely. Refund policy for partial months is a business decision to confirm and document, not assumed here.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FR-12.9</w:t>
            </w:r>
          </w:p>
        </w:tc>
        <w:tc>
          <w:tcPr>
            <w:tcW w:type="dxa" w:w="6800"/>
            <w:tcMar>
              <w:top w:type="dxa" w:w="80"/>
              <w:left w:type="dxa" w:w="100"/>
              <w:bottom w:type="dxa" w:w="80"/>
              <w:right w:type="dxa" w:w="100"/>
            </w:tcMar>
            <w:vAlign w:val="center"/>
          </w:tcPr>
          <w:p>
            <w:r>
              <w:rPr>
                <w:b w:val="false"/>
                <w:bCs w:val="false"/>
                <w:sz w:val="20"/>
                <w:szCs w:val="20"/>
              </w:rPr>
              <w:t xml:space="preserve">System shall enforce API-level access control on bank-linking endpoints specifically, based on live subscription status (trialing, active, past due, canceled); manual-tracking endpoints are never gated by subscription status.</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3.13 Data Export, Import &amp; Portability</w:t>
      </w:r>
    </w:p>
    <w:p>
      <w:pPr>
        <w:spacing w:after="160"/>
      </w:pPr>
      <w:r>
        <w:t xml:space="preserve">GAP IDENTIFIED: required for GDPR/CCPA data-portability rights once serving the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FR-13.1</w:t>
            </w:r>
          </w:p>
        </w:tc>
        <w:tc>
          <w:tcPr>
            <w:tcW w:type="dxa" w:w="6800"/>
            <w:tcMar>
              <w:top w:type="dxa" w:w="80"/>
              <w:left w:type="dxa" w:w="100"/>
              <w:bottom w:type="dxa" w:w="80"/>
              <w:right w:type="dxa" w:w="100"/>
            </w:tcMar>
            <w:vAlign w:val="center"/>
          </w:tcPr>
          <w:p>
            <w:r>
              <w:rPr>
                <w:b w:val="false"/>
                <w:bCs w:val="false"/>
                <w:sz w:val="20"/>
                <w:szCs w:val="20"/>
              </w:rPr>
              <w:t xml:space="preserve">User shall be able to export all of their tenant data (accounts, transactions, categories, goals) as a machine-readable file (JSON/CSV).</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FR-13.2</w:t>
            </w:r>
          </w:p>
        </w:tc>
        <w:tc>
          <w:tcPr>
            <w:tcW w:type="dxa" w:w="6800"/>
            <w:tcMar>
              <w:top w:type="dxa" w:w="80"/>
              <w:left w:type="dxa" w:w="100"/>
              <w:bottom w:type="dxa" w:w="80"/>
              <w:right w:type="dxa" w:w="100"/>
            </w:tcMar>
            <w:vAlign w:val="center"/>
          </w:tcPr>
          <w:p>
            <w:r>
              <w:rPr>
                <w:b w:val="false"/>
                <w:bCs w:val="false"/>
                <w:sz w:val="20"/>
                <w:szCs w:val="20"/>
              </w:rPr>
              <w:t xml:space="preserve">System shall fulfill a data-export request within 30 days, per GDPR Article 20 / CCPA guidance.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FR-13.3</w:t>
            </w:r>
          </w:p>
        </w:tc>
        <w:tc>
          <w:tcPr>
            <w:tcW w:type="dxa" w:w="6800"/>
            <w:tcMar>
              <w:top w:type="dxa" w:w="80"/>
              <w:left w:type="dxa" w:w="100"/>
              <w:bottom w:type="dxa" w:w="80"/>
              <w:right w:type="dxa" w:w="100"/>
            </w:tcMar>
            <w:vAlign w:val="center"/>
          </w:tcPr>
          <w:p>
            <w:r>
              <w:rPr>
                <w:b w:val="false"/>
                <w:bCs w:val="false"/>
                <w:sz w:val="20"/>
                <w:szCs w:val="20"/>
              </w:rPr>
              <w:t xml:space="preserve">User shall be able to request full account deletion, triggering FR-1.3.</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3.14 Bank Account Aggregation &amp; Gross Balance Monitoring</w:t>
      </w:r>
    </w:p>
    <w:p>
      <w:pPr>
        <w:spacing w:after="160"/>
      </w:pPr>
      <w:r>
        <w:t xml:space="preserve">GAP IDENTIFIED AND RESOLVED: the original design assumed only manually entered financial data. Public users expect real bank visibility. This module adds read-only, cross-institution account monitoring, with an explicit, hard boundary against any payment or funds-movement capability, and an equally hard boundary against any party other than the bank-connection channel itself ever accessing the customer's financial data — see the callouts following the requirements table. Note: unlike manual tracking (Sections 3.4–3.9), this module requires an active subscription per FR-12.2.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FR-14.1</w:t>
            </w:r>
          </w:p>
        </w:tc>
        <w:tc>
          <w:tcPr>
            <w:tcW w:type="dxa" w:w="6800"/>
            <w:tcMar>
              <w:top w:type="dxa" w:w="80"/>
              <w:left w:type="dxa" w:w="100"/>
              <w:bottom w:type="dxa" w:w="80"/>
              <w:right w:type="dxa" w:w="100"/>
            </w:tcMar>
            <w:vAlign w:val="center"/>
          </w:tcPr>
          <w:p>
            <w:r>
              <w:rPr>
                <w:b w:val="false"/>
                <w:bCs w:val="false"/>
                <w:sz w:val="20"/>
                <w:szCs w:val="20"/>
              </w:rPr>
              <w:t xml:space="preserve">User shall be able to link one or more external bank accounts, across one or more financial institutions, for read-only balance and transaction monitoring.</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FR-14.2</w:t>
            </w:r>
          </w:p>
        </w:tc>
        <w:tc>
          <w:tcPr>
            <w:tcW w:type="dxa" w:w="6800"/>
            <w:tcMar>
              <w:top w:type="dxa" w:w="80"/>
              <w:left w:type="dxa" w:w="100"/>
              <w:bottom w:type="dxa" w:w="80"/>
              <w:right w:type="dxa" w:w="100"/>
            </w:tcMar>
            <w:vAlign w:val="center"/>
          </w:tcPr>
          <w:p>
            <w:r>
              <w:rPr>
                <w:b w:val="false"/>
                <w:bCs w:val="false"/>
                <w:sz w:val="20"/>
                <w:szCs w:val="20"/>
              </w:rPr>
              <w:t xml:space="preserve">System shall never receive, request, transmit, or store a user's online banking credentials; credential capture is delegated entirely to a bank-hosted or bank-regulated login flow, never to a screen operated by this platform or any partner.</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FR-14.3</w:t>
            </w:r>
          </w:p>
        </w:tc>
        <w:tc>
          <w:tcPr>
            <w:tcW w:type="dxa" w:w="6800"/>
            <w:tcMar>
              <w:top w:type="dxa" w:w="80"/>
              <w:left w:type="dxa" w:w="100"/>
              <w:bottom w:type="dxa" w:w="80"/>
              <w:right w:type="dxa" w:w="100"/>
            </w:tcMar>
            <w:vAlign w:val="center"/>
          </w:tcPr>
          <w:p>
            <w:r>
              <w:rPr>
                <w:b w:val="false"/>
                <w:bCs w:val="false"/>
                <w:sz w:val="20"/>
                <w:szCs w:val="20"/>
              </w:rPr>
              <w:t xml:space="preserve">System shall retrieve read-only balance and transaction data only, for each linked account. The system shall never request, store, or exercise any scope permitting payment initiation, funds transfer, or account modification at the originating institution.</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FR-14.4</w:t>
            </w:r>
          </w:p>
        </w:tc>
        <w:tc>
          <w:tcPr>
            <w:tcW w:type="dxa" w:w="6800"/>
            <w:tcMar>
              <w:top w:type="dxa" w:w="80"/>
              <w:left w:type="dxa" w:w="100"/>
              <w:bottom w:type="dxa" w:w="80"/>
              <w:right w:type="dxa" w:w="100"/>
            </w:tcMar>
            <w:vAlign w:val="center"/>
          </w:tcPr>
          <w:p>
            <w:r>
              <w:rPr>
                <w:b w:val="false"/>
                <w:bCs w:val="false"/>
                <w:sz w:val="20"/>
                <w:szCs w:val="20"/>
              </w:rPr>
              <w:t xml:space="preserve">System shall display a consolidated Gross Balance view, aggregating current balances across all of a tenant's linked accounts across all linked institutions, converted into the user's preferred currency (FR-3.1) per FR-14.13.</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FR-14.5</w:t>
            </w:r>
          </w:p>
        </w:tc>
        <w:tc>
          <w:tcPr>
            <w:tcW w:type="dxa" w:w="6800"/>
            <w:tcMar>
              <w:top w:type="dxa" w:w="80"/>
              <w:left w:type="dxa" w:w="100"/>
              <w:bottom w:type="dxa" w:w="80"/>
              <w:right w:type="dxa" w:w="100"/>
            </w:tcMar>
            <w:vAlign w:val="center"/>
          </w:tcPr>
          <w:p>
            <w:r>
              <w:rPr>
                <w:b w:val="false"/>
                <w:bCs w:val="false"/>
                <w:sz w:val="20"/>
                <w:szCs w:val="20"/>
              </w:rPr>
              <w:t xml:space="preserve">System shall periodically synchronize balance and transaction data per linked account (scheduled pull and/or provider webhook push) into a read-only aggregated view, without altering manually entered data (Sections 3.4, 3.6).</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FR-14.6</w:t>
            </w:r>
          </w:p>
        </w:tc>
        <w:tc>
          <w:tcPr>
            <w:tcW w:type="dxa" w:w="6800"/>
            <w:tcMar>
              <w:top w:type="dxa" w:w="80"/>
              <w:left w:type="dxa" w:w="100"/>
              <w:bottom w:type="dxa" w:w="80"/>
              <w:right w:type="dxa" w:w="100"/>
            </w:tcMar>
            <w:vAlign w:val="center"/>
          </w:tcPr>
          <w:p>
            <w:r>
              <w:rPr>
                <w:b w:val="false"/>
                <w:bCs w:val="false"/>
                <w:sz w:val="20"/>
                <w:szCs w:val="20"/>
              </w:rPr>
              <w:t xml:space="preserve">User shall be able to view, per linked account: institution name, account type, masked account number (last 4 digits only), current balance, and recent transaction history.</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FR-14.7</w:t>
            </w:r>
          </w:p>
        </w:tc>
        <w:tc>
          <w:tcPr>
            <w:tcW w:type="dxa" w:w="6800"/>
            <w:tcMar>
              <w:top w:type="dxa" w:w="80"/>
              <w:left w:type="dxa" w:w="100"/>
              <w:bottom w:type="dxa" w:w="80"/>
              <w:right w:type="dxa" w:w="100"/>
            </w:tcMar>
            <w:vAlign w:val="center"/>
          </w:tcPr>
          <w:p>
            <w:r>
              <w:rPr>
                <w:b w:val="false"/>
                <w:bCs w:val="false"/>
                <w:sz w:val="20"/>
                <w:szCs w:val="20"/>
              </w:rPr>
              <w:t xml:space="preserve">User shall be able to unlink any bank account at any time; unlinking shall immediately revoke the associated access credential at the connection channel and purge locally cached transaction detail beyond an aggregate historical summary.</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FR-14.8</w:t>
            </w:r>
          </w:p>
        </w:tc>
        <w:tc>
          <w:tcPr>
            <w:tcW w:type="dxa" w:w="6800"/>
            <w:tcMar>
              <w:top w:type="dxa" w:w="80"/>
              <w:left w:type="dxa" w:w="100"/>
              <w:bottom w:type="dxa" w:w="80"/>
              <w:right w:type="dxa" w:w="100"/>
            </w:tcMar>
            <w:vAlign w:val="center"/>
          </w:tcPr>
          <w:p>
            <w:r>
              <w:rPr>
                <w:b w:val="false"/>
                <w:bCs w:val="false"/>
                <w:sz w:val="20"/>
                <w:szCs w:val="20"/>
              </w:rPr>
              <w:t xml:space="preserve">System shall re-request user consent per the applicable regulator's (and, where used, connection provider's) re-authentication window (e.g., every 90 days) and shall suspend syncing for any account with lapsed consent until re-authorized.</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FR-14.9</w:t>
            </w:r>
          </w:p>
        </w:tc>
        <w:tc>
          <w:tcPr>
            <w:tcW w:type="dxa" w:w="6800"/>
            <w:tcMar>
              <w:top w:type="dxa" w:w="80"/>
              <w:left w:type="dxa" w:w="100"/>
              <w:bottom w:type="dxa" w:w="80"/>
              <w:right w:type="dxa" w:w="100"/>
            </w:tcMar>
            <w:vAlign w:val="center"/>
          </w:tcPr>
          <w:p>
            <w:r>
              <w:rPr>
                <w:b w:val="false"/>
                <w:bCs w:val="false"/>
                <w:sz w:val="20"/>
                <w:szCs w:val="20"/>
              </w:rPr>
              <w:t xml:space="preserve">System shall clearly label all linked-account data in the UI/API as read-only / monitoring-only, so no user reasonably expects transactional or payment capability.</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FR-14.10</w:t>
            </w:r>
          </w:p>
        </w:tc>
        <w:tc>
          <w:tcPr>
            <w:tcW w:type="dxa" w:w="6800"/>
            <w:tcMar>
              <w:top w:type="dxa" w:w="80"/>
              <w:left w:type="dxa" w:w="100"/>
              <w:bottom w:type="dxa" w:w="80"/>
              <w:right w:type="dxa" w:w="100"/>
            </w:tcMar>
            <w:vAlign w:val="center"/>
          </w:tcPr>
          <w:p>
            <w:r>
              <w:rPr>
                <w:b w:val="false"/>
                <w:bCs w:val="false"/>
                <w:sz w:val="20"/>
                <w:szCs w:val="20"/>
              </w:rPr>
              <w:t xml:space="preserve">For each institution, system shall prefer a direct, regulated bank API connection (the platform acting as its own licensed Account Information Service) where the bank offers one. Only where no such direct connection exists shall the system fall back to a certified third-party aggregation provider, and this fallback shall be visibly disclosed to the user at the point of linking, naming the provider.</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FR-14.11</w:t>
            </w:r>
          </w:p>
        </w:tc>
        <w:tc>
          <w:tcPr>
            <w:tcW w:type="dxa" w:w="6800"/>
            <w:tcMar>
              <w:top w:type="dxa" w:w="80"/>
              <w:left w:type="dxa" w:w="100"/>
              <w:bottom w:type="dxa" w:w="80"/>
              <w:right w:type="dxa" w:w="100"/>
            </w:tcMar>
            <w:vAlign w:val="center"/>
          </w:tcPr>
          <w:p>
            <w:r>
              <w:rPr>
                <w:b w:val="false"/>
                <w:bCs w:val="false"/>
                <w:sz w:val="20"/>
                <w:szCs w:val="20"/>
              </w:rPr>
              <w:t xml:space="preserve">Whichever connection method is used per FR-14.10, that channel's access shall be scoped strictly to enabling transaction/balance retrieval for this feature. The customer's financial data shall never be sold, licensed, shared, or otherwise exposed to any other third party — including analytics vendors, advertising networks, data brokers, or the connection provider's own product or research purposes.</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FR-14.12</w:t>
            </w:r>
          </w:p>
        </w:tc>
        <w:tc>
          <w:tcPr>
            <w:tcW w:type="dxa" w:w="6800"/>
            <w:tcMar>
              <w:top w:type="dxa" w:w="80"/>
              <w:left w:type="dxa" w:w="100"/>
              <w:bottom w:type="dxa" w:w="80"/>
              <w:right w:type="dxa" w:w="100"/>
            </w:tcMar>
            <w:vAlign w:val="center"/>
          </w:tcPr>
          <w:p>
            <w:r>
              <w:rPr>
                <w:b w:val="false"/>
                <w:bCs w:val="false"/>
                <w:sz w:val="20"/>
                <w:szCs w:val="20"/>
              </w:rPr>
              <w:t xml:space="preserve">Any third-party connection provider used under FR-14.10 shall be bound by a signed Data Processing Agreement prohibiting resale, secondary use, or indefinite retention of the customer's data, before it is used in production.</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FR-14.13</w:t>
            </w:r>
          </w:p>
        </w:tc>
        <w:tc>
          <w:tcPr>
            <w:tcW w:type="dxa" w:w="6800"/>
            <w:tcMar>
              <w:top w:type="dxa" w:w="80"/>
              <w:left w:type="dxa" w:w="100"/>
              <w:bottom w:type="dxa" w:w="80"/>
              <w:right w:type="dxa" w:w="100"/>
            </w:tcMar>
            <w:vAlign w:val="center"/>
          </w:tcPr>
          <w:p>
            <w:r>
              <w:rPr>
                <w:b w:val="false"/>
                <w:bCs w:val="false"/>
                <w:sz w:val="20"/>
                <w:szCs w:val="20"/>
              </w:rPr>
              <w:t xml:space="preserve">System shall convert each account's balance (linked or manually entered, Sections 3.4/3.14) from its native currency into the user's preferred currency (FR-3.1) when computing the Gross Balance total, using rates from a reliable exchange-rate data source refreshed at least once every 24 hours.</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FR-14.14</w:t>
            </w:r>
          </w:p>
        </w:tc>
        <w:tc>
          <w:tcPr>
            <w:tcW w:type="dxa" w:w="6800"/>
            <w:tcMar>
              <w:top w:type="dxa" w:w="80"/>
              <w:left w:type="dxa" w:w="100"/>
              <w:bottom w:type="dxa" w:w="80"/>
              <w:right w:type="dxa" w:w="100"/>
            </w:tcMar>
            <w:vAlign w:val="center"/>
          </w:tcPr>
          <w:p>
            <w:r>
              <w:rPr>
                <w:b w:val="false"/>
                <w:bCs w:val="false"/>
                <w:sz w:val="20"/>
                <w:szCs w:val="20"/>
              </w:rPr>
              <w:t xml:space="preserve">Gross Balance view shall display both the converted total in the user's preferred currency and each account's original balance in its native currency, along with the exchange rate and as-of timestamp used, so the conversion is transparent rather than opaque.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FR-14.15</w:t>
            </w:r>
          </w:p>
        </w:tc>
        <w:tc>
          <w:tcPr>
            <w:tcW w:type="dxa" w:w="6800"/>
            <w:tcMar>
              <w:top w:type="dxa" w:w="80"/>
              <w:left w:type="dxa" w:w="100"/>
              <w:bottom w:type="dxa" w:w="80"/>
              <w:right w:type="dxa" w:w="100"/>
            </w:tcMar>
            <w:vAlign w:val="center"/>
          </w:tcPr>
          <w:p>
            <w:r>
              <w:rPr>
                <w:b w:val="false"/>
                <w:bCs w:val="false"/>
                <w:sz w:val="20"/>
                <w:szCs w:val="20"/>
              </w:rPr>
              <w:t xml:space="preserve">Currency conversion is for display and aggregation purposes only; it shall not create, imply, or be represented as suitable for any transactional, tax, or accounting purpose.</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spacing w:after="120"/>
      </w:pPr>
      <w:r>
        <w:rPr>
          <w:b/>
          <w:bCs/>
        </w:rPr>
        <w:t xml:space="preserve">Explicit Out-of-Scope Statement</w:t>
      </w:r>
    </w:p>
    <w:p>
      <w:pPr>
        <w:spacing w:after="160"/>
      </w:pPr>
      <w:r>
        <w:t xml:space="preserve">This platform is, and will remain, a monitoring-only consumer of external bank data. It shall never implement, request, or expose functionality to pay into or out of a linked bank account. Any future payment-initiation capability would be a distinct, separately reviewed feature requiring its own regulatory assessment (see Section 8.4) and is explicitly outside the scope of this SRS.</w:t>
      </w:r>
    </w:p>
    <w:p>
      <w:pPr>
        <w:spacing w:after="120"/>
      </w:pPr>
    </w:p>
    <w:p>
      <w:pPr>
        <w:spacing w:after="120"/>
      </w:pPr>
      <w:r>
        <w:rPr>
          <w:b/>
          <w:bCs/>
        </w:rPr>
        <w:t xml:space="preserve">Third-Party Data Sharing Boundary</w:t>
      </w:r>
    </w:p>
    <w:p>
      <w:pPr>
        <w:spacing w:after="160"/>
      </w:pPr>
      <w:r>
        <w:t xml:space="preserve">The only external party ever involved in this feature that receives customer financial data is the bank-connection channel itself (a direct bank API or, where unavailable, a certified aggregation provider, per FR-14.10) — and its role is limited purely to enabling the technical connection. No other third party of any kind shall have access to a customer's financial data at any point in this system. The exchange-rate data source used for FR-14.13 is a narrow exception in form only, not in substance: it receives generic currency-pair queries (e.g., "USD/GBP") only, and is never sent any customer-identifying or account data — so it does not access customer data and falls outside this boundary rather than inside it. This boundary exists because it is a documented industry risk, not a theoretical one: financial data aggregation providers have previously faced significant legal and regulatory consequences for collecting more data than necessary and monetizing it without adequate consumer consent. FR-14.10 through FR-14.12 and Section 5.9 exist specifically to prevent that pattern here.</w:t>
      </w:r>
    </w:p>
    <w:p>
      <w:pPr>
        <w:pStyle w:val="Heading1"/>
        <w:pageBreakBefore/>
        <w:spacing w:after="200"/>
      </w:pPr>
      <w:r>
        <w:t xml:space="preserve">4. External Interface Requirements</w:t>
      </w:r>
    </w:p>
    <w:p>
      <w:pPr>
        <w:pStyle w:val="Heading2"/>
        <w:spacing w:after="120" w:before="300"/>
      </w:pPr>
      <w:r>
        <w:t xml:space="preserve">4.1 User Interfaces</w:t>
      </w:r>
    </w:p>
    <w:p>
      <w:pPr>
        <w:spacing w:after="160"/>
      </w:pPr>
      <w:r>
        <w:t xml:space="preserve">Interactive API documentation is auto-generated and served at /docs (Swagger UI) and /redoc. An internal, separately authenticated admin console (Section 3.11) is out of scope for the public API surface.</w:t>
      </w:r>
    </w:p>
    <w:p>
      <w:pPr>
        <w:pStyle w:val="Heading2"/>
        <w:spacing w:after="120" w:before="300"/>
      </w:pPr>
      <w:r>
        <w:t xml:space="preserve">4.2 API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D9D9" w:color="auto" w:val="clear"/>
            <w:tcMar>
              <w:top w:type="dxa" w:w="80"/>
              <w:left w:type="dxa" w:w="100"/>
              <w:bottom w:type="dxa" w:w="80"/>
              <w:right w:type="dxa" w:w="100"/>
            </w:tcMar>
            <w:vAlign w:val="center"/>
          </w:tcPr>
          <w:p>
            <w:r>
              <w:rPr>
                <w:b/>
                <w:bCs/>
                <w:sz w:val="20"/>
                <w:szCs w:val="20"/>
              </w:rPr>
              <w:t xml:space="preserve">Router</w:t>
            </w:r>
          </w:p>
        </w:tc>
        <w:tc>
          <w:tcPr>
            <w:tcW w:type="dxa" w:w="7160"/>
            <w:shd w:fill="D9D9D9" w:color="auto" w:val="clear"/>
            <w:tcMar>
              <w:top w:type="dxa" w:w="80"/>
              <w:left w:type="dxa" w:w="100"/>
              <w:bottom w:type="dxa" w:w="80"/>
              <w:right w:type="dxa" w:w="100"/>
            </w:tcMar>
            <w:vAlign w:val="center"/>
          </w:tcPr>
          <w:p>
            <w:r>
              <w:rPr>
                <w:b/>
                <w:bCs/>
                <w:sz w:val="20"/>
                <w:szCs w:val="20"/>
              </w:rPr>
              <w:t xml:space="preserve">Representative Endpoints</w:t>
            </w:r>
          </w:p>
        </w:tc>
      </w:tr>
      <w:tr>
        <w:tc>
          <w:tcPr>
            <w:tcW w:type="dxa" w:w="2200"/>
            <w:tcMar>
              <w:top w:type="dxa" w:w="80"/>
              <w:left w:type="dxa" w:w="100"/>
              <w:bottom w:type="dxa" w:w="80"/>
              <w:right w:type="dxa" w:w="100"/>
            </w:tcMar>
            <w:vAlign w:val="center"/>
          </w:tcPr>
          <w:p>
            <w:r>
              <w:rPr>
                <w:b w:val="false"/>
                <w:bCs w:val="false"/>
                <w:sz w:val="20"/>
                <w:szCs w:val="20"/>
              </w:rPr>
              <w:t xml:space="preserve">auth</w:t>
            </w:r>
          </w:p>
        </w:tc>
        <w:tc>
          <w:tcPr>
            <w:tcW w:type="dxa" w:w="7160"/>
            <w:tcMar>
              <w:top w:type="dxa" w:w="80"/>
              <w:left w:type="dxa" w:w="100"/>
              <w:bottom w:type="dxa" w:w="80"/>
              <w:right w:type="dxa" w:w="100"/>
            </w:tcMar>
            <w:vAlign w:val="center"/>
          </w:tcPr>
          <w:p>
            <w:r>
              <w:rPr>
                <w:b w:val="false"/>
                <w:bCs w:val="false"/>
                <w:sz w:val="20"/>
                <w:szCs w:val="20"/>
              </w:rPr>
              <w:t xml:space="preserve">POST /auth/signup, /auth/login, /auth/refresh, /auth/verify-email, /auth/forgot-password, /auth/reset-password</w:t>
            </w:r>
          </w:p>
        </w:tc>
      </w:tr>
      <w:tr>
        <w:tc>
          <w:tcPr>
            <w:tcW w:type="dxa" w:w="2200"/>
            <w:tcMar>
              <w:top w:type="dxa" w:w="80"/>
              <w:left w:type="dxa" w:w="100"/>
              <w:bottom w:type="dxa" w:w="80"/>
              <w:right w:type="dxa" w:w="100"/>
            </w:tcMar>
            <w:vAlign w:val="center"/>
          </w:tcPr>
          <w:p>
            <w:r>
              <w:rPr>
                <w:b w:val="false"/>
                <w:bCs w:val="false"/>
                <w:sz w:val="20"/>
                <w:szCs w:val="20"/>
              </w:rPr>
              <w:t xml:space="preserve">accounts</w:t>
            </w:r>
          </w:p>
        </w:tc>
        <w:tc>
          <w:tcPr>
            <w:tcW w:type="dxa" w:w="7160"/>
            <w:tcMar>
              <w:top w:type="dxa" w:w="80"/>
              <w:left w:type="dxa" w:w="100"/>
              <w:bottom w:type="dxa" w:w="80"/>
              <w:right w:type="dxa" w:w="100"/>
            </w:tcMar>
            <w:vAlign w:val="center"/>
          </w:tcPr>
          <w:p>
            <w:r>
              <w:rPr>
                <w:b w:val="false"/>
                <w:bCs w:val="false"/>
                <w:sz w:val="20"/>
                <w:szCs w:val="20"/>
              </w:rPr>
              <w:t xml:space="preserve">GET/POST /accounts, GET/PUT/DELETE /accounts/{id}</w:t>
            </w:r>
          </w:p>
        </w:tc>
      </w:tr>
      <w:tr>
        <w:tc>
          <w:tcPr>
            <w:tcW w:type="dxa" w:w="2200"/>
            <w:tcMar>
              <w:top w:type="dxa" w:w="80"/>
              <w:left w:type="dxa" w:w="100"/>
              <w:bottom w:type="dxa" w:w="80"/>
              <w:right w:type="dxa" w:w="100"/>
            </w:tcMar>
            <w:vAlign w:val="center"/>
          </w:tcPr>
          <w:p>
            <w:r>
              <w:rPr>
                <w:b w:val="false"/>
                <w:bCs w:val="false"/>
                <w:sz w:val="20"/>
                <w:szCs w:val="20"/>
              </w:rPr>
              <w:t xml:space="preserve">categories</w:t>
            </w:r>
          </w:p>
        </w:tc>
        <w:tc>
          <w:tcPr>
            <w:tcW w:type="dxa" w:w="7160"/>
            <w:tcMar>
              <w:top w:type="dxa" w:w="80"/>
              <w:left w:type="dxa" w:w="100"/>
              <w:bottom w:type="dxa" w:w="80"/>
              <w:right w:type="dxa" w:w="100"/>
            </w:tcMar>
            <w:vAlign w:val="center"/>
          </w:tcPr>
          <w:p>
            <w:r>
              <w:rPr>
                <w:b w:val="false"/>
                <w:bCs w:val="false"/>
                <w:sz w:val="20"/>
                <w:szCs w:val="20"/>
              </w:rPr>
              <w:t xml:space="preserve">GET/POST /categories, GET/PUT/DELETE /categories/{id}</w:t>
            </w:r>
          </w:p>
        </w:tc>
      </w:tr>
      <w:tr>
        <w:tc>
          <w:tcPr>
            <w:tcW w:type="dxa" w:w="2200"/>
            <w:tcMar>
              <w:top w:type="dxa" w:w="80"/>
              <w:left w:type="dxa" w:w="100"/>
              <w:bottom w:type="dxa" w:w="80"/>
              <w:right w:type="dxa" w:w="100"/>
            </w:tcMar>
            <w:vAlign w:val="center"/>
          </w:tcPr>
          <w:p>
            <w:r>
              <w:rPr>
                <w:b w:val="false"/>
                <w:bCs w:val="false"/>
                <w:sz w:val="20"/>
                <w:szCs w:val="20"/>
              </w:rPr>
              <w:t xml:space="preserve">transactions</w:t>
            </w:r>
          </w:p>
        </w:tc>
        <w:tc>
          <w:tcPr>
            <w:tcW w:type="dxa" w:w="7160"/>
            <w:tcMar>
              <w:top w:type="dxa" w:w="80"/>
              <w:left w:type="dxa" w:w="100"/>
              <w:bottom w:type="dxa" w:w="80"/>
              <w:right w:type="dxa" w:w="100"/>
            </w:tcMar>
            <w:vAlign w:val="center"/>
          </w:tcPr>
          <w:p>
            <w:r>
              <w:rPr>
                <w:b w:val="false"/>
                <w:bCs w:val="false"/>
                <w:sz w:val="20"/>
                <w:szCs w:val="20"/>
              </w:rPr>
              <w:t xml:space="preserve">GET/POST /transactions (paginated), GET/PUT/DELETE /transactions/{id}, POST /transactions/import</w:t>
            </w:r>
          </w:p>
        </w:tc>
      </w:tr>
      <w:tr>
        <w:tc>
          <w:tcPr>
            <w:tcW w:type="dxa" w:w="2200"/>
            <w:tcMar>
              <w:top w:type="dxa" w:w="80"/>
              <w:left w:type="dxa" w:w="100"/>
              <w:bottom w:type="dxa" w:w="80"/>
              <w:right w:type="dxa" w:w="100"/>
            </w:tcMar>
            <w:vAlign w:val="center"/>
          </w:tcPr>
          <w:p>
            <w:r>
              <w:rPr>
                <w:b w:val="false"/>
                <w:bCs w:val="false"/>
                <w:sz w:val="20"/>
                <w:szCs w:val="20"/>
              </w:rPr>
              <w:t xml:space="preserve">recurring_bills</w:t>
            </w:r>
          </w:p>
        </w:tc>
        <w:tc>
          <w:tcPr>
            <w:tcW w:type="dxa" w:w="7160"/>
            <w:tcMar>
              <w:top w:type="dxa" w:w="80"/>
              <w:left w:type="dxa" w:w="100"/>
              <w:bottom w:type="dxa" w:w="80"/>
              <w:right w:type="dxa" w:w="100"/>
            </w:tcMar>
            <w:vAlign w:val="center"/>
          </w:tcPr>
          <w:p>
            <w:r>
              <w:rPr>
                <w:b w:val="false"/>
                <w:bCs w:val="false"/>
                <w:sz w:val="20"/>
                <w:szCs w:val="20"/>
              </w:rPr>
              <w:t xml:space="preserve">GET/POST /recurring-bills, GET/PUT/DELETE /recurring-bills/{id}</w:t>
            </w:r>
          </w:p>
        </w:tc>
      </w:tr>
      <w:tr>
        <w:tc>
          <w:tcPr>
            <w:tcW w:type="dxa" w:w="2200"/>
            <w:tcMar>
              <w:top w:type="dxa" w:w="80"/>
              <w:left w:type="dxa" w:w="100"/>
              <w:bottom w:type="dxa" w:w="80"/>
              <w:right w:type="dxa" w:w="100"/>
            </w:tcMar>
            <w:vAlign w:val="center"/>
          </w:tcPr>
          <w:p>
            <w:r>
              <w:rPr>
                <w:b w:val="false"/>
                <w:bCs w:val="false"/>
                <w:sz w:val="20"/>
                <w:szCs w:val="20"/>
              </w:rPr>
              <w:t xml:space="preserve">savings_goals</w:t>
            </w:r>
          </w:p>
        </w:tc>
        <w:tc>
          <w:tcPr>
            <w:tcW w:type="dxa" w:w="7160"/>
            <w:tcMar>
              <w:top w:type="dxa" w:w="80"/>
              <w:left w:type="dxa" w:w="100"/>
              <w:bottom w:type="dxa" w:w="80"/>
              <w:right w:type="dxa" w:w="100"/>
            </w:tcMar>
            <w:vAlign w:val="center"/>
          </w:tcPr>
          <w:p>
            <w:r>
              <w:rPr>
                <w:b w:val="false"/>
                <w:bCs w:val="false"/>
                <w:sz w:val="20"/>
                <w:szCs w:val="20"/>
              </w:rPr>
              <w:t xml:space="preserve">GET/POST /savings-goals, GET/PUT/DELETE /savings-goals/{id}</w:t>
            </w:r>
          </w:p>
        </w:tc>
      </w:tr>
      <w:tr>
        <w:tc>
          <w:tcPr>
            <w:tcW w:type="dxa" w:w="2200"/>
            <w:tcMar>
              <w:top w:type="dxa" w:w="80"/>
              <w:left w:type="dxa" w:w="100"/>
              <w:bottom w:type="dxa" w:w="80"/>
              <w:right w:type="dxa" w:w="100"/>
            </w:tcMar>
            <w:vAlign w:val="center"/>
          </w:tcPr>
          <w:p>
            <w:r>
              <w:rPr>
                <w:b w:val="false"/>
                <w:bCs w:val="false"/>
                <w:sz w:val="20"/>
                <w:szCs w:val="20"/>
              </w:rPr>
              <w:t xml:space="preserve">reports</w:t>
            </w:r>
          </w:p>
        </w:tc>
        <w:tc>
          <w:tcPr>
            <w:tcW w:type="dxa" w:w="7160"/>
            <w:tcMar>
              <w:top w:type="dxa" w:w="80"/>
              <w:left w:type="dxa" w:w="100"/>
              <w:bottom w:type="dxa" w:w="80"/>
              <w:right w:type="dxa" w:w="100"/>
            </w:tcMar>
            <w:vAlign w:val="center"/>
          </w:tcPr>
          <w:p>
            <w:r>
              <w:rPr>
                <w:b w:val="false"/>
                <w:bCs w:val="false"/>
                <w:sz w:val="20"/>
                <w:szCs w:val="20"/>
              </w:rPr>
              <w:t xml:space="preserve">GET /reports/spending-by-category, /income-vs-expense, /net-worth</w:t>
            </w:r>
          </w:p>
        </w:tc>
      </w:tr>
      <w:tr>
        <w:tc>
          <w:tcPr>
            <w:tcW w:type="dxa" w:w="2200"/>
            <w:tcMar>
              <w:top w:type="dxa" w:w="80"/>
              <w:left w:type="dxa" w:w="100"/>
              <w:bottom w:type="dxa" w:w="80"/>
              <w:right w:type="dxa" w:w="100"/>
            </w:tcMar>
            <w:vAlign w:val="center"/>
          </w:tcPr>
          <w:p>
            <w:r>
              <w:rPr>
                <w:b w:val="false"/>
                <w:bCs w:val="false"/>
                <w:sz w:val="20"/>
                <w:szCs w:val="20"/>
              </w:rPr>
              <w:t xml:space="preserve">bank_links</w:t>
            </w:r>
          </w:p>
        </w:tc>
        <w:tc>
          <w:tcPr>
            <w:tcW w:type="dxa" w:w="7160"/>
            <w:tcMar>
              <w:top w:type="dxa" w:w="80"/>
              <w:left w:type="dxa" w:w="100"/>
              <w:bottom w:type="dxa" w:w="80"/>
              <w:right w:type="dxa" w:w="100"/>
            </w:tcMar>
            <w:vAlign w:val="center"/>
          </w:tcPr>
          <w:p>
            <w:r>
              <w:rPr>
                <w:b w:val="false"/>
                <w:bCs w:val="false"/>
                <w:sz w:val="20"/>
                <w:szCs w:val="20"/>
              </w:rPr>
              <w:t xml:space="preserve">POST /bank-links (initiate link), GET /bank-links (list linked accounts), GET /bank-links/gross-balance, DELETE /bank-links/{id} (unlink), POST /webhooks/aggregator (provider webhook, internal)</w:t>
            </w:r>
          </w:p>
        </w:tc>
      </w:tr>
      <w:tr>
        <w:tc>
          <w:tcPr>
            <w:tcW w:type="dxa" w:w="2200"/>
            <w:tcMar>
              <w:top w:type="dxa" w:w="80"/>
              <w:left w:type="dxa" w:w="100"/>
              <w:bottom w:type="dxa" w:w="80"/>
              <w:right w:type="dxa" w:w="100"/>
            </w:tcMar>
            <w:vAlign w:val="center"/>
          </w:tcPr>
          <w:p>
            <w:r>
              <w:rPr>
                <w:b w:val="false"/>
                <w:bCs w:val="false"/>
                <w:sz w:val="20"/>
                <w:szCs w:val="20"/>
              </w:rPr>
              <w:t xml:space="preserve">subscription</w:t>
            </w:r>
          </w:p>
        </w:tc>
        <w:tc>
          <w:tcPr>
            <w:tcW w:type="dxa" w:w="7160"/>
            <w:tcMar>
              <w:top w:type="dxa" w:w="80"/>
              <w:left w:type="dxa" w:w="100"/>
              <w:bottom w:type="dxa" w:w="80"/>
              <w:right w:type="dxa" w:w="100"/>
            </w:tcMar>
            <w:vAlign w:val="center"/>
          </w:tcPr>
          <w:p>
            <w:r>
              <w:rPr>
                <w:b w:val="false"/>
                <w:bCs w:val="false"/>
                <w:sz w:val="20"/>
                <w:szCs w:val="20"/>
              </w:rPr>
              <w:t xml:space="preserve">GET /subscription (status, next billing date, history), POST /subscription (start/change plan), POST /subscription/cancel, POST /webhooks/payment-processor (internal)</w:t>
            </w:r>
          </w:p>
        </w:tc>
      </w:tr>
      <w:tr>
        <w:tc>
          <w:tcPr>
            <w:tcW w:type="dxa" w:w="2200"/>
            <w:tcMar>
              <w:top w:type="dxa" w:w="80"/>
              <w:left w:type="dxa" w:w="100"/>
              <w:bottom w:type="dxa" w:w="80"/>
              <w:right w:type="dxa" w:w="100"/>
            </w:tcMar>
            <w:vAlign w:val="center"/>
          </w:tcPr>
          <w:p>
            <w:r>
              <w:rPr>
                <w:b w:val="false"/>
                <w:bCs w:val="false"/>
                <w:sz w:val="20"/>
                <w:szCs w:val="20"/>
              </w:rPr>
              <w:t xml:space="preserve">account (self-service)</w:t>
            </w:r>
          </w:p>
        </w:tc>
        <w:tc>
          <w:tcPr>
            <w:tcW w:type="dxa" w:w="7160"/>
            <w:tcMar>
              <w:top w:type="dxa" w:w="80"/>
              <w:left w:type="dxa" w:w="100"/>
              <w:bottom w:type="dxa" w:w="80"/>
              <w:right w:type="dxa" w:w="100"/>
            </w:tcMar>
            <w:vAlign w:val="center"/>
          </w:tcPr>
          <w:p>
            <w:r>
              <w:rPr>
                <w:b w:val="false"/>
                <w:bCs w:val="false"/>
                <w:sz w:val="20"/>
                <w:szCs w:val="20"/>
              </w:rPr>
              <w:t xml:space="preserve">GET /me/export, DELETE /me</w:t>
            </w:r>
          </w:p>
        </w:tc>
      </w:tr>
      <w:tr>
        <w:tc>
          <w:tcPr>
            <w:tcW w:type="dxa" w:w="2200"/>
            <w:tcMar>
              <w:top w:type="dxa" w:w="80"/>
              <w:left w:type="dxa" w:w="100"/>
              <w:bottom w:type="dxa" w:w="80"/>
              <w:right w:type="dxa" w:w="100"/>
            </w:tcMar>
            <w:vAlign w:val="center"/>
          </w:tcPr>
          <w:p>
            <w:r>
              <w:rPr>
                <w:b w:val="false"/>
                <w:bCs w:val="false"/>
                <w:sz w:val="20"/>
                <w:szCs w:val="20"/>
              </w:rPr>
              <w:t xml:space="preserve">admin (internal)</w:t>
            </w:r>
          </w:p>
        </w:tc>
        <w:tc>
          <w:tcPr>
            <w:tcW w:type="dxa" w:w="7160"/>
            <w:tcMar>
              <w:top w:type="dxa" w:w="80"/>
              <w:left w:type="dxa" w:w="100"/>
              <w:bottom w:type="dxa" w:w="80"/>
              <w:right w:type="dxa" w:w="100"/>
            </w:tcMar>
            <w:vAlign w:val="center"/>
          </w:tcPr>
          <w:p>
            <w:r>
              <w:rPr>
                <w:b w:val="false"/>
                <w:bCs w:val="false"/>
                <w:sz w:val="20"/>
                <w:szCs w:val="20"/>
              </w:rPr>
              <w:t xml:space="preserve">GET /admin/tenants/{email}, POST /admin/support-access-grant</w:t>
            </w:r>
          </w:p>
        </w:tc>
      </w:tr>
    </w:tbl>
    <w:p>
      <w:pPr>
        <w:spacing w:after="120"/>
      </w:pPr>
    </w:p>
    <w:p>
      <w:pPr>
        <w:pStyle w:val="Heading2"/>
        <w:spacing w:after="120" w:before="300"/>
      </w:pPr>
      <w:r>
        <w:t xml:space="preserve">4.3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D9D9" w:color="auto" w:val="clear"/>
            <w:tcMar>
              <w:top w:type="dxa" w:w="80"/>
              <w:left w:type="dxa" w:w="100"/>
              <w:bottom w:type="dxa" w:w="80"/>
              <w:right w:type="dxa" w:w="100"/>
            </w:tcMar>
            <w:vAlign w:val="center"/>
          </w:tcPr>
          <w:p>
            <w:r>
              <w:rPr>
                <w:b/>
                <w:bCs/>
                <w:sz w:val="20"/>
                <w:szCs w:val="20"/>
              </w:rPr>
              <w:t xml:space="preserve">Component</w:t>
            </w:r>
          </w:p>
        </w:tc>
        <w:tc>
          <w:tcPr>
            <w:tcW w:type="dxa" w:w="6160"/>
            <w:shd w:fill="D9D9D9" w:color="auto" w:val="clear"/>
            <w:tcMar>
              <w:top w:type="dxa" w:w="80"/>
              <w:left w:type="dxa" w:w="100"/>
              <w:bottom w:type="dxa" w:w="80"/>
              <w:right w:type="dxa" w:w="100"/>
            </w:tcMar>
            <w:vAlign w:val="center"/>
          </w:tcPr>
          <w:p>
            <w:r>
              <w:rPr>
                <w:b/>
                <w:bCs/>
                <w:sz w:val="20"/>
                <w:szCs w:val="20"/>
              </w:rPr>
              <w:t xml:space="preserve">Purpose</w:t>
            </w:r>
          </w:p>
        </w:tc>
      </w:tr>
      <w:tr>
        <w:tc>
          <w:tcPr>
            <w:tcW w:type="dxa" w:w="3200"/>
            <w:tcMar>
              <w:top w:type="dxa" w:w="80"/>
              <w:left w:type="dxa" w:w="100"/>
              <w:bottom w:type="dxa" w:w="80"/>
              <w:right w:type="dxa" w:w="100"/>
            </w:tcMar>
            <w:vAlign w:val="center"/>
          </w:tcPr>
          <w:p>
            <w:r>
              <w:rPr>
                <w:b w:val="false"/>
                <w:bCs w:val="false"/>
                <w:sz w:val="20"/>
                <w:szCs w:val="20"/>
              </w:rPr>
              <w:t xml:space="preserve">PostgreSQL</w:t>
            </w:r>
          </w:p>
        </w:tc>
        <w:tc>
          <w:tcPr>
            <w:tcW w:type="dxa" w:w="6160"/>
            <w:tcMar>
              <w:top w:type="dxa" w:w="80"/>
              <w:left w:type="dxa" w:w="100"/>
              <w:bottom w:type="dxa" w:w="80"/>
              <w:right w:type="dxa" w:w="100"/>
            </w:tcMar>
            <w:vAlign w:val="center"/>
          </w:tcPr>
          <w:p>
            <w:r>
              <w:rPr>
                <w:b w:val="false"/>
                <w:bCs w:val="false"/>
                <w:sz w:val="20"/>
                <w:szCs w:val="20"/>
              </w:rPr>
              <w:t xml:space="preserve">Primary data store; enforces Row-Level Security per tenant</w:t>
            </w:r>
          </w:p>
        </w:tc>
      </w:tr>
      <w:tr>
        <w:tc>
          <w:tcPr>
            <w:tcW w:type="dxa" w:w="3200"/>
            <w:tcMar>
              <w:top w:type="dxa" w:w="80"/>
              <w:left w:type="dxa" w:w="100"/>
              <w:bottom w:type="dxa" w:w="80"/>
              <w:right w:type="dxa" w:w="100"/>
            </w:tcMar>
            <w:vAlign w:val="center"/>
          </w:tcPr>
          <w:p>
            <w:r>
              <w:rPr>
                <w:b w:val="false"/>
                <w:bCs w:val="false"/>
                <w:sz w:val="20"/>
                <w:szCs w:val="20"/>
              </w:rPr>
              <w:t xml:space="preserve">Redis</w:t>
            </w:r>
          </w:p>
        </w:tc>
        <w:tc>
          <w:tcPr>
            <w:tcW w:type="dxa" w:w="6160"/>
            <w:tcMar>
              <w:top w:type="dxa" w:w="80"/>
              <w:left w:type="dxa" w:w="100"/>
              <w:bottom w:type="dxa" w:w="80"/>
              <w:right w:type="dxa" w:w="100"/>
            </w:tcMar>
            <w:vAlign w:val="center"/>
          </w:tcPr>
          <w:p>
            <w:r>
              <w:rPr>
                <w:b w:val="false"/>
                <w:bCs w:val="false"/>
                <w:sz w:val="20"/>
                <w:szCs w:val="20"/>
              </w:rPr>
              <w:t xml:space="preserve">Rate-limit counters, refresh-token/session blacklist, background job broker</w:t>
            </w:r>
          </w:p>
        </w:tc>
      </w:tr>
      <w:tr>
        <w:tc>
          <w:tcPr>
            <w:tcW w:type="dxa" w:w="3200"/>
            <w:tcMar>
              <w:top w:type="dxa" w:w="80"/>
              <w:left w:type="dxa" w:w="100"/>
              <w:bottom w:type="dxa" w:w="80"/>
              <w:right w:type="dxa" w:w="100"/>
            </w:tcMar>
            <w:vAlign w:val="center"/>
          </w:tcPr>
          <w:p>
            <w:r>
              <w:rPr>
                <w:b w:val="false"/>
                <w:bCs w:val="false"/>
                <w:sz w:val="20"/>
                <w:szCs w:val="20"/>
              </w:rPr>
              <w:t xml:space="preserve">Celery or APScheduler</w:t>
            </w:r>
          </w:p>
        </w:tc>
        <w:tc>
          <w:tcPr>
            <w:tcW w:type="dxa" w:w="6160"/>
            <w:tcMar>
              <w:top w:type="dxa" w:w="80"/>
              <w:left w:type="dxa" w:w="100"/>
              <w:bottom w:type="dxa" w:w="80"/>
              <w:right w:type="dxa" w:w="100"/>
            </w:tcMar>
            <w:vAlign w:val="center"/>
          </w:tcPr>
          <w:p>
            <w:r>
              <w:rPr>
                <w:b w:val="false"/>
                <w:bCs w:val="false"/>
                <w:sz w:val="20"/>
                <w:szCs w:val="20"/>
              </w:rPr>
              <w:t xml:space="preserve">Background job execution (recurring bill generation, exports)</w:t>
            </w:r>
          </w:p>
        </w:tc>
      </w:tr>
      <w:tr>
        <w:tc>
          <w:tcPr>
            <w:tcW w:type="dxa" w:w="3200"/>
            <w:tcMar>
              <w:top w:type="dxa" w:w="80"/>
              <w:left w:type="dxa" w:w="100"/>
              <w:bottom w:type="dxa" w:w="80"/>
              <w:right w:type="dxa" w:w="100"/>
            </w:tcMar>
            <w:vAlign w:val="center"/>
          </w:tcPr>
          <w:p>
            <w:r>
              <w:rPr>
                <w:b w:val="false"/>
                <w:bCs w:val="false"/>
                <w:sz w:val="20"/>
                <w:szCs w:val="20"/>
              </w:rPr>
              <w:t xml:space="preserve">Transactional email provider</w:t>
            </w:r>
          </w:p>
        </w:tc>
        <w:tc>
          <w:tcPr>
            <w:tcW w:type="dxa" w:w="6160"/>
            <w:tcMar>
              <w:top w:type="dxa" w:w="80"/>
              <w:left w:type="dxa" w:w="100"/>
              <w:bottom w:type="dxa" w:w="80"/>
              <w:right w:type="dxa" w:w="100"/>
            </w:tcMar>
            <w:vAlign w:val="center"/>
          </w:tcPr>
          <w:p>
            <w:r>
              <w:rPr>
                <w:b w:val="false"/>
                <w:bCs w:val="false"/>
                <w:sz w:val="20"/>
                <w:szCs w:val="20"/>
              </w:rPr>
              <w:t xml:space="preserve">Verification, password reset, and notification emails</w:t>
            </w:r>
          </w:p>
        </w:tc>
      </w:tr>
      <w:tr>
        <w:tc>
          <w:tcPr>
            <w:tcW w:type="dxa" w:w="3200"/>
            <w:tcMar>
              <w:top w:type="dxa" w:w="80"/>
              <w:left w:type="dxa" w:w="100"/>
              <w:bottom w:type="dxa" w:w="80"/>
              <w:right w:type="dxa" w:w="100"/>
            </w:tcMar>
            <w:vAlign w:val="center"/>
          </w:tcPr>
          <w:p>
            <w:r>
              <w:rPr>
                <w:b w:val="false"/>
                <w:bCs w:val="false"/>
                <w:sz w:val="20"/>
                <w:szCs w:val="20"/>
              </w:rPr>
              <w:t xml:space="preserve">Error monitoring (e.g., Sentry)</w:t>
            </w:r>
          </w:p>
        </w:tc>
        <w:tc>
          <w:tcPr>
            <w:tcW w:type="dxa" w:w="6160"/>
            <w:tcMar>
              <w:top w:type="dxa" w:w="80"/>
              <w:left w:type="dxa" w:w="100"/>
              <w:bottom w:type="dxa" w:w="80"/>
              <w:right w:type="dxa" w:w="100"/>
            </w:tcMar>
            <w:vAlign w:val="center"/>
          </w:tcPr>
          <w:p>
            <w:r>
              <w:rPr>
                <w:b w:val="false"/>
                <w:bCs w:val="false"/>
                <w:sz w:val="20"/>
                <w:szCs w:val="20"/>
              </w:rPr>
              <w:t xml:space="preserve">Exception tracking and alerting</w:t>
            </w:r>
          </w:p>
        </w:tc>
      </w:tr>
      <w:tr>
        <w:tc>
          <w:tcPr>
            <w:tcW w:type="dxa" w:w="3200"/>
            <w:tcMar>
              <w:top w:type="dxa" w:w="80"/>
              <w:left w:type="dxa" w:w="100"/>
              <w:bottom w:type="dxa" w:w="80"/>
              <w:right w:type="dxa" w:w="100"/>
            </w:tcMar>
            <w:vAlign w:val="center"/>
          </w:tcPr>
          <w:p>
            <w:r>
              <w:rPr>
                <w:b w:val="false"/>
                <w:bCs w:val="false"/>
                <w:sz w:val="20"/>
                <w:szCs w:val="20"/>
              </w:rPr>
              <w:t xml:space="preserve">Financial data connection channel (direct bank API where available; certified aggregation provider, e.g., Plaid/TrueLayer/Yodlee, as fallback)</w:t>
            </w:r>
          </w:p>
        </w:tc>
        <w:tc>
          <w:tcPr>
            <w:tcW w:type="dxa" w:w="6160"/>
            <w:tcMar>
              <w:top w:type="dxa" w:w="80"/>
              <w:left w:type="dxa" w:w="100"/>
              <w:bottom w:type="dxa" w:w="80"/>
              <w:right w:type="dxa" w:w="100"/>
            </w:tcMar>
            <w:vAlign w:val="center"/>
          </w:tcPr>
          <w:p>
            <w:r>
              <w:rPr>
                <w:b w:val="false"/>
                <w:bCs w:val="false"/>
                <w:sz w:val="20"/>
                <w:szCs w:val="20"/>
              </w:rPr>
              <w:t xml:space="preserve">Read-only linking, balance and transaction retrieval across external bank accounts — Account Information Service (AISP) role only, never payment-initiation (Section 3.14). Access strictly scoped; no secondary use of customer data permitted (FR-14.10–14.12).</w:t>
            </w:r>
          </w:p>
        </w:tc>
      </w:tr>
      <w:tr>
        <w:tc>
          <w:tcPr>
            <w:tcW w:type="dxa" w:w="3200"/>
            <w:tcMar>
              <w:top w:type="dxa" w:w="80"/>
              <w:left w:type="dxa" w:w="100"/>
              <w:bottom w:type="dxa" w:w="80"/>
              <w:right w:type="dxa" w:w="100"/>
            </w:tcMar>
            <w:vAlign w:val="center"/>
          </w:tcPr>
          <w:p>
            <w:r>
              <w:rPr>
                <w:b w:val="false"/>
                <w:bCs w:val="false"/>
                <w:sz w:val="20"/>
                <w:szCs w:val="20"/>
              </w:rPr>
              <w:t xml:space="preserve">Key Management Service (KMS)</w:t>
            </w:r>
          </w:p>
        </w:tc>
        <w:tc>
          <w:tcPr>
            <w:tcW w:type="dxa" w:w="6160"/>
            <w:tcMar>
              <w:top w:type="dxa" w:w="80"/>
              <w:left w:type="dxa" w:w="100"/>
              <w:bottom w:type="dxa" w:w="80"/>
              <w:right w:type="dxa" w:w="100"/>
            </w:tcMar>
            <w:vAlign w:val="center"/>
          </w:tcPr>
          <w:p>
            <w:r>
              <w:rPr>
                <w:b w:val="false"/>
                <w:bCs w:val="false"/>
                <w:sz w:val="20"/>
                <w:szCs w:val="20"/>
              </w:rPr>
              <w:t xml:space="preserve">Envelope encryption for stored aggregator access tokens (Section 5.9)</w:t>
            </w:r>
          </w:p>
        </w:tc>
      </w:tr>
      <w:tr>
        <w:tc>
          <w:tcPr>
            <w:tcW w:type="dxa" w:w="3200"/>
            <w:tcMar>
              <w:top w:type="dxa" w:w="80"/>
              <w:left w:type="dxa" w:w="100"/>
              <w:bottom w:type="dxa" w:w="80"/>
              <w:right w:type="dxa" w:w="100"/>
            </w:tcMar>
            <w:vAlign w:val="center"/>
          </w:tcPr>
          <w:p>
            <w:r>
              <w:rPr>
                <w:b w:val="false"/>
                <w:bCs w:val="false"/>
                <w:sz w:val="20"/>
                <w:szCs w:val="20"/>
              </w:rPr>
              <w:t xml:space="preserve">Exchange rate data provider</w:t>
            </w:r>
          </w:p>
        </w:tc>
        <w:tc>
          <w:tcPr>
            <w:tcW w:type="dxa" w:w="6160"/>
            <w:tcMar>
              <w:top w:type="dxa" w:w="80"/>
              <w:left w:type="dxa" w:w="100"/>
              <w:bottom w:type="dxa" w:w="80"/>
              <w:right w:type="dxa" w:w="100"/>
            </w:tcMar>
            <w:vAlign w:val="center"/>
          </w:tcPr>
          <w:p>
            <w:r>
              <w:rPr>
                <w:b w:val="false"/>
                <w:bCs w:val="false"/>
                <w:sz w:val="20"/>
                <w:szCs w:val="20"/>
              </w:rPr>
              <w:t xml:space="preserve">Current and historical currency-pair conversion rates for the Gross Balance view (FR-14.13) and cross-currency transaction entry (FR-6.2); receives only generic currency-pair-and-date queries, never customer or account data</w:t>
            </w:r>
          </w:p>
        </w:tc>
      </w:tr>
      <w:tr>
        <w:tc>
          <w:tcPr>
            <w:tcW w:type="dxa" w:w="3200"/>
            <w:tcMar>
              <w:top w:type="dxa" w:w="80"/>
              <w:left w:type="dxa" w:w="100"/>
              <w:bottom w:type="dxa" w:w="80"/>
              <w:right w:type="dxa" w:w="100"/>
            </w:tcMar>
            <w:vAlign w:val="center"/>
          </w:tcPr>
          <w:p>
            <w:r>
              <w:rPr>
                <w:b w:val="false"/>
                <w:bCs w:val="false"/>
                <w:sz w:val="20"/>
                <w:szCs w:val="20"/>
              </w:rPr>
              <w:t xml:space="preserve">Payment processor</w:t>
            </w:r>
          </w:p>
        </w:tc>
        <w:tc>
          <w:tcPr>
            <w:tcW w:type="dxa" w:w="6160"/>
            <w:tcMar>
              <w:top w:type="dxa" w:w="80"/>
              <w:left w:type="dxa" w:w="100"/>
              <w:bottom w:type="dxa" w:w="80"/>
              <w:right w:type="dxa" w:w="100"/>
            </w:tcMar>
            <w:vAlign w:val="center"/>
          </w:tcPr>
          <w:p>
            <w:r>
              <w:rPr>
                <w:b w:val="false"/>
                <w:bCs w:val="false"/>
                <w:sz w:val="20"/>
                <w:szCs w:val="20"/>
              </w:rPr>
              <w:t xml:space="preserve">PCI-compliant monthly subscription billing (Section 3.12) — required for launch, not deferred</w:t>
            </w:r>
          </w:p>
        </w:tc>
      </w:tr>
    </w:tbl>
    <w:p>
      <w:pPr>
        <w:spacing w:after="120"/>
      </w:pPr>
    </w:p>
    <w:p>
      <w:pPr>
        <w:pStyle w:val="Heading2"/>
        <w:spacing w:after="120" w:before="300"/>
      </w:pPr>
      <w:r>
        <w:t xml:space="preserve">4.4 Communication Interfaces</w:t>
      </w:r>
    </w:p>
    <w:p>
      <w:pPr>
        <w:pStyle w:val="ListParagraph"/>
        <w:numPr>
          <w:ilvl w:val="0"/>
          <w:numId w:val="1"/>
        </w:numPr>
        <w:spacing w:after="60"/>
      </w:pPr>
      <w:r>
        <w:t xml:space="preserve">All traffic over HTTPS/TLS 1.2+ in production; HTTP requests redirected</w:t>
      </w:r>
    </w:p>
    <w:p>
      <w:pPr>
        <w:pStyle w:val="ListParagraph"/>
        <w:numPr>
          <w:ilvl w:val="0"/>
          <w:numId w:val="1"/>
        </w:numPr>
        <w:spacing w:after="60"/>
      </w:pPr>
      <w:r>
        <w:t xml:space="preserve">Authentication via Authorization: Bearer &lt;JWT&gt; header</w:t>
      </w:r>
    </w:p>
    <w:p>
      <w:pPr>
        <w:pStyle w:val="ListParagraph"/>
        <w:numPr>
          <w:ilvl w:val="0"/>
          <w:numId w:val="1"/>
        </w:numPr>
        <w:spacing w:after="60"/>
      </w:pPr>
      <w:r>
        <w:t xml:space="preserve">Webhooks (Phase 2, for payment processor events) verified via signature</w:t>
      </w:r>
    </w:p>
    <w:p>
      <w:pPr>
        <w:pStyle w:val="Heading1"/>
        <w:pageBreakBefore/>
        <w:spacing w:after="200"/>
      </w:pPr>
      <w:r>
        <w:t xml:space="preserve">5. Non-Functional Requirements</w:t>
      </w:r>
    </w:p>
    <w:p>
      <w:pPr>
        <w:pStyle w:val="Heading2"/>
        <w:spacing w:after="120" w:before="300"/>
      </w:pPr>
      <w: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9D9D9" w:color="auto" w:val="clear"/>
            <w:tcMar>
              <w:top w:type="dxa" w:w="80"/>
              <w:left w:type="dxa" w:w="100"/>
              <w:bottom w:type="dxa" w:w="80"/>
              <w:right w:type="dxa" w:w="100"/>
            </w:tcMar>
            <w:vAlign w:val="center"/>
          </w:tcPr>
          <w:p>
            <w:r>
              <w:rPr>
                <w:b/>
                <w:bCs/>
                <w:sz w:val="20"/>
                <w:szCs w:val="20"/>
              </w:rPr>
              <w:t xml:space="preserve">ID</w:t>
            </w:r>
          </w:p>
        </w:tc>
        <w:tc>
          <w:tcPr>
            <w:tcW w:type="dxa" w:w="7760"/>
            <w:shd w:fill="D9D9D9" w:color="auto" w:val="clear"/>
            <w:tcMar>
              <w:top w:type="dxa" w:w="80"/>
              <w:left w:type="dxa" w:w="100"/>
              <w:bottom w:type="dxa" w:w="80"/>
              <w:right w:type="dxa" w:w="100"/>
            </w:tcMar>
            <w:vAlign w:val="center"/>
          </w:tcPr>
          <w:p>
            <w:r>
              <w:rPr>
                <w:b/>
                <w:bCs/>
                <w:sz w:val="20"/>
                <w:szCs w:val="20"/>
              </w:rPr>
              <w:t xml:space="preserve">Requirement</w:t>
            </w:r>
          </w:p>
        </w:tc>
      </w:tr>
      <w:tr>
        <w:tc>
          <w:tcPr>
            <w:tcW w:type="dxa" w:w="1600"/>
            <w:tcMar>
              <w:top w:type="dxa" w:w="80"/>
              <w:left w:type="dxa" w:w="100"/>
              <w:bottom w:type="dxa" w:w="80"/>
              <w:right w:type="dxa" w:w="100"/>
            </w:tcMar>
            <w:vAlign w:val="center"/>
          </w:tcPr>
          <w:p>
            <w:r>
              <w:rPr>
                <w:b w:val="false"/>
                <w:bCs w:val="false"/>
                <w:sz w:val="20"/>
                <w:szCs w:val="20"/>
              </w:rPr>
              <w:t xml:space="preserve">NFR-1.1</w:t>
            </w:r>
          </w:p>
        </w:tc>
        <w:tc>
          <w:tcPr>
            <w:tcW w:type="dxa" w:w="7760"/>
            <w:tcMar>
              <w:top w:type="dxa" w:w="80"/>
              <w:left w:type="dxa" w:w="100"/>
              <w:bottom w:type="dxa" w:w="80"/>
              <w:right w:type="dxa" w:w="100"/>
            </w:tcMar>
            <w:vAlign w:val="center"/>
          </w:tcPr>
          <w:p>
            <w:r>
              <w:rPr>
                <w:b w:val="false"/>
                <w:bCs w:val="false"/>
                <w:sz w:val="20"/>
                <w:szCs w:val="20"/>
              </w:rPr>
              <w:t xml:space="preserve">95th-percentile response time under 300ms for standard CRUD endpoints under nominal load.</w:t>
            </w:r>
          </w:p>
        </w:tc>
      </w:tr>
      <w:tr>
        <w:tc>
          <w:tcPr>
            <w:tcW w:type="dxa" w:w="1600"/>
            <w:tcMar>
              <w:top w:type="dxa" w:w="80"/>
              <w:left w:type="dxa" w:w="100"/>
              <w:bottom w:type="dxa" w:w="80"/>
              <w:right w:type="dxa" w:w="100"/>
            </w:tcMar>
            <w:vAlign w:val="center"/>
          </w:tcPr>
          <w:p>
            <w:r>
              <w:rPr>
                <w:b w:val="false"/>
                <w:bCs w:val="false"/>
                <w:sz w:val="20"/>
                <w:szCs w:val="20"/>
              </w:rPr>
              <w:t xml:space="preserve">NFR-1.2</w:t>
            </w:r>
          </w:p>
        </w:tc>
        <w:tc>
          <w:tcPr>
            <w:tcW w:type="dxa" w:w="7760"/>
            <w:tcMar>
              <w:top w:type="dxa" w:w="80"/>
              <w:left w:type="dxa" w:w="100"/>
              <w:bottom w:type="dxa" w:w="80"/>
              <w:right w:type="dxa" w:w="100"/>
            </w:tcMar>
            <w:vAlign w:val="center"/>
          </w:tcPr>
          <w:p>
            <w:r>
              <w:rPr>
                <w:b w:val="false"/>
                <w:bCs w:val="false"/>
                <w:sz w:val="20"/>
                <w:szCs w:val="20"/>
              </w:rPr>
              <w:t xml:space="preserve">Report endpoints (aggregation queries) shall respond within 1.5s for a tenant with up to 5 years of transaction history.</w:t>
            </w:r>
          </w:p>
        </w:tc>
      </w:tr>
      <w:tr>
        <w:tc>
          <w:tcPr>
            <w:tcW w:type="dxa" w:w="1600"/>
            <w:tcMar>
              <w:top w:type="dxa" w:w="80"/>
              <w:left w:type="dxa" w:w="100"/>
              <w:bottom w:type="dxa" w:w="80"/>
              <w:right w:type="dxa" w:w="100"/>
            </w:tcMar>
            <w:vAlign w:val="center"/>
          </w:tcPr>
          <w:p>
            <w:r>
              <w:rPr>
                <w:b w:val="false"/>
                <w:bCs w:val="false"/>
                <w:sz w:val="20"/>
                <w:szCs w:val="20"/>
              </w:rPr>
              <w:t xml:space="preserve">NFR-1.3</w:t>
            </w:r>
          </w:p>
        </w:tc>
        <w:tc>
          <w:tcPr>
            <w:tcW w:type="dxa" w:w="7760"/>
            <w:tcMar>
              <w:top w:type="dxa" w:w="80"/>
              <w:left w:type="dxa" w:w="100"/>
              <w:bottom w:type="dxa" w:w="80"/>
              <w:right w:type="dxa" w:w="100"/>
            </w:tcMar>
            <w:vAlign w:val="center"/>
          </w:tcPr>
          <w:p>
            <w:r>
              <w:rPr>
                <w:b w:val="false"/>
                <w:bCs w:val="false"/>
                <w:sz w:val="20"/>
                <w:szCs w:val="20"/>
              </w:rPr>
              <w:t xml:space="preserve">Database queries on tenant-scoped tables shall use an index that includes tenant_id as a leading column.</w:t>
            </w:r>
          </w:p>
        </w:tc>
      </w:tr>
    </w:tbl>
    <w:p>
      <w:pPr>
        <w:spacing w:after="120"/>
      </w:pPr>
    </w:p>
    <w:p>
      <w:pPr>
        <w:pStyle w:val="Heading2"/>
        <w:spacing w:after="120" w:before="300"/>
      </w:pPr>
      <w:r>
        <w:t xml:space="preserve">5.2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9D9D9" w:color="auto" w:val="clear"/>
            <w:tcMar>
              <w:top w:type="dxa" w:w="80"/>
              <w:left w:type="dxa" w:w="100"/>
              <w:bottom w:type="dxa" w:w="80"/>
              <w:right w:type="dxa" w:w="100"/>
            </w:tcMar>
            <w:vAlign w:val="center"/>
          </w:tcPr>
          <w:p>
            <w:r>
              <w:rPr>
                <w:b/>
                <w:bCs/>
                <w:sz w:val="20"/>
                <w:szCs w:val="20"/>
              </w:rPr>
              <w:t xml:space="preserve">ID</w:t>
            </w:r>
          </w:p>
        </w:tc>
        <w:tc>
          <w:tcPr>
            <w:tcW w:type="dxa" w:w="7760"/>
            <w:shd w:fill="D9D9D9" w:color="auto" w:val="clear"/>
            <w:tcMar>
              <w:top w:type="dxa" w:w="80"/>
              <w:left w:type="dxa" w:w="100"/>
              <w:bottom w:type="dxa" w:w="80"/>
              <w:right w:type="dxa" w:w="100"/>
            </w:tcMar>
            <w:vAlign w:val="center"/>
          </w:tcPr>
          <w:p>
            <w:r>
              <w:rPr>
                <w:b/>
                <w:bCs/>
                <w:sz w:val="20"/>
                <w:szCs w:val="20"/>
              </w:rPr>
              <w:t xml:space="preserve">Requirement</w:t>
            </w:r>
          </w:p>
        </w:tc>
      </w:tr>
      <w:tr>
        <w:tc>
          <w:tcPr>
            <w:tcW w:type="dxa" w:w="1600"/>
            <w:tcMar>
              <w:top w:type="dxa" w:w="80"/>
              <w:left w:type="dxa" w:w="100"/>
              <w:bottom w:type="dxa" w:w="80"/>
              <w:right w:type="dxa" w:w="100"/>
            </w:tcMar>
            <w:vAlign w:val="center"/>
          </w:tcPr>
          <w:p>
            <w:r>
              <w:rPr>
                <w:b w:val="false"/>
                <w:bCs w:val="false"/>
                <w:sz w:val="20"/>
                <w:szCs w:val="20"/>
              </w:rPr>
              <w:t xml:space="preserve">NFR-2.1</w:t>
            </w:r>
          </w:p>
        </w:tc>
        <w:tc>
          <w:tcPr>
            <w:tcW w:type="dxa" w:w="7760"/>
            <w:tcMar>
              <w:top w:type="dxa" w:w="80"/>
              <w:left w:type="dxa" w:w="100"/>
              <w:bottom w:type="dxa" w:w="80"/>
              <w:right w:type="dxa" w:w="100"/>
            </w:tcMar>
            <w:vAlign w:val="center"/>
          </w:tcPr>
          <w:p>
            <w:r>
              <w:rPr>
                <w:b w:val="false"/>
                <w:bCs w:val="false"/>
                <w:sz w:val="20"/>
                <w:szCs w:val="20"/>
              </w:rPr>
              <w:t xml:space="preserve">The API shall run as multiple stateless Gunicorn/Uvicorn workers behind a load balancer, scaling horizontally.</w:t>
            </w:r>
          </w:p>
        </w:tc>
      </w:tr>
      <w:tr>
        <w:tc>
          <w:tcPr>
            <w:tcW w:type="dxa" w:w="1600"/>
            <w:tcMar>
              <w:top w:type="dxa" w:w="80"/>
              <w:left w:type="dxa" w:w="100"/>
              <w:bottom w:type="dxa" w:w="80"/>
              <w:right w:type="dxa" w:w="100"/>
            </w:tcMar>
            <w:vAlign w:val="center"/>
          </w:tcPr>
          <w:p>
            <w:r>
              <w:rPr>
                <w:b w:val="false"/>
                <w:bCs w:val="false"/>
                <w:sz w:val="20"/>
                <w:szCs w:val="20"/>
              </w:rPr>
              <w:t xml:space="preserve">NFR-2.2</w:t>
            </w:r>
          </w:p>
        </w:tc>
        <w:tc>
          <w:tcPr>
            <w:tcW w:type="dxa" w:w="7760"/>
            <w:tcMar>
              <w:top w:type="dxa" w:w="80"/>
              <w:left w:type="dxa" w:w="100"/>
              <w:bottom w:type="dxa" w:w="80"/>
              <w:right w:type="dxa" w:w="100"/>
            </w:tcMar>
            <w:vAlign w:val="center"/>
          </w:tcPr>
          <w:p>
            <w:r>
              <w:rPr>
                <w:b w:val="false"/>
                <w:bCs w:val="false"/>
                <w:sz w:val="20"/>
                <w:szCs w:val="20"/>
              </w:rPr>
              <w:t xml:space="preserve">The database connection pool shall be sized and monitored to avoid exhaustion as tenant count grows.</w:t>
            </w:r>
          </w:p>
        </w:tc>
      </w:tr>
      <w:tr>
        <w:tc>
          <w:tcPr>
            <w:tcW w:type="dxa" w:w="1600"/>
            <w:tcMar>
              <w:top w:type="dxa" w:w="80"/>
              <w:left w:type="dxa" w:w="100"/>
              <w:bottom w:type="dxa" w:w="80"/>
              <w:right w:type="dxa" w:w="100"/>
            </w:tcMar>
            <w:vAlign w:val="center"/>
          </w:tcPr>
          <w:p>
            <w:r>
              <w:rPr>
                <w:b w:val="false"/>
                <w:bCs w:val="false"/>
                <w:sz w:val="20"/>
                <w:szCs w:val="20"/>
              </w:rPr>
              <w:t xml:space="preserve">NFR-2.3</w:t>
            </w:r>
          </w:p>
        </w:tc>
        <w:tc>
          <w:tcPr>
            <w:tcW w:type="dxa" w:w="7760"/>
            <w:tcMar>
              <w:top w:type="dxa" w:w="80"/>
              <w:left w:type="dxa" w:w="100"/>
              <w:bottom w:type="dxa" w:w="80"/>
              <w:right w:type="dxa" w:w="100"/>
            </w:tcMar>
            <w:vAlign w:val="center"/>
          </w:tcPr>
          <w:p>
            <w:r>
              <w:rPr>
                <w:b w:val="false"/>
                <w:bCs w:val="false"/>
                <w:sz w:val="20"/>
                <w:szCs w:val="20"/>
              </w:rPr>
              <w:t xml:space="preserve">The system shall support at minimum 50,000 tenants and 10x current transaction volume without architectural change.</w:t>
            </w:r>
          </w:p>
        </w:tc>
      </w:tr>
    </w:tbl>
    <w:p>
      <w:pPr>
        <w:spacing w:after="120"/>
      </w:pPr>
    </w:p>
    <w:p>
      <w:pPr>
        <w:pStyle w:val="Heading2"/>
        <w:spacing w:after="120" w:before="300"/>
      </w:pPr>
      <w:r>
        <w:t xml:space="preserve">5.3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9D9D9" w:color="auto" w:val="clear"/>
            <w:tcMar>
              <w:top w:type="dxa" w:w="80"/>
              <w:left w:type="dxa" w:w="100"/>
              <w:bottom w:type="dxa" w:w="80"/>
              <w:right w:type="dxa" w:w="100"/>
            </w:tcMar>
            <w:vAlign w:val="center"/>
          </w:tcPr>
          <w:p>
            <w:r>
              <w:rPr>
                <w:b/>
                <w:bCs/>
                <w:sz w:val="20"/>
                <w:szCs w:val="20"/>
              </w:rPr>
              <w:t xml:space="preserve">ID</w:t>
            </w:r>
          </w:p>
        </w:tc>
        <w:tc>
          <w:tcPr>
            <w:tcW w:type="dxa" w:w="7760"/>
            <w:shd w:fill="D9D9D9" w:color="auto" w:val="clear"/>
            <w:tcMar>
              <w:top w:type="dxa" w:w="80"/>
              <w:left w:type="dxa" w:w="100"/>
              <w:bottom w:type="dxa" w:w="80"/>
              <w:right w:type="dxa" w:w="100"/>
            </w:tcMar>
            <w:vAlign w:val="center"/>
          </w:tcPr>
          <w:p>
            <w:r>
              <w:rPr>
                <w:b/>
                <w:bCs/>
                <w:sz w:val="20"/>
                <w:szCs w:val="20"/>
              </w:rPr>
              <w:t xml:space="preserve">Requirement</w:t>
            </w:r>
          </w:p>
        </w:tc>
      </w:tr>
      <w:tr>
        <w:tc>
          <w:tcPr>
            <w:tcW w:type="dxa" w:w="1600"/>
            <w:tcMar>
              <w:top w:type="dxa" w:w="80"/>
              <w:left w:type="dxa" w:w="100"/>
              <w:bottom w:type="dxa" w:w="80"/>
              <w:right w:type="dxa" w:w="100"/>
            </w:tcMar>
            <w:vAlign w:val="center"/>
          </w:tcPr>
          <w:p>
            <w:r>
              <w:rPr>
                <w:b w:val="false"/>
                <w:bCs w:val="false"/>
                <w:sz w:val="20"/>
                <w:szCs w:val="20"/>
              </w:rPr>
              <w:t xml:space="preserve">NFR-3.1</w:t>
            </w:r>
          </w:p>
        </w:tc>
        <w:tc>
          <w:tcPr>
            <w:tcW w:type="dxa" w:w="7760"/>
            <w:tcMar>
              <w:top w:type="dxa" w:w="80"/>
              <w:left w:type="dxa" w:w="100"/>
              <w:bottom w:type="dxa" w:w="80"/>
              <w:right w:type="dxa" w:w="100"/>
            </w:tcMar>
            <w:vAlign w:val="center"/>
          </w:tcPr>
          <w:p>
            <w:r>
              <w:rPr>
                <w:b w:val="false"/>
                <w:bCs w:val="false"/>
                <w:sz w:val="20"/>
                <w:szCs w:val="20"/>
              </w:rPr>
              <w:t xml:space="preserve">Passwords hashed with bcrypt (cost factor reviewed annually); never logged or returned in any response.</w:t>
            </w:r>
          </w:p>
        </w:tc>
      </w:tr>
      <w:tr>
        <w:tc>
          <w:tcPr>
            <w:tcW w:type="dxa" w:w="1600"/>
            <w:tcMar>
              <w:top w:type="dxa" w:w="80"/>
              <w:left w:type="dxa" w:w="100"/>
              <w:bottom w:type="dxa" w:w="80"/>
              <w:right w:type="dxa" w:w="100"/>
            </w:tcMar>
            <w:vAlign w:val="center"/>
          </w:tcPr>
          <w:p>
            <w:r>
              <w:rPr>
                <w:b w:val="false"/>
                <w:bCs w:val="false"/>
                <w:sz w:val="20"/>
                <w:szCs w:val="20"/>
              </w:rPr>
              <w:t xml:space="preserve">NFR-3.2</w:t>
            </w:r>
          </w:p>
        </w:tc>
        <w:tc>
          <w:tcPr>
            <w:tcW w:type="dxa" w:w="7760"/>
            <w:tcMar>
              <w:top w:type="dxa" w:w="80"/>
              <w:left w:type="dxa" w:w="100"/>
              <w:bottom w:type="dxa" w:w="80"/>
              <w:right w:type="dxa" w:w="100"/>
            </w:tcMar>
            <w:vAlign w:val="center"/>
          </w:tcPr>
          <w:p>
            <w:r>
              <w:rPr>
                <w:b w:val="false"/>
                <w:bCs w:val="false"/>
                <w:sz w:val="20"/>
                <w:szCs w:val="20"/>
              </w:rPr>
              <w:t xml:space="preserve">JWTs signed with a rotated secret/key; refresh tokens revocable and stored hashed.</w:t>
            </w:r>
          </w:p>
        </w:tc>
      </w:tr>
      <w:tr>
        <w:tc>
          <w:tcPr>
            <w:tcW w:type="dxa" w:w="1600"/>
            <w:tcMar>
              <w:top w:type="dxa" w:w="80"/>
              <w:left w:type="dxa" w:w="100"/>
              <w:bottom w:type="dxa" w:w="80"/>
              <w:right w:type="dxa" w:w="100"/>
            </w:tcMar>
            <w:vAlign w:val="center"/>
          </w:tcPr>
          <w:p>
            <w:r>
              <w:rPr>
                <w:b w:val="false"/>
                <w:bCs w:val="false"/>
                <w:sz w:val="20"/>
                <w:szCs w:val="20"/>
              </w:rPr>
              <w:t xml:space="preserve">NFR-3.3</w:t>
            </w:r>
          </w:p>
        </w:tc>
        <w:tc>
          <w:tcPr>
            <w:tcW w:type="dxa" w:w="7760"/>
            <w:tcMar>
              <w:top w:type="dxa" w:w="80"/>
              <w:left w:type="dxa" w:w="100"/>
              <w:bottom w:type="dxa" w:w="80"/>
              <w:right w:type="dxa" w:w="100"/>
            </w:tcMar>
            <w:vAlign w:val="center"/>
          </w:tcPr>
          <w:p>
            <w:r>
              <w:rPr>
                <w:b w:val="false"/>
                <w:bCs w:val="false"/>
                <w:sz w:val="20"/>
                <w:szCs w:val="20"/>
              </w:rPr>
              <w:t xml:space="preserve">All auth-sensitive endpoints rate-limited; repeated failures trigger temporary lockout/backoff.</w:t>
            </w:r>
          </w:p>
        </w:tc>
      </w:tr>
      <w:tr>
        <w:tc>
          <w:tcPr>
            <w:tcW w:type="dxa" w:w="1600"/>
            <w:tcMar>
              <w:top w:type="dxa" w:w="80"/>
              <w:left w:type="dxa" w:w="100"/>
              <w:bottom w:type="dxa" w:w="80"/>
              <w:right w:type="dxa" w:w="100"/>
            </w:tcMar>
            <w:vAlign w:val="center"/>
          </w:tcPr>
          <w:p>
            <w:r>
              <w:rPr>
                <w:b w:val="false"/>
                <w:bCs w:val="false"/>
                <w:sz w:val="20"/>
                <w:szCs w:val="20"/>
              </w:rPr>
              <w:t xml:space="preserve">NFR-3.4</w:t>
            </w:r>
          </w:p>
        </w:tc>
        <w:tc>
          <w:tcPr>
            <w:tcW w:type="dxa" w:w="7760"/>
            <w:tcMar>
              <w:top w:type="dxa" w:w="80"/>
              <w:left w:type="dxa" w:w="100"/>
              <w:bottom w:type="dxa" w:w="80"/>
              <w:right w:type="dxa" w:w="100"/>
            </w:tcMar>
            <w:vAlign w:val="center"/>
          </w:tcPr>
          <w:p>
            <w:r>
              <w:rPr>
                <w:b w:val="false"/>
                <w:bCs w:val="false"/>
                <w:sz w:val="20"/>
                <w:szCs w:val="20"/>
              </w:rPr>
              <w:t xml:space="preserve">Dependencies scanned for known vulnerabilities (e.g., via automated CI scanning) on every build.</w:t>
            </w:r>
          </w:p>
        </w:tc>
      </w:tr>
      <w:tr>
        <w:tc>
          <w:tcPr>
            <w:tcW w:type="dxa" w:w="1600"/>
            <w:tcMar>
              <w:top w:type="dxa" w:w="80"/>
              <w:left w:type="dxa" w:w="100"/>
              <w:bottom w:type="dxa" w:w="80"/>
              <w:right w:type="dxa" w:w="100"/>
            </w:tcMar>
            <w:vAlign w:val="center"/>
          </w:tcPr>
          <w:p>
            <w:r>
              <w:rPr>
                <w:b w:val="false"/>
                <w:bCs w:val="false"/>
                <w:sz w:val="20"/>
                <w:szCs w:val="20"/>
              </w:rPr>
              <w:t xml:space="preserve">NFR-3.5</w:t>
            </w:r>
          </w:p>
        </w:tc>
        <w:tc>
          <w:tcPr>
            <w:tcW w:type="dxa" w:w="7760"/>
            <w:tcMar>
              <w:top w:type="dxa" w:w="80"/>
              <w:left w:type="dxa" w:w="100"/>
              <w:bottom w:type="dxa" w:w="80"/>
              <w:right w:type="dxa" w:w="100"/>
            </w:tcMar>
            <w:vAlign w:val="center"/>
          </w:tcPr>
          <w:p>
            <w:r>
              <w:rPr>
                <w:b w:val="false"/>
                <w:bCs w:val="false"/>
                <w:sz w:val="20"/>
                <w:szCs w:val="20"/>
              </w:rPr>
              <w:t xml:space="preserve">A security review / penetration test shall be completed before public launch and annually thereafter.</w:t>
            </w:r>
          </w:p>
        </w:tc>
      </w:tr>
      <w:tr>
        <w:tc>
          <w:tcPr>
            <w:tcW w:type="dxa" w:w="1600"/>
            <w:tcMar>
              <w:top w:type="dxa" w:w="80"/>
              <w:left w:type="dxa" w:w="100"/>
              <w:bottom w:type="dxa" w:w="80"/>
              <w:right w:type="dxa" w:w="100"/>
            </w:tcMar>
            <w:vAlign w:val="center"/>
          </w:tcPr>
          <w:p>
            <w:r>
              <w:rPr>
                <w:b w:val="false"/>
                <w:bCs w:val="false"/>
                <w:sz w:val="20"/>
                <w:szCs w:val="20"/>
              </w:rPr>
              <w:t xml:space="preserve">NFR-3.6</w:t>
            </w:r>
          </w:p>
        </w:tc>
        <w:tc>
          <w:tcPr>
            <w:tcW w:type="dxa" w:w="7760"/>
            <w:tcMar>
              <w:top w:type="dxa" w:w="80"/>
              <w:left w:type="dxa" w:w="100"/>
              <w:bottom w:type="dxa" w:w="80"/>
              <w:right w:type="dxa" w:w="100"/>
            </w:tcMar>
            <w:vAlign w:val="center"/>
          </w:tcPr>
          <w:p>
            <w:r>
              <w:rPr>
                <w:b w:val="false"/>
                <w:bCs w:val="false"/>
                <w:sz w:val="20"/>
                <w:szCs w:val="20"/>
              </w:rPr>
              <w:t xml:space="preserve">All secrets (DB credentials, JWT keys, API keys) managed via a secrets manager, never committed to source control.</w:t>
            </w:r>
          </w:p>
        </w:tc>
      </w:tr>
    </w:tbl>
    <w:p>
      <w:pPr>
        <w:spacing w:after="120"/>
      </w:pPr>
    </w:p>
    <w:p>
      <w:pPr>
        <w:pStyle w:val="Heading2"/>
        <w:spacing w:after="120" w:before="300"/>
      </w:pPr>
      <w:r>
        <w:t xml:space="preserve">5.4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9D9D9" w:color="auto" w:val="clear"/>
            <w:tcMar>
              <w:top w:type="dxa" w:w="80"/>
              <w:left w:type="dxa" w:w="100"/>
              <w:bottom w:type="dxa" w:w="80"/>
              <w:right w:type="dxa" w:w="100"/>
            </w:tcMar>
            <w:vAlign w:val="center"/>
          </w:tcPr>
          <w:p>
            <w:r>
              <w:rPr>
                <w:b/>
                <w:bCs/>
                <w:sz w:val="20"/>
                <w:szCs w:val="20"/>
              </w:rPr>
              <w:t xml:space="preserve">ID</w:t>
            </w:r>
          </w:p>
        </w:tc>
        <w:tc>
          <w:tcPr>
            <w:tcW w:type="dxa" w:w="7760"/>
            <w:shd w:fill="D9D9D9" w:color="auto" w:val="clear"/>
            <w:tcMar>
              <w:top w:type="dxa" w:w="80"/>
              <w:left w:type="dxa" w:w="100"/>
              <w:bottom w:type="dxa" w:w="80"/>
              <w:right w:type="dxa" w:w="100"/>
            </w:tcMar>
            <w:vAlign w:val="center"/>
          </w:tcPr>
          <w:p>
            <w:r>
              <w:rPr>
                <w:b/>
                <w:bCs/>
                <w:sz w:val="20"/>
                <w:szCs w:val="20"/>
              </w:rPr>
              <w:t xml:space="preserve">Requirement</w:t>
            </w:r>
          </w:p>
        </w:tc>
      </w:tr>
      <w:tr>
        <w:tc>
          <w:tcPr>
            <w:tcW w:type="dxa" w:w="1600"/>
            <w:tcMar>
              <w:top w:type="dxa" w:w="80"/>
              <w:left w:type="dxa" w:w="100"/>
              <w:bottom w:type="dxa" w:w="80"/>
              <w:right w:type="dxa" w:w="100"/>
            </w:tcMar>
            <w:vAlign w:val="center"/>
          </w:tcPr>
          <w:p>
            <w:r>
              <w:rPr>
                <w:b w:val="false"/>
                <w:bCs w:val="false"/>
                <w:sz w:val="20"/>
                <w:szCs w:val="20"/>
              </w:rPr>
              <w:t xml:space="preserve">NFR-4.1</w:t>
            </w:r>
          </w:p>
        </w:tc>
        <w:tc>
          <w:tcPr>
            <w:tcW w:type="dxa" w:w="7760"/>
            <w:tcMar>
              <w:top w:type="dxa" w:w="80"/>
              <w:left w:type="dxa" w:w="100"/>
              <w:bottom w:type="dxa" w:w="80"/>
              <w:right w:type="dxa" w:w="100"/>
            </w:tcMar>
            <w:vAlign w:val="center"/>
          </w:tcPr>
          <w:p>
            <w:r>
              <w:rPr>
                <w:b w:val="false"/>
                <w:bCs w:val="false"/>
                <w:sz w:val="20"/>
                <w:szCs w:val="20"/>
              </w:rPr>
              <w:t xml:space="preserve">Target 99.5% uptime post-launch, reviewed quarterly against actuals.</w:t>
            </w:r>
          </w:p>
        </w:tc>
      </w:tr>
      <w:tr>
        <w:tc>
          <w:tcPr>
            <w:tcW w:type="dxa" w:w="1600"/>
            <w:tcMar>
              <w:top w:type="dxa" w:w="80"/>
              <w:left w:type="dxa" w:w="100"/>
              <w:bottom w:type="dxa" w:w="80"/>
              <w:right w:type="dxa" w:w="100"/>
            </w:tcMar>
            <w:vAlign w:val="center"/>
          </w:tcPr>
          <w:p>
            <w:r>
              <w:rPr>
                <w:b w:val="false"/>
                <w:bCs w:val="false"/>
                <w:sz w:val="20"/>
                <w:szCs w:val="20"/>
              </w:rPr>
              <w:t xml:space="preserve">NFR-4.2</w:t>
            </w:r>
          </w:p>
        </w:tc>
        <w:tc>
          <w:tcPr>
            <w:tcW w:type="dxa" w:w="7760"/>
            <w:tcMar>
              <w:top w:type="dxa" w:w="80"/>
              <w:left w:type="dxa" w:w="100"/>
              <w:bottom w:type="dxa" w:w="80"/>
              <w:right w:type="dxa" w:w="100"/>
            </w:tcMar>
            <w:vAlign w:val="center"/>
          </w:tcPr>
          <w:p>
            <w:r>
              <w:rPr>
                <w:b w:val="false"/>
                <w:bCs w:val="false"/>
                <w:sz w:val="20"/>
                <w:szCs w:val="20"/>
              </w:rPr>
              <w:t xml:space="preserve">Background jobs shall be idempotent and safe to retry without creating duplicate financial records.</w:t>
            </w:r>
          </w:p>
        </w:tc>
      </w:tr>
      <w:tr>
        <w:tc>
          <w:tcPr>
            <w:tcW w:type="dxa" w:w="1600"/>
            <w:tcMar>
              <w:top w:type="dxa" w:w="80"/>
              <w:left w:type="dxa" w:w="100"/>
              <w:bottom w:type="dxa" w:w="80"/>
              <w:right w:type="dxa" w:w="100"/>
            </w:tcMar>
            <w:vAlign w:val="center"/>
          </w:tcPr>
          <w:p>
            <w:r>
              <w:rPr>
                <w:b w:val="false"/>
                <w:bCs w:val="false"/>
                <w:sz w:val="20"/>
                <w:szCs w:val="20"/>
              </w:rPr>
              <w:t xml:space="preserve">NFR-4.3</w:t>
            </w:r>
          </w:p>
        </w:tc>
        <w:tc>
          <w:tcPr>
            <w:tcW w:type="dxa" w:w="7760"/>
            <w:tcMar>
              <w:top w:type="dxa" w:w="80"/>
              <w:left w:type="dxa" w:w="100"/>
              <w:bottom w:type="dxa" w:w="80"/>
              <w:right w:type="dxa" w:w="100"/>
            </w:tcMar>
            <w:vAlign w:val="center"/>
          </w:tcPr>
          <w:p>
            <w:r>
              <w:rPr>
                <w:b w:val="false"/>
                <w:bCs w:val="false"/>
                <w:sz w:val="20"/>
                <w:szCs w:val="20"/>
              </w:rPr>
              <w:t xml:space="preserve">Core CRUD functionality shall degrade gracefully (not hard-fail) if email or monitoring services are temporarily unavailable.</w:t>
            </w:r>
          </w:p>
        </w:tc>
      </w:tr>
      <w:tr>
        <w:tc>
          <w:tcPr>
            <w:tcW w:type="dxa" w:w="1600"/>
            <w:tcMar>
              <w:top w:type="dxa" w:w="80"/>
              <w:left w:type="dxa" w:w="100"/>
              <w:bottom w:type="dxa" w:w="80"/>
              <w:right w:type="dxa" w:w="100"/>
            </w:tcMar>
            <w:vAlign w:val="center"/>
          </w:tcPr>
          <w:p>
            <w:r>
              <w:rPr>
                <w:b w:val="false"/>
                <w:bCs w:val="false"/>
                <w:sz w:val="20"/>
                <w:szCs w:val="20"/>
              </w:rPr>
              <w:t xml:space="preserve">NFR-4.4</w:t>
            </w:r>
          </w:p>
        </w:tc>
        <w:tc>
          <w:tcPr>
            <w:tcW w:type="dxa" w:w="7760"/>
            <w:tcMar>
              <w:top w:type="dxa" w:w="80"/>
              <w:left w:type="dxa" w:w="100"/>
              <w:bottom w:type="dxa" w:w="80"/>
              <w:right w:type="dxa" w:w="100"/>
            </w:tcMar>
            <w:vAlign w:val="center"/>
          </w:tcPr>
          <w:p>
            <w:r>
              <w:rPr>
                <w:b w:val="false"/>
                <w:bCs w:val="false"/>
                <w:sz w:val="20"/>
                <w:szCs w:val="20"/>
              </w:rPr>
              <w:t xml:space="preserve">Database backups shall run at minimum daily, with defined RPO ≤ 24h and RTO ≤ 4h.</w:t>
            </w:r>
          </w:p>
        </w:tc>
      </w:tr>
    </w:tbl>
    <w:p>
      <w:pPr>
        <w:spacing w:after="120"/>
      </w:pPr>
    </w:p>
    <w:p>
      <w:pPr>
        <w:pStyle w:val="Heading2"/>
        <w:spacing w:after="120" w:before="300"/>
      </w:pPr>
      <w:r>
        <w:t xml:space="preserve">5.5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9D9D9" w:color="auto" w:val="clear"/>
            <w:tcMar>
              <w:top w:type="dxa" w:w="80"/>
              <w:left w:type="dxa" w:w="100"/>
              <w:bottom w:type="dxa" w:w="80"/>
              <w:right w:type="dxa" w:w="100"/>
            </w:tcMar>
            <w:vAlign w:val="center"/>
          </w:tcPr>
          <w:p>
            <w:r>
              <w:rPr>
                <w:b/>
                <w:bCs/>
                <w:sz w:val="20"/>
                <w:szCs w:val="20"/>
              </w:rPr>
              <w:t xml:space="preserve">ID</w:t>
            </w:r>
          </w:p>
        </w:tc>
        <w:tc>
          <w:tcPr>
            <w:tcW w:type="dxa" w:w="7760"/>
            <w:shd w:fill="D9D9D9" w:color="auto" w:val="clear"/>
            <w:tcMar>
              <w:top w:type="dxa" w:w="80"/>
              <w:left w:type="dxa" w:w="100"/>
              <w:bottom w:type="dxa" w:w="80"/>
              <w:right w:type="dxa" w:w="100"/>
            </w:tcMar>
            <w:vAlign w:val="center"/>
          </w:tcPr>
          <w:p>
            <w:r>
              <w:rPr>
                <w:b/>
                <w:bCs/>
                <w:sz w:val="20"/>
                <w:szCs w:val="20"/>
              </w:rPr>
              <w:t xml:space="preserve">Requirement</w:t>
            </w:r>
          </w:p>
        </w:tc>
      </w:tr>
      <w:tr>
        <w:tc>
          <w:tcPr>
            <w:tcW w:type="dxa" w:w="1600"/>
            <w:tcMar>
              <w:top w:type="dxa" w:w="80"/>
              <w:left w:type="dxa" w:w="100"/>
              <w:bottom w:type="dxa" w:w="80"/>
              <w:right w:type="dxa" w:w="100"/>
            </w:tcMar>
            <w:vAlign w:val="center"/>
          </w:tcPr>
          <w:p>
            <w:r>
              <w:rPr>
                <w:b w:val="false"/>
                <w:bCs w:val="false"/>
                <w:sz w:val="20"/>
                <w:szCs w:val="20"/>
              </w:rPr>
              <w:t xml:space="preserve">NFR-5.1</w:t>
            </w:r>
          </w:p>
        </w:tc>
        <w:tc>
          <w:tcPr>
            <w:tcW w:type="dxa" w:w="7760"/>
            <w:tcMar>
              <w:top w:type="dxa" w:w="80"/>
              <w:left w:type="dxa" w:w="100"/>
              <w:bottom w:type="dxa" w:w="80"/>
              <w:right w:type="dxa" w:w="100"/>
            </w:tcMar>
            <w:vAlign w:val="center"/>
          </w:tcPr>
          <w:p>
            <w:r>
              <w:rPr>
                <w:b w:val="false"/>
                <w:bCs w:val="false"/>
                <w:sz w:val="20"/>
                <w:szCs w:val="20"/>
              </w:rPr>
              <w:t xml:space="preserve">Automated test suite (unit + integration) required for all endpoints and core business logic (balance updates, recurring generation, tenant isolation).</w:t>
            </w:r>
          </w:p>
        </w:tc>
      </w:tr>
      <w:tr>
        <w:tc>
          <w:tcPr>
            <w:tcW w:type="dxa" w:w="1600"/>
            <w:tcMar>
              <w:top w:type="dxa" w:w="80"/>
              <w:left w:type="dxa" w:w="100"/>
              <w:bottom w:type="dxa" w:w="80"/>
              <w:right w:type="dxa" w:w="100"/>
            </w:tcMar>
            <w:vAlign w:val="center"/>
          </w:tcPr>
          <w:p>
            <w:r>
              <w:rPr>
                <w:b w:val="false"/>
                <w:bCs w:val="false"/>
                <w:sz w:val="20"/>
                <w:szCs w:val="20"/>
              </w:rPr>
              <w:t xml:space="preserve">NFR-5.2</w:t>
            </w:r>
          </w:p>
        </w:tc>
        <w:tc>
          <w:tcPr>
            <w:tcW w:type="dxa" w:w="7760"/>
            <w:tcMar>
              <w:top w:type="dxa" w:w="80"/>
              <w:left w:type="dxa" w:w="100"/>
              <w:bottom w:type="dxa" w:w="80"/>
              <w:right w:type="dxa" w:w="100"/>
            </w:tcMar>
            <w:vAlign w:val="center"/>
          </w:tcPr>
          <w:p>
            <w:r>
              <w:rPr>
                <w:b w:val="false"/>
                <w:bCs w:val="false"/>
                <w:sz w:val="20"/>
                <w:szCs w:val="20"/>
              </w:rPr>
              <w:t xml:space="preserve">CI pipeline shall run tests, linting, and dependency vulnerability scans before merge.</w:t>
            </w:r>
          </w:p>
        </w:tc>
      </w:tr>
      <w:tr>
        <w:tc>
          <w:tcPr>
            <w:tcW w:type="dxa" w:w="1600"/>
            <w:tcMar>
              <w:top w:type="dxa" w:w="80"/>
              <w:left w:type="dxa" w:w="100"/>
              <w:bottom w:type="dxa" w:w="80"/>
              <w:right w:type="dxa" w:w="100"/>
            </w:tcMar>
            <w:vAlign w:val="center"/>
          </w:tcPr>
          <w:p>
            <w:r>
              <w:rPr>
                <w:b w:val="false"/>
                <w:bCs w:val="false"/>
                <w:sz w:val="20"/>
                <w:szCs w:val="20"/>
              </w:rPr>
              <w:t xml:space="preserve">NFR-5.3</w:t>
            </w:r>
          </w:p>
        </w:tc>
        <w:tc>
          <w:tcPr>
            <w:tcW w:type="dxa" w:w="7760"/>
            <w:tcMar>
              <w:top w:type="dxa" w:w="80"/>
              <w:left w:type="dxa" w:w="100"/>
              <w:bottom w:type="dxa" w:w="80"/>
              <w:right w:type="dxa" w:w="100"/>
            </w:tcMar>
            <w:vAlign w:val="center"/>
          </w:tcPr>
          <w:p>
            <w:r>
              <w:rPr>
                <w:b w:val="false"/>
                <w:bCs w:val="false"/>
                <w:sz w:val="20"/>
                <w:szCs w:val="20"/>
              </w:rPr>
              <w:t xml:space="preserve">Database schema changes managed exclusively through Alembic migrations, never ad hoc.</w:t>
            </w:r>
          </w:p>
        </w:tc>
      </w:tr>
    </w:tbl>
    <w:p>
      <w:pPr>
        <w:spacing w:after="120"/>
      </w:pPr>
    </w:p>
    <w:p>
      <w:pPr>
        <w:pStyle w:val="Heading2"/>
        <w:spacing w:after="120" w:before="300"/>
      </w:pPr>
      <w:r>
        <w:t xml:space="preserve">5.6 Usability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9D9D9" w:color="auto" w:val="clear"/>
            <w:tcMar>
              <w:top w:type="dxa" w:w="80"/>
              <w:left w:type="dxa" w:w="100"/>
              <w:bottom w:type="dxa" w:w="80"/>
              <w:right w:type="dxa" w:w="100"/>
            </w:tcMar>
            <w:vAlign w:val="center"/>
          </w:tcPr>
          <w:p>
            <w:r>
              <w:rPr>
                <w:b/>
                <w:bCs/>
                <w:sz w:val="20"/>
                <w:szCs w:val="20"/>
              </w:rPr>
              <w:t xml:space="preserve">ID</w:t>
            </w:r>
          </w:p>
        </w:tc>
        <w:tc>
          <w:tcPr>
            <w:tcW w:type="dxa" w:w="7760"/>
            <w:shd w:fill="D9D9D9" w:color="auto" w:val="clear"/>
            <w:tcMar>
              <w:top w:type="dxa" w:w="80"/>
              <w:left w:type="dxa" w:w="100"/>
              <w:bottom w:type="dxa" w:w="80"/>
              <w:right w:type="dxa" w:w="100"/>
            </w:tcMar>
            <w:vAlign w:val="center"/>
          </w:tcPr>
          <w:p>
            <w:r>
              <w:rPr>
                <w:b/>
                <w:bCs/>
                <w:sz w:val="20"/>
                <w:szCs w:val="20"/>
              </w:rPr>
              <w:t xml:space="preserve">Requirement</w:t>
            </w:r>
          </w:p>
        </w:tc>
      </w:tr>
      <w:tr>
        <w:tc>
          <w:tcPr>
            <w:tcW w:type="dxa" w:w="1600"/>
            <w:tcMar>
              <w:top w:type="dxa" w:w="80"/>
              <w:left w:type="dxa" w:w="100"/>
              <w:bottom w:type="dxa" w:w="80"/>
              <w:right w:type="dxa" w:w="100"/>
            </w:tcMar>
            <w:vAlign w:val="center"/>
          </w:tcPr>
          <w:p>
            <w:r>
              <w:rPr>
                <w:b w:val="false"/>
                <w:bCs w:val="false"/>
                <w:sz w:val="20"/>
                <w:szCs w:val="20"/>
              </w:rPr>
              <w:t xml:space="preserve">NFR-6.1</w:t>
            </w:r>
          </w:p>
        </w:tc>
        <w:tc>
          <w:tcPr>
            <w:tcW w:type="dxa" w:w="7760"/>
            <w:tcMar>
              <w:top w:type="dxa" w:w="80"/>
              <w:left w:type="dxa" w:w="100"/>
              <w:bottom w:type="dxa" w:w="80"/>
              <w:right w:type="dxa" w:w="100"/>
            </w:tcMar>
            <w:vAlign w:val="center"/>
          </w:tcPr>
          <w:p>
            <w:r>
              <w:rPr>
                <w:b w:val="false"/>
                <w:bCs w:val="false"/>
                <w:sz w:val="20"/>
                <w:szCs w:val="20"/>
              </w:rPr>
              <w:t xml:space="preserve">Auto-generated OpenAPI documentation shall remain accurate and current with every release.</w:t>
            </w:r>
          </w:p>
        </w:tc>
      </w:tr>
      <w:tr>
        <w:tc>
          <w:tcPr>
            <w:tcW w:type="dxa" w:w="1600"/>
            <w:tcMar>
              <w:top w:type="dxa" w:w="80"/>
              <w:left w:type="dxa" w:w="100"/>
              <w:bottom w:type="dxa" w:w="80"/>
              <w:right w:type="dxa" w:w="100"/>
            </w:tcMar>
            <w:vAlign w:val="center"/>
          </w:tcPr>
          <w:p>
            <w:r>
              <w:rPr>
                <w:b w:val="false"/>
                <w:bCs w:val="false"/>
                <w:sz w:val="20"/>
                <w:szCs w:val="20"/>
              </w:rPr>
              <w:t xml:space="preserve">NFR-6.2</w:t>
            </w:r>
          </w:p>
        </w:tc>
        <w:tc>
          <w:tcPr>
            <w:tcW w:type="dxa" w:w="7760"/>
            <w:tcMar>
              <w:top w:type="dxa" w:w="80"/>
              <w:left w:type="dxa" w:w="100"/>
              <w:bottom w:type="dxa" w:w="80"/>
              <w:right w:type="dxa" w:w="100"/>
            </w:tcMar>
            <w:vAlign w:val="center"/>
          </w:tcPr>
          <w:p>
            <w:r>
              <w:rPr>
                <w:b w:val="false"/>
                <w:bCs w:val="false"/>
                <w:sz w:val="20"/>
                <w:szCs w:val="20"/>
              </w:rPr>
              <w:t xml:space="preserve">Error responses shall use a consistent, documented schema (error code, message, field) across all endpoints.</w:t>
            </w:r>
          </w:p>
        </w:tc>
      </w:tr>
    </w:tbl>
    <w:p>
      <w:pPr>
        <w:spacing w:after="120"/>
      </w:pPr>
    </w:p>
    <w:p>
      <w:pPr>
        <w:pStyle w:val="Heading2"/>
        <w:spacing w:after="120" w:before="300"/>
      </w:pPr>
      <w:r>
        <w:t xml:space="preserve">5.7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9D9D9" w:color="auto" w:val="clear"/>
            <w:tcMar>
              <w:top w:type="dxa" w:w="80"/>
              <w:left w:type="dxa" w:w="100"/>
              <w:bottom w:type="dxa" w:w="80"/>
              <w:right w:type="dxa" w:w="100"/>
            </w:tcMar>
            <w:vAlign w:val="center"/>
          </w:tcPr>
          <w:p>
            <w:r>
              <w:rPr>
                <w:b/>
                <w:bCs/>
                <w:sz w:val="20"/>
                <w:szCs w:val="20"/>
              </w:rPr>
              <w:t xml:space="preserve">ID</w:t>
            </w:r>
          </w:p>
        </w:tc>
        <w:tc>
          <w:tcPr>
            <w:tcW w:type="dxa" w:w="7760"/>
            <w:shd w:fill="D9D9D9" w:color="auto" w:val="clear"/>
            <w:tcMar>
              <w:top w:type="dxa" w:w="80"/>
              <w:left w:type="dxa" w:w="100"/>
              <w:bottom w:type="dxa" w:w="80"/>
              <w:right w:type="dxa" w:w="100"/>
            </w:tcMar>
            <w:vAlign w:val="center"/>
          </w:tcPr>
          <w:p>
            <w:r>
              <w:rPr>
                <w:b/>
                <w:bCs/>
                <w:sz w:val="20"/>
                <w:szCs w:val="20"/>
              </w:rPr>
              <w:t xml:space="preserve">Requirement</w:t>
            </w:r>
          </w:p>
        </w:tc>
      </w:tr>
      <w:tr>
        <w:tc>
          <w:tcPr>
            <w:tcW w:type="dxa" w:w="1600"/>
            <w:tcMar>
              <w:top w:type="dxa" w:w="80"/>
              <w:left w:type="dxa" w:w="100"/>
              <w:bottom w:type="dxa" w:w="80"/>
              <w:right w:type="dxa" w:w="100"/>
            </w:tcMar>
            <w:vAlign w:val="center"/>
          </w:tcPr>
          <w:p>
            <w:r>
              <w:rPr>
                <w:b w:val="false"/>
                <w:bCs w:val="false"/>
                <w:sz w:val="20"/>
                <w:szCs w:val="20"/>
              </w:rPr>
              <w:t xml:space="preserve">NFR-7.1</w:t>
            </w:r>
          </w:p>
        </w:tc>
        <w:tc>
          <w:tcPr>
            <w:tcW w:type="dxa" w:w="7760"/>
            <w:tcMar>
              <w:top w:type="dxa" w:w="80"/>
              <w:left w:type="dxa" w:w="100"/>
              <w:bottom w:type="dxa" w:w="80"/>
              <w:right w:type="dxa" w:w="100"/>
            </w:tcMar>
            <w:vAlign w:val="center"/>
          </w:tcPr>
          <w:p>
            <w:r>
              <w:rPr>
                <w:b w:val="false"/>
                <w:bCs w:val="false"/>
                <w:sz w:val="20"/>
                <w:szCs w:val="20"/>
              </w:rPr>
              <w:t xml:space="preserve">All unhandled exceptions logged to a centralized error-monitoring service with alerting.</w:t>
            </w:r>
          </w:p>
        </w:tc>
      </w:tr>
      <w:tr>
        <w:tc>
          <w:tcPr>
            <w:tcW w:type="dxa" w:w="1600"/>
            <w:tcMar>
              <w:top w:type="dxa" w:w="80"/>
              <w:left w:type="dxa" w:w="100"/>
              <w:bottom w:type="dxa" w:w="80"/>
              <w:right w:type="dxa" w:w="100"/>
            </w:tcMar>
            <w:vAlign w:val="center"/>
          </w:tcPr>
          <w:p>
            <w:r>
              <w:rPr>
                <w:b w:val="false"/>
                <w:bCs w:val="false"/>
                <w:sz w:val="20"/>
                <w:szCs w:val="20"/>
              </w:rPr>
              <w:t xml:space="preserve">NFR-7.2</w:t>
            </w:r>
          </w:p>
        </w:tc>
        <w:tc>
          <w:tcPr>
            <w:tcW w:type="dxa" w:w="7760"/>
            <w:tcMar>
              <w:top w:type="dxa" w:w="80"/>
              <w:left w:type="dxa" w:w="100"/>
              <w:bottom w:type="dxa" w:w="80"/>
              <w:right w:type="dxa" w:w="100"/>
            </w:tcMar>
            <w:vAlign w:val="center"/>
          </w:tcPr>
          <w:p>
            <w:r>
              <w:rPr>
                <w:b w:val="false"/>
                <w:bCs w:val="false"/>
                <w:sz w:val="20"/>
                <w:szCs w:val="20"/>
              </w:rPr>
              <w:t xml:space="preserve">Structured, tenant-tagged logging (without logging sensitive financial values) for request tracing.</w:t>
            </w:r>
          </w:p>
        </w:tc>
      </w:tr>
      <w:tr>
        <w:tc>
          <w:tcPr>
            <w:tcW w:type="dxa" w:w="1600"/>
            <w:tcMar>
              <w:top w:type="dxa" w:w="80"/>
              <w:left w:type="dxa" w:w="100"/>
              <w:bottom w:type="dxa" w:w="80"/>
              <w:right w:type="dxa" w:w="100"/>
            </w:tcMar>
            <w:vAlign w:val="center"/>
          </w:tcPr>
          <w:p>
            <w:r>
              <w:rPr>
                <w:b w:val="false"/>
                <w:bCs w:val="false"/>
                <w:sz w:val="20"/>
                <w:szCs w:val="20"/>
              </w:rPr>
              <w:t xml:space="preserve">NFR-7.3</w:t>
            </w:r>
          </w:p>
        </w:tc>
        <w:tc>
          <w:tcPr>
            <w:tcW w:type="dxa" w:w="7760"/>
            <w:tcMar>
              <w:top w:type="dxa" w:w="80"/>
              <w:left w:type="dxa" w:w="100"/>
              <w:bottom w:type="dxa" w:w="80"/>
              <w:right w:type="dxa" w:w="100"/>
            </w:tcMar>
            <w:vAlign w:val="center"/>
          </w:tcPr>
          <w:p>
            <w:r>
              <w:rPr>
                <w:b w:val="false"/>
                <w:bCs w:val="false"/>
                <w:sz w:val="20"/>
                <w:szCs w:val="20"/>
              </w:rPr>
              <w:t xml:space="preserve">Key metrics (latency, error rate, job queue depth) exposed to a monitoring dashboard.</w:t>
            </w:r>
          </w:p>
        </w:tc>
      </w:tr>
    </w:tbl>
    <w:p>
      <w:pPr>
        <w:spacing w:after="120"/>
      </w:pPr>
    </w:p>
    <w:p>
      <w:pPr>
        <w:pStyle w:val="Heading2"/>
        <w:spacing w:after="120" w:before="300"/>
      </w:pPr>
      <w:r>
        <w:t xml:space="preserve">5.8 Portability</w:t>
      </w:r>
    </w:p>
    <w:p>
      <w:pPr>
        <w:spacing w:after="160"/>
      </w:pPr>
      <w:r>
        <w:t xml:space="preserve">All configuration is environment-variable driven; no hard-coded secrets, hostnames, or file-system paths, so the system can be deployed to a new environment (staging, DR region) without code changes.</w:t>
      </w:r>
    </w:p>
    <w:p>
      <w:pPr>
        <w:pStyle w:val="Heading2"/>
        <w:spacing w:after="120" w:before="300"/>
      </w:pPr>
      <w:r>
        <w:t xml:space="preserve">5.9 Bank Data &amp; Third-Party Aggregation Security</w:t>
      </w:r>
    </w:p>
    <w:p>
      <w:pPr>
        <w:spacing w:after="160"/>
      </w:pPr>
      <w:r>
        <w:t xml:space="preserve">This linked-bank-account feature (Section 3.14) introduces materially more sensitive data than the platform's original self-reported model, and materially higher stakes if it is mishandled. The following requirements apply specifically to it, in addition to Section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9D9D9" w:color="auto" w:val="clear"/>
            <w:tcMar>
              <w:top w:type="dxa" w:w="80"/>
              <w:left w:type="dxa" w:w="100"/>
              <w:bottom w:type="dxa" w:w="80"/>
              <w:right w:type="dxa" w:w="100"/>
            </w:tcMar>
            <w:vAlign w:val="center"/>
          </w:tcPr>
          <w:p>
            <w:r>
              <w:rPr>
                <w:b/>
                <w:bCs/>
                <w:sz w:val="20"/>
                <w:szCs w:val="20"/>
              </w:rPr>
              <w:t xml:space="preserve">ID</w:t>
            </w:r>
          </w:p>
        </w:tc>
        <w:tc>
          <w:tcPr>
            <w:tcW w:type="dxa" w:w="7760"/>
            <w:shd w:fill="D9D9D9" w:color="auto" w:val="clear"/>
            <w:tcMar>
              <w:top w:type="dxa" w:w="80"/>
              <w:left w:type="dxa" w:w="100"/>
              <w:bottom w:type="dxa" w:w="80"/>
              <w:right w:type="dxa" w:w="100"/>
            </w:tcMar>
            <w:vAlign w:val="center"/>
          </w:tcPr>
          <w:p>
            <w:r>
              <w:rPr>
                <w:b/>
                <w:bCs/>
                <w:sz w:val="20"/>
                <w:szCs w:val="20"/>
              </w:rPr>
              <w:t xml:space="preserve">Requirement</w:t>
            </w:r>
          </w:p>
        </w:tc>
      </w:tr>
      <w:tr>
        <w:tc>
          <w:tcPr>
            <w:tcW w:type="dxa" w:w="1600"/>
            <w:tcMar>
              <w:top w:type="dxa" w:w="80"/>
              <w:left w:type="dxa" w:w="100"/>
              <w:bottom w:type="dxa" w:w="80"/>
              <w:right w:type="dxa" w:w="100"/>
            </w:tcMar>
            <w:vAlign w:val="center"/>
          </w:tcPr>
          <w:p>
            <w:r>
              <w:rPr>
                <w:b w:val="false"/>
                <w:bCs w:val="false"/>
                <w:sz w:val="20"/>
                <w:szCs w:val="20"/>
              </w:rPr>
              <w:t xml:space="preserve">NFR-9.1</w:t>
            </w:r>
          </w:p>
        </w:tc>
        <w:tc>
          <w:tcPr>
            <w:tcW w:type="dxa" w:w="7760"/>
            <w:tcMar>
              <w:top w:type="dxa" w:w="80"/>
              <w:left w:type="dxa" w:w="100"/>
              <w:bottom w:type="dxa" w:w="80"/>
              <w:right w:type="dxa" w:w="100"/>
            </w:tcMar>
            <w:vAlign w:val="center"/>
          </w:tcPr>
          <w:p>
            <w:r>
              <w:rPr>
                <w:b w:val="false"/>
                <w:bCs w:val="false"/>
                <w:sz w:val="20"/>
                <w:szCs w:val="20"/>
              </w:rPr>
              <w:t xml:space="preserve">Third-party aggregator access tokens shall be encrypted at rest using envelope encryption (a per-token data-encryption key, wrapped by a key held in a managed KMS); tokens shall never be stored in plaintext.</w:t>
            </w:r>
          </w:p>
        </w:tc>
      </w:tr>
      <w:tr>
        <w:tc>
          <w:tcPr>
            <w:tcW w:type="dxa" w:w="1600"/>
            <w:tcMar>
              <w:top w:type="dxa" w:w="80"/>
              <w:left w:type="dxa" w:w="100"/>
              <w:bottom w:type="dxa" w:w="80"/>
              <w:right w:type="dxa" w:w="100"/>
            </w:tcMar>
            <w:vAlign w:val="center"/>
          </w:tcPr>
          <w:p>
            <w:r>
              <w:rPr>
                <w:b w:val="false"/>
                <w:bCs w:val="false"/>
                <w:sz w:val="20"/>
                <w:szCs w:val="20"/>
              </w:rPr>
              <w:t xml:space="preserve">NFR-9.2</w:t>
            </w:r>
          </w:p>
        </w:tc>
        <w:tc>
          <w:tcPr>
            <w:tcW w:type="dxa" w:w="7760"/>
            <w:tcMar>
              <w:top w:type="dxa" w:w="80"/>
              <w:left w:type="dxa" w:w="100"/>
              <w:bottom w:type="dxa" w:w="80"/>
              <w:right w:type="dxa" w:w="100"/>
            </w:tcMar>
            <w:vAlign w:val="center"/>
          </w:tcPr>
          <w:p>
            <w:r>
              <w:rPr>
                <w:b w:val="false"/>
                <w:bCs w:val="false"/>
                <w:sz w:val="20"/>
                <w:szCs w:val="20"/>
              </w:rPr>
              <w:t xml:space="preserve">Access tokens shall never be transmitted to, stored by, or made retrievable by any client application; all aggregator API calls occur server-side only.</w:t>
            </w:r>
          </w:p>
        </w:tc>
      </w:tr>
      <w:tr>
        <w:tc>
          <w:tcPr>
            <w:tcW w:type="dxa" w:w="1600"/>
            <w:tcMar>
              <w:top w:type="dxa" w:w="80"/>
              <w:left w:type="dxa" w:w="100"/>
              <w:bottom w:type="dxa" w:w="80"/>
              <w:right w:type="dxa" w:w="100"/>
            </w:tcMar>
            <w:vAlign w:val="center"/>
          </w:tcPr>
          <w:p>
            <w:r>
              <w:rPr>
                <w:b w:val="false"/>
                <w:bCs w:val="false"/>
                <w:sz w:val="20"/>
                <w:szCs w:val="20"/>
              </w:rPr>
              <w:t xml:space="preserve">NFR-9.3</w:t>
            </w:r>
          </w:p>
        </w:tc>
        <w:tc>
          <w:tcPr>
            <w:tcW w:type="dxa" w:w="7760"/>
            <w:tcMar>
              <w:top w:type="dxa" w:w="80"/>
              <w:left w:type="dxa" w:w="100"/>
              <w:bottom w:type="dxa" w:w="80"/>
              <w:right w:type="dxa" w:w="100"/>
            </w:tcMar>
            <w:vAlign w:val="center"/>
          </w:tcPr>
          <w:p>
            <w:r>
              <w:rPr>
                <w:b w:val="false"/>
                <w:bCs w:val="false"/>
                <w:sz w:val="20"/>
                <w:szCs w:val="20"/>
              </w:rPr>
              <w:t xml:space="preserve">The system shall request the minimum aggregator scopes necessary for balance and transaction read access, explicitly excluding any payment-initiation, account-opening, or unrelated identity-verification scopes.</w:t>
            </w:r>
          </w:p>
        </w:tc>
      </w:tr>
      <w:tr>
        <w:tc>
          <w:tcPr>
            <w:tcW w:type="dxa" w:w="1600"/>
            <w:tcMar>
              <w:top w:type="dxa" w:w="80"/>
              <w:left w:type="dxa" w:w="100"/>
              <w:bottom w:type="dxa" w:w="80"/>
              <w:right w:type="dxa" w:w="100"/>
            </w:tcMar>
            <w:vAlign w:val="center"/>
          </w:tcPr>
          <w:p>
            <w:r>
              <w:rPr>
                <w:b w:val="false"/>
                <w:bCs w:val="false"/>
                <w:sz w:val="20"/>
                <w:szCs w:val="20"/>
              </w:rPr>
              <w:t xml:space="preserve">NFR-9.4</w:t>
            </w:r>
          </w:p>
        </w:tc>
        <w:tc>
          <w:tcPr>
            <w:tcW w:type="dxa" w:w="7760"/>
            <w:tcMar>
              <w:top w:type="dxa" w:w="80"/>
              <w:left w:type="dxa" w:w="100"/>
              <w:bottom w:type="dxa" w:w="80"/>
              <w:right w:type="dxa" w:w="100"/>
            </w:tcMar>
            <w:vAlign w:val="center"/>
          </w:tcPr>
          <w:p>
            <w:r>
              <w:rPr>
                <w:b w:val="false"/>
                <w:bCs w:val="false"/>
                <w:sz w:val="20"/>
                <w:szCs w:val="20"/>
              </w:rPr>
              <w:t xml:space="preserve">All bank-linking and sync operations (linked, unlinked, sync executed, consent granted/revoked) shall be written to the audit log (Section 6.3), without logging raw balance or transaction values.</w:t>
            </w:r>
          </w:p>
        </w:tc>
      </w:tr>
      <w:tr>
        <w:tc>
          <w:tcPr>
            <w:tcW w:type="dxa" w:w="1600"/>
            <w:tcMar>
              <w:top w:type="dxa" w:w="80"/>
              <w:left w:type="dxa" w:w="100"/>
              <w:bottom w:type="dxa" w:w="80"/>
              <w:right w:type="dxa" w:w="100"/>
            </w:tcMar>
            <w:vAlign w:val="center"/>
          </w:tcPr>
          <w:p>
            <w:r>
              <w:rPr>
                <w:b w:val="false"/>
                <w:bCs w:val="false"/>
                <w:sz w:val="20"/>
                <w:szCs w:val="20"/>
              </w:rPr>
              <w:t xml:space="preserve">NFR-9.5</w:t>
            </w:r>
          </w:p>
        </w:tc>
        <w:tc>
          <w:tcPr>
            <w:tcW w:type="dxa" w:w="7760"/>
            <w:tcMar>
              <w:top w:type="dxa" w:w="80"/>
              <w:left w:type="dxa" w:w="100"/>
              <w:bottom w:type="dxa" w:w="80"/>
              <w:right w:type="dxa" w:w="100"/>
            </w:tcMar>
            <w:vAlign w:val="center"/>
          </w:tcPr>
          <w:p>
            <w:r>
              <w:rPr>
                <w:b w:val="false"/>
                <w:bCs w:val="false"/>
                <w:sz w:val="20"/>
                <w:szCs w:val="20"/>
              </w:rPr>
              <w:t xml:space="preserve">A documented third-party risk assessment of any connection provider used under FR-14.10 (security certifications, breach history, prior regulatory/legal history, data-handling terms) shall be completed before integration goes live.</w:t>
            </w:r>
          </w:p>
        </w:tc>
      </w:tr>
      <w:tr>
        <w:tc>
          <w:tcPr>
            <w:tcW w:type="dxa" w:w="1600"/>
            <w:tcMar>
              <w:top w:type="dxa" w:w="80"/>
              <w:left w:type="dxa" w:w="100"/>
              <w:bottom w:type="dxa" w:w="80"/>
              <w:right w:type="dxa" w:w="100"/>
            </w:tcMar>
            <w:vAlign w:val="center"/>
          </w:tcPr>
          <w:p>
            <w:r>
              <w:rPr>
                <w:b w:val="false"/>
                <w:bCs w:val="false"/>
                <w:sz w:val="20"/>
                <w:szCs w:val="20"/>
              </w:rPr>
              <w:t xml:space="preserve">NFR-9.6</w:t>
            </w:r>
          </w:p>
        </w:tc>
        <w:tc>
          <w:tcPr>
            <w:tcW w:type="dxa" w:w="7760"/>
            <w:tcMar>
              <w:top w:type="dxa" w:w="80"/>
              <w:left w:type="dxa" w:w="100"/>
              <w:bottom w:type="dxa" w:w="80"/>
              <w:right w:type="dxa" w:w="100"/>
            </w:tcMar>
            <w:vAlign w:val="center"/>
          </w:tcPr>
          <w:p>
            <w:r>
              <w:rPr>
                <w:b w:val="false"/>
                <w:bCs w:val="false"/>
                <w:sz w:val="20"/>
                <w:szCs w:val="20"/>
              </w:rPr>
              <w:t xml:space="preserve">The bank-aggregation integration shall undergo its own dedicated security review / penetration test prior to public launch, in addition to the platform-wide review in NFR-3.5.</w:t>
            </w:r>
          </w:p>
        </w:tc>
      </w:tr>
      <w:tr>
        <w:tc>
          <w:tcPr>
            <w:tcW w:type="dxa" w:w="1600"/>
            <w:tcMar>
              <w:top w:type="dxa" w:w="80"/>
              <w:left w:type="dxa" w:w="100"/>
              <w:bottom w:type="dxa" w:w="80"/>
              <w:right w:type="dxa" w:w="100"/>
            </w:tcMar>
            <w:vAlign w:val="center"/>
          </w:tcPr>
          <w:p>
            <w:r>
              <w:rPr>
                <w:b w:val="false"/>
                <w:bCs w:val="false"/>
                <w:sz w:val="20"/>
                <w:szCs w:val="20"/>
              </w:rPr>
              <w:t xml:space="preserve">NFR-9.7</w:t>
            </w:r>
          </w:p>
        </w:tc>
        <w:tc>
          <w:tcPr>
            <w:tcW w:type="dxa" w:w="7760"/>
            <w:tcMar>
              <w:top w:type="dxa" w:w="80"/>
              <w:left w:type="dxa" w:w="100"/>
              <w:bottom w:type="dxa" w:w="80"/>
              <w:right w:type="dxa" w:w="100"/>
            </w:tcMar>
            <w:vAlign w:val="center"/>
          </w:tcPr>
          <w:p>
            <w:r>
              <w:rPr>
                <w:b w:val="false"/>
                <w:bCs w:val="false"/>
                <w:sz w:val="20"/>
                <w:szCs w:val="20"/>
              </w:rPr>
              <w:t xml:space="preserve">No credential-entry interface — whether presented by this platform or a connection provider — shall be styled, branded, or worded in a way that could be mistaken for a specific bank's own login screen.</w:t>
            </w:r>
          </w:p>
        </w:tc>
      </w:tr>
      <w:tr>
        <w:tc>
          <w:tcPr>
            <w:tcW w:type="dxa" w:w="1600"/>
            <w:tcMar>
              <w:top w:type="dxa" w:w="80"/>
              <w:left w:type="dxa" w:w="100"/>
              <w:bottom w:type="dxa" w:w="80"/>
              <w:right w:type="dxa" w:w="100"/>
            </w:tcMar>
            <w:vAlign w:val="center"/>
          </w:tcPr>
          <w:p>
            <w:r>
              <w:rPr>
                <w:b w:val="false"/>
                <w:bCs w:val="false"/>
                <w:sz w:val="20"/>
                <w:szCs w:val="20"/>
              </w:rPr>
              <w:t xml:space="preserve">NFR-9.8</w:t>
            </w:r>
          </w:p>
        </w:tc>
        <w:tc>
          <w:tcPr>
            <w:tcW w:type="dxa" w:w="7760"/>
            <w:tcMar>
              <w:top w:type="dxa" w:w="80"/>
              <w:left w:type="dxa" w:w="100"/>
              <w:bottom w:type="dxa" w:w="80"/>
              <w:right w:type="dxa" w:w="100"/>
            </w:tcMar>
            <w:vAlign w:val="center"/>
          </w:tcPr>
          <w:p>
            <w:r>
              <w:rPr>
                <w:b w:val="false"/>
                <w:bCs w:val="false"/>
                <w:sz w:val="20"/>
                <w:szCs w:val="20"/>
              </w:rPr>
              <w:t xml:space="preserve">A signed Data Processing Agreement, prohibiting resale, secondary use, or unbounded retention of customer data, shall be in place with any third-party connection provider before it handles production data (implements FR-14.12).</w:t>
            </w:r>
          </w:p>
        </w:tc>
      </w:tr>
    </w:tbl>
    <w:p>
      <w:pPr>
        <w:spacing w:after="120"/>
      </w:pPr>
    </w:p>
    <w:p>
      <w:pPr>
        <w:pStyle w:val="Heading2"/>
        <w:spacing w:after="120" w:before="300"/>
      </w:pPr>
      <w:r>
        <w:t xml:space="preserve">5.10 Currency Conversion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9D9D9" w:color="auto" w:val="clear"/>
            <w:tcMar>
              <w:top w:type="dxa" w:w="80"/>
              <w:left w:type="dxa" w:w="100"/>
              <w:bottom w:type="dxa" w:w="80"/>
              <w:right w:type="dxa" w:w="100"/>
            </w:tcMar>
            <w:vAlign w:val="center"/>
          </w:tcPr>
          <w:p>
            <w:r>
              <w:rPr>
                <w:b/>
                <w:bCs/>
                <w:sz w:val="20"/>
                <w:szCs w:val="20"/>
              </w:rPr>
              <w:t xml:space="preserve">ID</w:t>
            </w:r>
          </w:p>
        </w:tc>
        <w:tc>
          <w:tcPr>
            <w:tcW w:type="dxa" w:w="7760"/>
            <w:shd w:fill="D9D9D9" w:color="auto" w:val="clear"/>
            <w:tcMar>
              <w:top w:type="dxa" w:w="80"/>
              <w:left w:type="dxa" w:w="100"/>
              <w:bottom w:type="dxa" w:w="80"/>
              <w:right w:type="dxa" w:w="100"/>
            </w:tcMar>
            <w:vAlign w:val="center"/>
          </w:tcPr>
          <w:p>
            <w:r>
              <w:rPr>
                <w:b/>
                <w:bCs/>
                <w:sz w:val="20"/>
                <w:szCs w:val="20"/>
              </w:rPr>
              <w:t xml:space="preserve">Requirement</w:t>
            </w:r>
          </w:p>
        </w:tc>
      </w:tr>
      <w:tr>
        <w:tc>
          <w:tcPr>
            <w:tcW w:type="dxa" w:w="1600"/>
            <w:tcMar>
              <w:top w:type="dxa" w:w="80"/>
              <w:left w:type="dxa" w:w="100"/>
              <w:bottom w:type="dxa" w:w="80"/>
              <w:right w:type="dxa" w:w="100"/>
            </w:tcMar>
            <w:vAlign w:val="center"/>
          </w:tcPr>
          <w:p>
            <w:r>
              <w:rPr>
                <w:b w:val="false"/>
                <w:bCs w:val="false"/>
                <w:sz w:val="20"/>
                <w:szCs w:val="20"/>
              </w:rPr>
              <w:t xml:space="preserve">NFR-10.1</w:t>
            </w:r>
          </w:p>
        </w:tc>
        <w:tc>
          <w:tcPr>
            <w:tcW w:type="dxa" w:w="7760"/>
            <w:tcMar>
              <w:top w:type="dxa" w:w="80"/>
              <w:left w:type="dxa" w:w="100"/>
              <w:bottom w:type="dxa" w:w="80"/>
              <w:right w:type="dxa" w:w="100"/>
            </w:tcMar>
            <w:vAlign w:val="center"/>
          </w:tcPr>
          <w:p>
            <w:r>
              <w:rPr>
                <w:b w:val="false"/>
                <w:bCs w:val="false"/>
                <w:sz w:val="20"/>
                <w:szCs w:val="20"/>
              </w:rPr>
              <w:t xml:space="preserve">Exchange rates shall be sourced from a reliable, reputable exchange-rate data provider, queried only with generic currency-pair identifiers — never accompanied by any customer-identifying or account data (FR-14.13).</w:t>
            </w:r>
          </w:p>
        </w:tc>
      </w:tr>
      <w:tr>
        <w:tc>
          <w:tcPr>
            <w:tcW w:type="dxa" w:w="1600"/>
            <w:tcMar>
              <w:top w:type="dxa" w:w="80"/>
              <w:left w:type="dxa" w:w="100"/>
              <w:bottom w:type="dxa" w:w="80"/>
              <w:right w:type="dxa" w:w="100"/>
            </w:tcMar>
            <w:vAlign w:val="center"/>
          </w:tcPr>
          <w:p>
            <w:r>
              <w:rPr>
                <w:b w:val="false"/>
                <w:bCs w:val="false"/>
                <w:sz w:val="20"/>
                <w:szCs w:val="20"/>
              </w:rPr>
              <w:t xml:space="preserve">NFR-10.2</w:t>
            </w:r>
          </w:p>
        </w:tc>
        <w:tc>
          <w:tcPr>
            <w:tcW w:type="dxa" w:w="7760"/>
            <w:tcMar>
              <w:top w:type="dxa" w:w="80"/>
              <w:left w:type="dxa" w:w="100"/>
              <w:bottom w:type="dxa" w:w="80"/>
              <w:right w:type="dxa" w:w="100"/>
            </w:tcMar>
            <w:vAlign w:val="center"/>
          </w:tcPr>
          <w:p>
            <w:r>
              <w:rPr>
                <w:b w:val="false"/>
                <w:bCs w:val="false"/>
                <w:sz w:val="20"/>
                <w:szCs w:val="20"/>
              </w:rPr>
              <w:t xml:space="preserve">Cached exchange rates shall be refreshed at least once every 24 hours; the Gross Balance view shall always display the as-of date/time of the rate in use (FR-14.14).</w:t>
            </w:r>
          </w:p>
        </w:tc>
      </w:tr>
      <w:tr>
        <w:tc>
          <w:tcPr>
            <w:tcW w:type="dxa" w:w="1600"/>
            <w:tcMar>
              <w:top w:type="dxa" w:w="80"/>
              <w:left w:type="dxa" w:w="100"/>
              <w:bottom w:type="dxa" w:w="80"/>
              <w:right w:type="dxa" w:w="100"/>
            </w:tcMar>
            <w:vAlign w:val="center"/>
          </w:tcPr>
          <w:p>
            <w:r>
              <w:rPr>
                <w:b w:val="false"/>
                <w:bCs w:val="false"/>
                <w:sz w:val="20"/>
                <w:szCs w:val="20"/>
              </w:rPr>
              <w:t xml:space="preserve">NFR-10.3</w:t>
            </w:r>
          </w:p>
        </w:tc>
        <w:tc>
          <w:tcPr>
            <w:tcW w:type="dxa" w:w="7760"/>
            <w:tcMar>
              <w:top w:type="dxa" w:w="80"/>
              <w:left w:type="dxa" w:w="100"/>
              <w:bottom w:type="dxa" w:w="80"/>
              <w:right w:type="dxa" w:w="100"/>
            </w:tcMar>
            <w:vAlign w:val="center"/>
          </w:tcPr>
          <w:p>
            <w:r>
              <w:rPr>
                <w:b w:val="false"/>
                <w:bCs w:val="false"/>
                <w:sz w:val="20"/>
                <w:szCs w:val="20"/>
              </w:rPr>
              <w:t xml:space="preserve">Converted totals shall be clearly labeled as approximate and for informational purposes only, since displayed rates may lag the live market rate (FR-14.15).</w:t>
            </w:r>
          </w:p>
        </w:tc>
      </w:tr>
      <w:tr>
        <w:tc>
          <w:tcPr>
            <w:tcW w:type="dxa" w:w="1600"/>
            <w:tcMar>
              <w:top w:type="dxa" w:w="80"/>
              <w:left w:type="dxa" w:w="100"/>
              <w:bottom w:type="dxa" w:w="80"/>
              <w:right w:type="dxa" w:w="100"/>
            </w:tcMar>
            <w:vAlign w:val="center"/>
          </w:tcPr>
          <w:p>
            <w:r>
              <w:rPr>
                <w:b w:val="false"/>
                <w:bCs w:val="false"/>
                <w:sz w:val="20"/>
                <w:szCs w:val="20"/>
              </w:rPr>
              <w:t xml:space="preserve">NFR-10.4</w:t>
            </w:r>
          </w:p>
        </w:tc>
        <w:tc>
          <w:tcPr>
            <w:tcW w:type="dxa" w:w="7760"/>
            <w:tcMar>
              <w:top w:type="dxa" w:w="80"/>
              <w:left w:type="dxa" w:w="100"/>
              <w:bottom w:type="dxa" w:w="80"/>
              <w:right w:type="dxa" w:w="100"/>
            </w:tcMar>
            <w:vAlign w:val="center"/>
          </w:tcPr>
          <w:p>
            <w:r>
              <w:rPr>
                <w:b w:val="false"/>
                <w:bCs w:val="false"/>
                <w:sz w:val="20"/>
                <w:szCs w:val="20"/>
              </w:rPr>
              <w:t xml:space="preserve">For a manually entered transaction in a currency other than its account's native currency (FR-6.2), the system shall request the historical exchange rate as of the transaction date from the same exchange-rate source; if a dated rate is unavailable, the nearest available rate shall be used and the amount clearly labeled as an approximation.</w:t>
            </w:r>
          </w:p>
        </w:tc>
      </w:tr>
    </w:tbl>
    <w:p>
      <w:pPr>
        <w:pStyle w:val="Heading1"/>
        <w:pageBreakBefore/>
        <w:spacing w:after="200"/>
      </w:pPr>
      <w:r>
        <w:t xml:space="preserve">6. Multi-Tenancy &amp; Data Requirements</w:t>
      </w:r>
    </w:p>
    <w:p>
      <w:pPr>
        <w:pStyle w:val="Heading2"/>
        <w:spacing w:after="120" w:before="300"/>
      </w:pPr>
      <w:r>
        <w:t xml:space="preserve">6.1 Logical Data Model</w:t>
      </w:r>
    </w:p>
    <w:p>
      <w:pPr>
        <w:spacing w:after="160"/>
      </w:pPr>
      <w:r>
        <w:t xml:space="preserve">Core entities: Tenant (User), Account, Category, Transaction, RecurringBill, SavingsGoal, RefreshToken, AuditLog (new), Notification (new). Every entity except Tenant itself carries a mandatory, indexed tenant_id foreign key.</w:t>
      </w:r>
    </w:p>
    <w:p>
      <w:pPr>
        <w:pStyle w:val="Heading2"/>
        <w:spacing w:after="120" w:before="300"/>
      </w:pPr>
      <w:r>
        <w:t xml:space="preserve">6.2 Tenant Isolation Strategy</w:t>
      </w:r>
    </w:p>
    <w:p>
      <w:pPr>
        <w:spacing w:after="160"/>
      </w:pPr>
      <w:r>
        <w:t xml:space="preserve">GAP IDENTIFIED AND RESOLVED: the original schema relied solely on application code remembering to filter by user_id — a single missed filter is a cross-tenant data leak. This revision mandates defense-in-depth:</w:t>
      </w:r>
    </w:p>
    <w:p>
      <w:pPr>
        <w:pStyle w:val="ListParagraph"/>
        <w:numPr>
          <w:ilvl w:val="0"/>
          <w:numId w:val="1"/>
        </w:numPr>
        <w:spacing w:after="60"/>
      </w:pPr>
      <w:r>
        <w:t xml:space="preserve">Layer 1 — Application: a shared query-layer dependency injects the authenticated tenant_id into every read/write; no handler constructs a raw query without it.</w:t>
      </w:r>
    </w:p>
    <w:p>
      <w:pPr>
        <w:pStyle w:val="ListParagraph"/>
        <w:numPr>
          <w:ilvl w:val="0"/>
          <w:numId w:val="1"/>
        </w:numPr>
        <w:spacing w:after="60"/>
      </w:pPr>
      <w:r>
        <w:t xml:space="preserve">Layer 2 — Database: PostgreSQL Row-Level Security policies on every tenant-scoped table, keyed to a session-local tenant_id variable set at the start of each request/transaction, so even a bug in application code cannot return another tenant's rows.</w:t>
      </w:r>
    </w:p>
    <w:p>
      <w:pPr>
        <w:pStyle w:val="ListParagraph"/>
        <w:numPr>
          <w:ilvl w:val="0"/>
          <w:numId w:val="1"/>
        </w:numPr>
        <w:spacing w:after="60"/>
      </w:pPr>
      <w:r>
        <w:t xml:space="preserve">Layer 3 — Testing: an automated isolation test suite that, for every endpoint, asserts Tenant A cannot read, write, or enumerate Tenant B's resources (Section 9.2).</w:t>
      </w:r>
    </w:p>
    <w:p>
      <w:pPr>
        <w:pStyle w:val="Heading2"/>
        <w:spacing w:after="120" w:before="300"/>
      </w:pPr>
      <w:r>
        <w:t xml:space="preserve">6.3 Data Retention &amp; Backup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9D9D9" w:color="auto" w:val="clear"/>
            <w:tcMar>
              <w:top w:type="dxa" w:w="80"/>
              <w:left w:type="dxa" w:w="100"/>
              <w:bottom w:type="dxa" w:w="80"/>
              <w:right w:type="dxa" w:w="100"/>
            </w:tcMar>
            <w:vAlign w:val="center"/>
          </w:tcPr>
          <w:p>
            <w:r>
              <w:rPr>
                <w:b/>
                <w:bCs/>
                <w:sz w:val="20"/>
                <w:szCs w:val="20"/>
              </w:rPr>
              <w:t xml:space="preserve">ID</w:t>
            </w:r>
          </w:p>
        </w:tc>
        <w:tc>
          <w:tcPr>
            <w:tcW w:type="dxa" w:w="7760"/>
            <w:shd w:fill="D9D9D9" w:color="auto" w:val="clear"/>
            <w:tcMar>
              <w:top w:type="dxa" w:w="80"/>
              <w:left w:type="dxa" w:w="100"/>
              <w:bottom w:type="dxa" w:w="80"/>
              <w:right w:type="dxa" w:w="100"/>
            </w:tcMar>
            <w:vAlign w:val="center"/>
          </w:tcPr>
          <w:p>
            <w:r>
              <w:rPr>
                <w:b/>
                <w:bCs/>
                <w:sz w:val="20"/>
                <w:szCs w:val="20"/>
              </w:rPr>
              <w:t xml:space="preserve">Requirement</w:t>
            </w:r>
          </w:p>
        </w:tc>
      </w:tr>
      <w:tr>
        <w:tc>
          <w:tcPr>
            <w:tcW w:type="dxa" w:w="1600"/>
            <w:tcMar>
              <w:top w:type="dxa" w:w="80"/>
              <w:left w:type="dxa" w:w="100"/>
              <w:bottom w:type="dxa" w:w="80"/>
              <w:right w:type="dxa" w:w="100"/>
            </w:tcMar>
            <w:vAlign w:val="center"/>
          </w:tcPr>
          <w:p>
            <w:r>
              <w:rPr>
                <w:b w:val="false"/>
                <w:bCs w:val="false"/>
                <w:sz w:val="20"/>
                <w:szCs w:val="20"/>
              </w:rPr>
              <w:t xml:space="preserve">NFR-8.1</w:t>
            </w:r>
          </w:p>
        </w:tc>
        <w:tc>
          <w:tcPr>
            <w:tcW w:type="dxa" w:w="7760"/>
            <w:tcMar>
              <w:top w:type="dxa" w:w="80"/>
              <w:left w:type="dxa" w:w="100"/>
              <w:bottom w:type="dxa" w:w="80"/>
              <w:right w:type="dxa" w:w="100"/>
            </w:tcMar>
            <w:vAlign w:val="center"/>
          </w:tcPr>
          <w:p>
            <w:r>
              <w:rPr>
                <w:b w:val="false"/>
                <w:bCs w:val="false"/>
                <w:sz w:val="20"/>
                <w:szCs w:val="20"/>
              </w:rPr>
              <w:t xml:space="preserve">Soft-deleted tenant data retained for 30 days to allow account recovery, then permanently purged.</w:t>
            </w:r>
          </w:p>
        </w:tc>
      </w:tr>
      <w:tr>
        <w:tc>
          <w:tcPr>
            <w:tcW w:type="dxa" w:w="1600"/>
            <w:tcMar>
              <w:top w:type="dxa" w:w="80"/>
              <w:left w:type="dxa" w:w="100"/>
              <w:bottom w:type="dxa" w:w="80"/>
              <w:right w:type="dxa" w:w="100"/>
            </w:tcMar>
            <w:vAlign w:val="center"/>
          </w:tcPr>
          <w:p>
            <w:r>
              <w:rPr>
                <w:b w:val="false"/>
                <w:bCs w:val="false"/>
                <w:sz w:val="20"/>
                <w:szCs w:val="20"/>
              </w:rPr>
              <w:t xml:space="preserve">NFR-8.2</w:t>
            </w:r>
          </w:p>
        </w:tc>
        <w:tc>
          <w:tcPr>
            <w:tcW w:type="dxa" w:w="7760"/>
            <w:tcMar>
              <w:top w:type="dxa" w:w="80"/>
              <w:left w:type="dxa" w:w="100"/>
              <w:bottom w:type="dxa" w:w="80"/>
              <w:right w:type="dxa" w:w="100"/>
            </w:tcMar>
            <w:vAlign w:val="center"/>
          </w:tcPr>
          <w:p>
            <w:r>
              <w:rPr>
                <w:b w:val="false"/>
                <w:bCs w:val="false"/>
                <w:sz w:val="20"/>
                <w:szCs w:val="20"/>
              </w:rPr>
              <w:t xml:space="preserve">Backups encrypted at rest and access-restricted; backup restoration tested quarterly.</w:t>
            </w:r>
          </w:p>
        </w:tc>
      </w:tr>
      <w:tr>
        <w:tc>
          <w:tcPr>
            <w:tcW w:type="dxa" w:w="1600"/>
            <w:tcMar>
              <w:top w:type="dxa" w:w="80"/>
              <w:left w:type="dxa" w:w="100"/>
              <w:bottom w:type="dxa" w:w="80"/>
              <w:right w:type="dxa" w:w="100"/>
            </w:tcMar>
            <w:vAlign w:val="center"/>
          </w:tcPr>
          <w:p>
            <w:r>
              <w:rPr>
                <w:b w:val="false"/>
                <w:bCs w:val="false"/>
                <w:sz w:val="20"/>
                <w:szCs w:val="20"/>
              </w:rPr>
              <w:t xml:space="preserve">NFR-8.3</w:t>
            </w:r>
          </w:p>
        </w:tc>
        <w:tc>
          <w:tcPr>
            <w:tcW w:type="dxa" w:w="7760"/>
            <w:tcMar>
              <w:top w:type="dxa" w:w="80"/>
              <w:left w:type="dxa" w:w="100"/>
              <w:bottom w:type="dxa" w:w="80"/>
              <w:right w:type="dxa" w:w="100"/>
            </w:tcMar>
            <w:vAlign w:val="center"/>
          </w:tcPr>
          <w:p>
            <w:r>
              <w:rPr>
                <w:b w:val="false"/>
                <w:bCs w:val="false"/>
                <w:sz w:val="20"/>
                <w:szCs w:val="20"/>
              </w:rPr>
              <w:t xml:space="preserve">Audit logs (support access, admin actions) retained for a minimum of 1 year.</w:t>
            </w:r>
          </w:p>
        </w:tc>
      </w:tr>
      <w:tr>
        <w:tc>
          <w:tcPr>
            <w:tcW w:type="dxa" w:w="1600"/>
            <w:tcMar>
              <w:top w:type="dxa" w:w="80"/>
              <w:left w:type="dxa" w:w="100"/>
              <w:bottom w:type="dxa" w:w="80"/>
              <w:right w:type="dxa" w:w="100"/>
            </w:tcMar>
            <w:vAlign w:val="center"/>
          </w:tcPr>
          <w:p>
            <w:r>
              <w:rPr>
                <w:b w:val="false"/>
                <w:bCs w:val="false"/>
                <w:sz w:val="20"/>
                <w:szCs w:val="20"/>
              </w:rPr>
              <w:t xml:space="preserve">NFR-8.4</w:t>
            </w:r>
          </w:p>
        </w:tc>
        <w:tc>
          <w:tcPr>
            <w:tcW w:type="dxa" w:w="7760"/>
            <w:tcMar>
              <w:top w:type="dxa" w:w="80"/>
              <w:left w:type="dxa" w:w="100"/>
              <w:bottom w:type="dxa" w:w="80"/>
              <w:right w:type="dxa" w:w="100"/>
            </w:tcMar>
            <w:vAlign w:val="center"/>
          </w:tcPr>
          <w:p>
            <w:r>
              <w:rPr>
                <w:b w:val="false"/>
                <w:bCs w:val="false"/>
                <w:sz w:val="20"/>
                <w:szCs w:val="20"/>
              </w:rPr>
              <w:t xml:space="preserve">Billing records (invoices, payment history, obtained via the payment processor per FR-12.3) shall be retained per applicable financial record-keeping requirements (commonly 5–7 years), independent of the account soft-delete/purge cycle in NFR-8.1.</w:t>
            </w:r>
          </w:p>
        </w:tc>
      </w:tr>
    </w:tbl>
    <w:p>
      <w:pPr>
        <w:spacing w:after="120"/>
      </w:pPr>
    </w:p>
    <w:p>
      <w:pPr>
        <w:pStyle w:val="Heading2"/>
        <w:spacing w:after="120" w:before="300"/>
      </w:pPr>
      <w:r>
        <w:t xml:space="preserve">6.4 Data Privacy &amp; Right-to-be-Forgotten</w:t>
      </w:r>
    </w:p>
    <w:p>
      <w:pPr>
        <w:spacing w:after="160"/>
      </w:pPr>
      <w:r>
        <w:t xml:space="preserve">GAP IDENTIFIED: required once handling public users' financial PII under GDPR/CCPA.</w:t>
      </w:r>
    </w:p>
    <w:p>
      <w:pPr>
        <w:pStyle w:val="ListParagraph"/>
        <w:numPr>
          <w:ilvl w:val="0"/>
          <w:numId w:val="1"/>
        </w:numPr>
        <w:spacing w:after="60"/>
      </w:pPr>
      <w:r>
        <w:t xml:space="preserve">Sensitive fields (financial values, PII) encrypted at rest where the hosting provider supports it.</w:t>
      </w:r>
    </w:p>
    <w:p>
      <w:pPr>
        <w:pStyle w:val="ListParagraph"/>
        <w:numPr>
          <w:ilvl w:val="0"/>
          <w:numId w:val="1"/>
        </w:numPr>
        <w:spacing w:after="60"/>
      </w:pPr>
      <w:r>
        <w:t xml:space="preserve">Deletion requests (FR-13.3) cascade across primary storage, backups (on next rotation), and logs where feasible.</w:t>
      </w:r>
    </w:p>
    <w:p>
      <w:pPr>
        <w:pStyle w:val="ListParagraph"/>
        <w:numPr>
          <w:ilvl w:val="0"/>
          <w:numId w:val="1"/>
        </w:numPr>
        <w:spacing w:after="60"/>
      </w:pPr>
      <w:r>
        <w:t xml:space="preserve">A data processing record is maintained describing what personal data is collected and why, supporting a future Privacy Policy.</w:t>
      </w:r>
    </w:p>
    <w:p>
      <w:pPr>
        <w:pStyle w:val="Heading2"/>
        <w:spacing w:after="120" w:before="300"/>
      </w:pPr>
      <w:r>
        <w:t xml:space="preserve">6.5 Third-Party Bank Data Handling</w:t>
      </w:r>
    </w:p>
    <w:p>
      <w:pPr>
        <w:spacing w:after="160"/>
      </w:pPr>
      <w:r>
        <w:t xml:space="preserve">Linked-bank-account data (Section 3.14) is held to a stricter data-minimization standard than self-reported data:</w:t>
      </w:r>
    </w:p>
    <w:p>
      <w:pPr>
        <w:pStyle w:val="ListParagraph"/>
        <w:numPr>
          <w:ilvl w:val="0"/>
          <w:numId w:val="1"/>
        </w:numPr>
        <w:spacing w:after="60"/>
      </w:pPr>
      <w:r>
        <w:t xml:space="preserve">Token isolation: aggregator access tokens live in a dedicated, tenant_id-scoped token vault table, covered by the same Layer 1/Layer 2 isolation controls as Section 6.2, plus the envelope encryption required by NFR-9.1.</w:t>
      </w:r>
    </w:p>
    <w:p>
      <w:pPr>
        <w:pStyle w:val="ListParagraph"/>
        <w:numPr>
          <w:ilvl w:val="0"/>
          <w:numId w:val="1"/>
        </w:numPr>
        <w:spacing w:after="60"/>
      </w:pPr>
      <w:r>
        <w:t xml:space="preserve">Minimization: only balance figures and transaction metadata needed to render the platform's own views are retained; raw aggregator payloads are not persisted beyond what is needed to compute them.</w:t>
      </w:r>
    </w:p>
    <w:p>
      <w:pPr>
        <w:pStyle w:val="ListParagraph"/>
        <w:numPr>
          <w:ilvl w:val="0"/>
          <w:numId w:val="1"/>
        </w:numPr>
        <w:spacing w:after="60"/>
      </w:pPr>
      <w:r>
        <w:t xml:space="preserve">Retention: cached transaction detail for a linked account is retained only while the link is active, plus the standard window in Section 6.3; unlinking triggers the purge required by FR-14.7.</w:t>
      </w:r>
    </w:p>
    <w:p>
      <w:pPr>
        <w:pStyle w:val="Heading1"/>
        <w:pageBreakBefore/>
        <w:spacing w:after="200"/>
      </w:pPr>
      <w:r>
        <w:t xml:space="preserve">7. System Architecture</w:t>
      </w:r>
    </w:p>
    <w:p>
      <w:pPr>
        <w:pStyle w:val="Heading2"/>
        <w:spacing w:after="120" w:before="300"/>
      </w:pPr>
      <w:r>
        <w:t xml:space="preserve">7.1 High-Level Architecture</w:t>
      </w:r>
    </w:p>
    <w:p>
      <w:pPr>
        <w:spacing w:after="160"/>
      </w:pPr>
      <w:r>
        <w:t xml:space="preserve">Client (web/mobile) → HTTPS → Load Balancer / Reverse Proxy → FastAPI application (Gunicorn + Uvicorn workers, horizontally scaled) → PostgreSQL (primary store, RLS-enforced) and Redis (rate limiting, job broker, token blacklist). A separate Celery/APScheduler worker pool consumes the Redis queue to execute scheduled jobs (recurring bill generation, data exports, bank-balance sync) and calls out to the transactional email provider. A dedicated backend module, holding its own least-privilege credentials, is the sole caller of the financial data aggregation provider and the sole reader/writer of the encrypted token vault (Section 6.5). All components report errors and metrics to a centralized monitoring stack.</w:t>
      </w:r>
    </w:p>
    <w:p>
      <w:pPr>
        <w:pStyle w:val="Heading2"/>
        <w:spacing w:after="120" w:before="300"/>
      </w:pPr>
      <w:r>
        <w:t xml:space="preserve">7.2 Deployment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color="auto" w:val="clear"/>
            <w:tcMar>
              <w:top w:type="dxa" w:w="80"/>
              <w:left w:type="dxa" w:w="100"/>
              <w:bottom w:type="dxa" w:w="80"/>
              <w:right w:type="dxa" w:w="100"/>
            </w:tcMar>
            <w:vAlign w:val="center"/>
          </w:tcPr>
          <w:p>
            <w:r>
              <w:rPr>
                <w:b/>
                <w:bCs/>
                <w:sz w:val="20"/>
                <w:szCs w:val="20"/>
              </w:rPr>
              <w:t xml:space="preserve">Environment</w:t>
            </w:r>
          </w:p>
        </w:tc>
        <w:tc>
          <w:tcPr>
            <w:tcW w:type="dxa" w:w="6960"/>
            <w:shd w:fill="D9D9D9" w:color="auto" w:val="clear"/>
            <w:tcMar>
              <w:top w:type="dxa" w:w="80"/>
              <w:left w:type="dxa" w:w="100"/>
              <w:bottom w:type="dxa" w:w="80"/>
              <w:right w:type="dxa" w:w="100"/>
            </w:tcMar>
            <w:vAlign w:val="center"/>
          </w:tcPr>
          <w:p>
            <w:r>
              <w:rPr>
                <w:b/>
                <w:bCs/>
                <w:sz w:val="20"/>
                <w:szCs w:val="20"/>
              </w:rPr>
              <w:t xml:space="preserve">Purpose</w:t>
            </w:r>
          </w:p>
        </w:tc>
      </w:tr>
      <w:tr>
        <w:tc>
          <w:tcPr>
            <w:tcW w:type="dxa" w:w="2400"/>
            <w:tcMar>
              <w:top w:type="dxa" w:w="80"/>
              <w:left w:type="dxa" w:w="100"/>
              <w:bottom w:type="dxa" w:w="80"/>
              <w:right w:type="dxa" w:w="100"/>
            </w:tcMar>
            <w:vAlign w:val="center"/>
          </w:tcPr>
          <w:p>
            <w:r>
              <w:rPr>
                <w:b w:val="false"/>
                <w:bCs w:val="false"/>
                <w:sz w:val="20"/>
                <w:szCs w:val="20"/>
              </w:rPr>
              <w:t xml:space="preserve">Development</w:t>
            </w:r>
          </w:p>
        </w:tc>
        <w:tc>
          <w:tcPr>
            <w:tcW w:type="dxa" w:w="6960"/>
            <w:tcMar>
              <w:top w:type="dxa" w:w="80"/>
              <w:left w:type="dxa" w:w="100"/>
              <w:bottom w:type="dxa" w:w="80"/>
              <w:right w:type="dxa" w:w="100"/>
            </w:tcMar>
            <w:vAlign w:val="center"/>
          </w:tcPr>
          <w:p>
            <w:r>
              <w:rPr>
                <w:b w:val="false"/>
                <w:bCs w:val="false"/>
                <w:sz w:val="20"/>
                <w:szCs w:val="20"/>
              </w:rPr>
              <w:t xml:space="preserve">Local/dev sandboxes; synthetic data only</w:t>
            </w:r>
          </w:p>
        </w:tc>
      </w:tr>
      <w:tr>
        <w:tc>
          <w:tcPr>
            <w:tcW w:type="dxa" w:w="2400"/>
            <w:tcMar>
              <w:top w:type="dxa" w:w="80"/>
              <w:left w:type="dxa" w:w="100"/>
              <w:bottom w:type="dxa" w:w="80"/>
              <w:right w:type="dxa" w:w="100"/>
            </w:tcMar>
            <w:vAlign w:val="center"/>
          </w:tcPr>
          <w:p>
            <w:r>
              <w:rPr>
                <w:b w:val="false"/>
                <w:bCs w:val="false"/>
                <w:sz w:val="20"/>
                <w:szCs w:val="20"/>
              </w:rPr>
              <w:t xml:space="preserve">Staging</w:t>
            </w:r>
          </w:p>
        </w:tc>
        <w:tc>
          <w:tcPr>
            <w:tcW w:type="dxa" w:w="6960"/>
            <w:tcMar>
              <w:top w:type="dxa" w:w="80"/>
              <w:left w:type="dxa" w:w="100"/>
              <w:bottom w:type="dxa" w:w="80"/>
              <w:right w:type="dxa" w:w="100"/>
            </w:tcMar>
            <w:vAlign w:val="center"/>
          </w:tcPr>
          <w:p>
            <w:r>
              <w:rPr>
                <w:b w:val="false"/>
                <w:bCs w:val="false"/>
                <w:sz w:val="20"/>
                <w:szCs w:val="20"/>
              </w:rPr>
              <w:t xml:space="preserve">Pre-production; mirrors prod configuration for release validation</w:t>
            </w:r>
          </w:p>
        </w:tc>
      </w:tr>
      <w:tr>
        <w:tc>
          <w:tcPr>
            <w:tcW w:type="dxa" w:w="2400"/>
            <w:tcMar>
              <w:top w:type="dxa" w:w="80"/>
              <w:left w:type="dxa" w:w="100"/>
              <w:bottom w:type="dxa" w:w="80"/>
              <w:right w:type="dxa" w:w="100"/>
            </w:tcMar>
            <w:vAlign w:val="center"/>
          </w:tcPr>
          <w:p>
            <w:r>
              <w:rPr>
                <w:b w:val="false"/>
                <w:bCs w:val="false"/>
                <w:sz w:val="20"/>
                <w:szCs w:val="20"/>
              </w:rPr>
              <w:t xml:space="preserve">Production</w:t>
            </w:r>
          </w:p>
        </w:tc>
        <w:tc>
          <w:tcPr>
            <w:tcW w:type="dxa" w:w="6960"/>
            <w:tcMar>
              <w:top w:type="dxa" w:w="80"/>
              <w:left w:type="dxa" w:w="100"/>
              <w:bottom w:type="dxa" w:w="80"/>
              <w:right w:type="dxa" w:w="100"/>
            </w:tcMar>
            <w:vAlign w:val="center"/>
          </w:tcPr>
          <w:p>
            <w:r>
              <w:rPr>
                <w:b w:val="false"/>
                <w:bCs w:val="false"/>
                <w:sz w:val="20"/>
                <w:szCs w:val="20"/>
              </w:rPr>
              <w:t xml:space="preserve">Public-facing; real tenant data</w:t>
            </w:r>
          </w:p>
        </w:tc>
      </w:tr>
    </w:tbl>
    <w:p>
      <w:pPr>
        <w:spacing w:after="120"/>
      </w:pPr>
    </w:p>
    <w:p>
      <w:pPr>
        <w:pStyle w:val="Heading2"/>
        <w:spacing w:after="120" w:before="300"/>
      </w:pPr>
      <w:r>
        <w:t xml:space="preserve">7.3 CI/CD Pipeline</w:t>
      </w:r>
    </w:p>
    <w:p>
      <w:pPr>
        <w:pStyle w:val="ListParagraph"/>
        <w:numPr>
          <w:ilvl w:val="0"/>
          <w:numId w:val="1"/>
        </w:numPr>
        <w:spacing w:after="60"/>
      </w:pPr>
      <w:r>
        <w:t xml:space="preserve">Pull requests trigger automated tests, linting, and dependency vulnerability scans (NFR-5.2)</w:t>
      </w:r>
    </w:p>
    <w:p>
      <w:pPr>
        <w:pStyle w:val="ListParagraph"/>
        <w:numPr>
          <w:ilvl w:val="0"/>
          <w:numId w:val="1"/>
        </w:numPr>
        <w:spacing w:after="60"/>
      </w:pPr>
      <w:r>
        <w:t xml:space="preserve">Merges to main deploy automatically to staging; production deploys are a manual, approved promotion</w:t>
      </w:r>
    </w:p>
    <w:p>
      <w:pPr>
        <w:pStyle w:val="ListParagraph"/>
        <w:numPr>
          <w:ilvl w:val="0"/>
          <w:numId w:val="1"/>
        </w:numPr>
        <w:spacing w:after="60"/>
      </w:pPr>
      <w:r>
        <w:t xml:space="preserve">Database migrations run as a distinct, reviewed step ahead of application deployment</w:t>
      </w:r>
    </w:p>
    <w:p>
      <w:pPr>
        <w:pStyle w:val="Heading2"/>
        <w:spacing w:after="120" w:before="300"/>
      </w:pPr>
      <w:r>
        <w:t xml:space="preserve">7.4 Disaster Recovery</w:t>
      </w:r>
    </w:p>
    <w:p>
      <w:pPr>
        <w:spacing w:after="160"/>
      </w:pPr>
      <w:r>
        <w:t xml:space="preserve">Backups and the defined RPO/RTO targets (NFR-4.4) are validated via a documented, periodically rehearsed restoration procedure — not assumed to work untested.</w:t>
      </w:r>
    </w:p>
    <w:p>
      <w:pPr>
        <w:pStyle w:val="Heading2"/>
        <w:spacing w:after="120" w:before="300"/>
      </w:pPr>
      <w:r>
        <w:t xml:space="preserve">7.5 Bank Aggregation Integration Flow</w:t>
      </w:r>
    </w:p>
    <w:p>
      <w:pPr>
        <w:pStyle w:val="ListParagraph"/>
        <w:numPr>
          <w:ilvl w:val="0"/>
          <w:numId w:val="1"/>
        </w:numPr>
        <w:spacing w:after="60"/>
      </w:pPr>
      <w:r>
        <w:t xml:space="preserve">User selects "Link a bank account." System determines, per FR-14.10, whether the selected institution offers a direct, regulated bank API; if so, the user is routed there. If not, the user is routed to a certified aggregation provider's hosted flow, with the fallback clearly disclosed.</w:t>
      </w:r>
    </w:p>
    <w:p>
      <w:pPr>
        <w:pStyle w:val="ListParagraph"/>
        <w:numPr>
          <w:ilvl w:val="0"/>
          <w:numId w:val="1"/>
        </w:numPr>
        <w:spacing w:after="60"/>
      </w:pPr>
      <w:r>
        <w:t xml:space="preserve">In either case, the user authenticates on the bank's own (or bank-regulated) login screen; the platform's servers and client never see the user's banking credentials (FR-14.2, NFR-9.7).</w:t>
      </w:r>
    </w:p>
    <w:p>
      <w:pPr>
        <w:pStyle w:val="ListParagraph"/>
        <w:numPr>
          <w:ilvl w:val="0"/>
          <w:numId w:val="1"/>
        </w:numPr>
        <w:spacing w:after="60"/>
      </w:pPr>
      <w:r>
        <w:t xml:space="preserve">On success, a short-lived authorization is exchanged server-side for a long-lived access credential — this exchange happens once, server-to-server, and the short-lived value is never persisted.</w:t>
      </w:r>
    </w:p>
    <w:p>
      <w:pPr>
        <w:pStyle w:val="ListParagraph"/>
        <w:numPr>
          <w:ilvl w:val="0"/>
          <w:numId w:val="1"/>
        </w:numPr>
        <w:spacing w:after="60"/>
      </w:pPr>
      <w:r>
        <w:t xml:space="preserve">The access credential is envelope-encrypted and stored in the tenant-scoped token vault (NFR-9.1, Section 6.5); it never leaves the backend.</w:t>
      </w:r>
    </w:p>
    <w:p>
      <w:pPr>
        <w:pStyle w:val="ListParagraph"/>
        <w:numPr>
          <w:ilvl w:val="0"/>
          <w:numId w:val="1"/>
        </w:numPr>
        <w:spacing w:after="60"/>
      </w:pPr>
      <w:r>
        <w:t xml:space="preserve">A scheduled sync job and/or webhook pulls balance and transaction updates and writes them into the tenant's read-only aggregated view (FR-14.4, FR-14.5) — this is the only data flow permitted; no data flows from this channel to any other internal or external system (FR-14.11).</w:t>
      </w:r>
    </w:p>
    <w:p>
      <w:pPr>
        <w:pStyle w:val="ListParagraph"/>
        <w:numPr>
          <w:ilvl w:val="0"/>
          <w:numId w:val="1"/>
        </w:numPr>
        <w:spacing w:after="60"/>
      </w:pPr>
      <w:r>
        <w:t xml:space="preserve">Unlinking (FR-14.7) revokes the credential at its source and deletes it from the vault in the same operation.</w:t>
      </w:r>
    </w:p>
    <w:p>
      <w:pPr>
        <w:pStyle w:val="Heading1"/>
        <w:pageBreakBefore/>
        <w:spacing w:after="200"/>
      </w:pPr>
      <w:r>
        <w:t xml:space="preserve">8. Compliance, Legal &amp; Governance</w:t>
      </w:r>
    </w:p>
    <w:p>
      <w:pPr>
        <w:pStyle w:val="Heading2"/>
        <w:spacing w:after="120" w:before="300"/>
      </w:pPr>
      <w:r>
        <w:t xml:space="preserve">8.1 Regulatory Considerations</w:t>
      </w:r>
    </w:p>
    <w:p>
      <w:pPr>
        <w:spacing w:after="160"/>
      </w:pPr>
      <w:r>
        <w:t xml:space="preserve">GAP IDENTIFIED: the original single-tenant design had no compliance posture, appropriate for a personal project but not for public users' financial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color="auto" w:val="clear"/>
            <w:tcMar>
              <w:top w:type="dxa" w:w="80"/>
              <w:left w:type="dxa" w:w="100"/>
              <w:bottom w:type="dxa" w:w="80"/>
              <w:right w:type="dxa" w:w="100"/>
            </w:tcMar>
            <w:vAlign w:val="center"/>
          </w:tcPr>
          <w:p>
            <w:r>
              <w:rPr>
                <w:b/>
                <w:bCs/>
                <w:sz w:val="20"/>
                <w:szCs w:val="20"/>
              </w:rPr>
              <w:t xml:space="preserve">Area</w:t>
            </w:r>
          </w:p>
        </w:tc>
        <w:tc>
          <w:tcPr>
            <w:tcW w:type="dxa" w:w="6960"/>
            <w:shd w:fill="D9D9D9" w:color="auto" w:val="clear"/>
            <w:tcMar>
              <w:top w:type="dxa" w:w="80"/>
              <w:left w:type="dxa" w:w="100"/>
              <w:bottom w:type="dxa" w:w="80"/>
              <w:right w:type="dxa" w:w="100"/>
            </w:tcMar>
            <w:vAlign w:val="center"/>
          </w:tcPr>
          <w:p>
            <w:r>
              <w:rPr>
                <w:b/>
                <w:bCs/>
                <w:sz w:val="20"/>
                <w:szCs w:val="20"/>
              </w:rPr>
              <w:t xml:space="preserve">Consideration</w:t>
            </w:r>
          </w:p>
        </w:tc>
      </w:tr>
      <w:tr>
        <w:tc>
          <w:tcPr>
            <w:tcW w:type="dxa" w:w="2400"/>
            <w:tcMar>
              <w:top w:type="dxa" w:w="80"/>
              <w:left w:type="dxa" w:w="100"/>
              <w:bottom w:type="dxa" w:w="80"/>
              <w:right w:type="dxa" w:w="100"/>
            </w:tcMar>
            <w:vAlign w:val="center"/>
          </w:tcPr>
          <w:p>
            <w:r>
              <w:rPr>
                <w:b w:val="false"/>
                <w:bCs w:val="false"/>
                <w:sz w:val="20"/>
                <w:szCs w:val="20"/>
              </w:rPr>
              <w:t xml:space="preserve">GDPR / CCPA</w:t>
            </w:r>
          </w:p>
        </w:tc>
        <w:tc>
          <w:tcPr>
            <w:tcW w:type="dxa" w:w="6960"/>
            <w:tcMar>
              <w:top w:type="dxa" w:w="80"/>
              <w:left w:type="dxa" w:w="100"/>
              <w:bottom w:type="dxa" w:w="80"/>
              <w:right w:type="dxa" w:w="100"/>
            </w:tcMar>
            <w:vAlign w:val="center"/>
          </w:tcPr>
          <w:p>
            <w:r>
              <w:rPr>
                <w:b w:val="false"/>
                <w:bCs w:val="false"/>
                <w:sz w:val="20"/>
                <w:szCs w:val="20"/>
              </w:rPr>
              <w:t xml:space="preserve">Data subject rights (access, export, deletion) implemented per Sections 3.13 and 6.4; a lawful basis and privacy notice are required before EU/CA users are onboarded.</w:t>
            </w:r>
          </w:p>
        </w:tc>
      </w:tr>
      <w:tr>
        <w:tc>
          <w:tcPr>
            <w:tcW w:type="dxa" w:w="2400"/>
            <w:tcMar>
              <w:top w:type="dxa" w:w="80"/>
              <w:left w:type="dxa" w:w="100"/>
              <w:bottom w:type="dxa" w:w="80"/>
              <w:right w:type="dxa" w:w="100"/>
            </w:tcMar>
            <w:vAlign w:val="center"/>
          </w:tcPr>
          <w:p>
            <w:r>
              <w:rPr>
                <w:b w:val="false"/>
                <w:bCs w:val="false"/>
                <w:sz w:val="20"/>
                <w:szCs w:val="20"/>
              </w:rPr>
              <w:t xml:space="preserve">PCI-DSS</w:t>
            </w:r>
          </w:p>
        </w:tc>
        <w:tc>
          <w:tcPr>
            <w:tcW w:type="dxa" w:w="6960"/>
            <w:tcMar>
              <w:top w:type="dxa" w:w="80"/>
              <w:left w:type="dxa" w:w="100"/>
              <w:bottom w:type="dxa" w:w="80"/>
              <w:right w:type="dxa" w:w="100"/>
            </w:tcMar>
            <w:vAlign w:val="center"/>
          </w:tcPr>
          <w:p>
            <w:r>
              <w:rPr>
                <w:b w:val="false"/>
                <w:bCs w:val="false"/>
                <w:sz w:val="20"/>
                <w:szCs w:val="20"/>
              </w:rPr>
              <w:t xml:space="preserve">Out of direct scope for raw card data, since a compliant third-party processor (FR-12.3) handles all card handling, keeping the platform at minimal PCI scope (SAQ-A). Applies only to the subset of users subscribing to bank-linking (Section 3.14), but is still a launch-blocking dependency for that feature, not a future consideration.</w:t>
            </w:r>
          </w:p>
        </w:tc>
      </w:tr>
      <w:tr>
        <w:tc>
          <w:tcPr>
            <w:tcW w:type="dxa" w:w="2400"/>
            <w:tcMar>
              <w:top w:type="dxa" w:w="80"/>
              <w:left w:type="dxa" w:w="100"/>
              <w:bottom w:type="dxa" w:w="80"/>
              <w:right w:type="dxa" w:w="100"/>
            </w:tcMar>
            <w:vAlign w:val="center"/>
          </w:tcPr>
          <w:p>
            <w:r>
              <w:rPr>
                <w:b w:val="false"/>
                <w:bCs w:val="false"/>
                <w:sz w:val="20"/>
                <w:szCs w:val="20"/>
              </w:rPr>
              <w:t xml:space="preserve">SOC 2</w:t>
            </w:r>
          </w:p>
        </w:tc>
        <w:tc>
          <w:tcPr>
            <w:tcW w:type="dxa" w:w="6960"/>
            <w:tcMar>
              <w:top w:type="dxa" w:w="80"/>
              <w:left w:type="dxa" w:w="100"/>
              <w:bottom w:type="dxa" w:w="80"/>
              <w:right w:type="dxa" w:w="100"/>
            </w:tcMar>
            <w:vAlign w:val="center"/>
          </w:tcPr>
          <w:p>
            <w:r>
              <w:rPr>
                <w:b w:val="false"/>
                <w:bCs w:val="false"/>
                <w:sz w:val="20"/>
                <w:szCs w:val="20"/>
              </w:rPr>
              <w:t xml:space="preserve">Not strictly required for initial public launch, but likely to become a practical requirement: most bank data aggregation providers (Section 3.14) require partners to attest to a defined security standard before granting production access. Recommend scoping this alongside the aggregation integration, not deferring it indefinitely.</w:t>
            </w:r>
          </w:p>
        </w:tc>
      </w:tr>
      <w:tr>
        <w:tc>
          <w:tcPr>
            <w:tcW w:type="dxa" w:w="2400"/>
            <w:tcMar>
              <w:top w:type="dxa" w:w="80"/>
              <w:left w:type="dxa" w:w="100"/>
              <w:bottom w:type="dxa" w:w="80"/>
              <w:right w:type="dxa" w:w="100"/>
            </w:tcMar>
            <w:vAlign w:val="center"/>
          </w:tcPr>
          <w:p>
            <w:r>
              <w:rPr>
                <w:b w:val="false"/>
                <w:bCs w:val="false"/>
                <w:sz w:val="20"/>
                <w:szCs w:val="20"/>
              </w:rPr>
              <w:t xml:space="preserve">GLBA (US) — Safeguards Rule</w:t>
            </w:r>
          </w:p>
        </w:tc>
        <w:tc>
          <w:tcPr>
            <w:tcW w:type="dxa" w:w="6960"/>
            <w:tcMar>
              <w:top w:type="dxa" w:w="80"/>
              <w:left w:type="dxa" w:w="100"/>
              <w:bottom w:type="dxa" w:w="80"/>
              <w:right w:type="dxa" w:w="100"/>
            </w:tcMar>
            <w:vAlign w:val="center"/>
          </w:tcPr>
          <w:p>
            <w:r>
              <w:rPr>
                <w:b w:val="false"/>
                <w:bCs w:val="false"/>
                <w:sz w:val="20"/>
                <w:szCs w:val="20"/>
              </w:rPr>
              <w:t xml:space="preserve">Applies once the platform holds nonpublic personal financial information sourced from linked bank accounts; requires a written information security program covering the controls in Section 5.9.</w:t>
            </w:r>
          </w:p>
        </w:tc>
      </w:tr>
      <w:tr>
        <w:tc>
          <w:tcPr>
            <w:tcW w:type="dxa" w:w="2400"/>
            <w:tcMar>
              <w:top w:type="dxa" w:w="80"/>
              <w:left w:type="dxa" w:w="100"/>
              <w:bottom w:type="dxa" w:w="80"/>
              <w:right w:type="dxa" w:w="100"/>
            </w:tcMar>
            <w:vAlign w:val="center"/>
          </w:tcPr>
          <w:p>
            <w:r>
              <w:rPr>
                <w:b w:val="false"/>
                <w:bCs w:val="false"/>
                <w:sz w:val="20"/>
                <w:szCs w:val="20"/>
              </w:rPr>
              <w:t xml:space="preserve">Open Banking / PSD2 (UK/EU, if applicable)</w:t>
            </w:r>
          </w:p>
        </w:tc>
        <w:tc>
          <w:tcPr>
            <w:tcW w:type="dxa" w:w="6960"/>
            <w:tcMar>
              <w:top w:type="dxa" w:w="80"/>
              <w:left w:type="dxa" w:w="100"/>
              <w:bottom w:type="dxa" w:w="80"/>
              <w:right w:type="dxa" w:w="100"/>
            </w:tcMar>
            <w:vAlign w:val="center"/>
          </w:tcPr>
          <w:p>
            <w:r>
              <w:rPr>
                <w:b w:val="false"/>
                <w:bCs w:val="false"/>
                <w:sz w:val="20"/>
                <w:szCs w:val="20"/>
              </w:rPr>
              <w:t xml:space="preserve">The platform operates strictly as an Account Information Service (AISP) — read-only — and never as a Payment Initiation Service (PISP), consistent with FR-14.3. Confirm applicability based on where users and linked institutions are located.</w:t>
            </w:r>
          </w:p>
        </w:tc>
      </w:tr>
      <w:tr>
        <w:tc>
          <w:tcPr>
            <w:tcW w:type="dxa" w:w="2400"/>
            <w:tcMar>
              <w:top w:type="dxa" w:w="80"/>
              <w:left w:type="dxa" w:w="100"/>
              <w:bottom w:type="dxa" w:w="80"/>
              <w:right w:type="dxa" w:w="100"/>
            </w:tcMar>
            <w:vAlign w:val="center"/>
          </w:tcPr>
          <w:p>
            <w:r>
              <w:rPr>
                <w:b w:val="false"/>
                <w:bCs w:val="false"/>
                <w:sz w:val="20"/>
                <w:szCs w:val="20"/>
              </w:rPr>
              <w:t xml:space="preserve">Open banking data-sharing rules (e.g., US CFPB Section 1033, emerging)</w:t>
            </w:r>
          </w:p>
        </w:tc>
        <w:tc>
          <w:tcPr>
            <w:tcW w:type="dxa" w:w="6960"/>
            <w:tcMar>
              <w:top w:type="dxa" w:w="80"/>
              <w:left w:type="dxa" w:w="100"/>
              <w:bottom w:type="dxa" w:w="80"/>
              <w:right w:type="dxa" w:w="100"/>
            </w:tcMar>
            <w:vAlign w:val="center"/>
          </w:tcPr>
          <w:p>
            <w:r>
              <w:rPr>
                <w:b w:val="false"/>
                <w:bCs w:val="false"/>
                <w:sz w:val="20"/>
                <w:szCs w:val="20"/>
              </w:rPr>
              <w:t xml:space="preserve">Monitor for applicability as regulation in this space is still developing; the AISP-only, consent-based design in Section 3.14 is intended to align with the general direction of these rules.</w:t>
            </w:r>
          </w:p>
        </w:tc>
      </w:tr>
    </w:tbl>
    <w:p>
      <w:pPr>
        <w:spacing w:after="120"/>
      </w:pPr>
    </w:p>
    <w:p>
      <w:pPr>
        <w:pStyle w:val="Heading2"/>
        <w:spacing w:after="120" w:before="300"/>
      </w:pPr>
      <w:r>
        <w:t xml:space="preserve">8.2 Terms of Service &amp; Privacy Policy</w:t>
      </w:r>
    </w:p>
    <w:p>
      <w:pPr>
        <w:spacing w:after="160"/>
      </w:pPr>
      <w:r>
        <w:t xml:space="preserve">A Terms of Service and Privacy Policy must be published and require acceptance at signup. Drafting and legal review are tracked outside this SRS but are a hard blocker for public launch. The Privacy Policy must specifically disclose that, where a user opts to link a bank account, financial data is shared with and processed by a named third-party aggregation provider.</w:t>
      </w:r>
    </w:p>
    <w:p>
      <w:pPr>
        <w:pStyle w:val="Heading2"/>
        <w:spacing w:after="120" w:before="300"/>
      </w:pPr>
      <w:r>
        <w:t xml:space="preserve">8.3 Governance</w:t>
      </w:r>
    </w:p>
    <w:p>
      <w:pPr>
        <w:pStyle w:val="ListParagraph"/>
        <w:numPr>
          <w:ilvl w:val="0"/>
          <w:numId w:val="1"/>
        </w:numPr>
        <w:spacing w:after="60"/>
      </w:pPr>
      <w:r>
        <w:t xml:space="preserve">This SRS is version-controlled; material changes require product and engineering sign-off.</w:t>
      </w:r>
    </w:p>
    <w:p>
      <w:pPr>
        <w:pStyle w:val="ListParagraph"/>
        <w:numPr>
          <w:ilvl w:val="0"/>
          <w:numId w:val="1"/>
        </w:numPr>
        <w:spacing w:after="60"/>
      </w:pPr>
      <w:r>
        <w:t xml:space="preserve">Access to production tenant data by staff is governed by Section 3.11 and logged for audit.</w:t>
      </w:r>
    </w:p>
    <w:p>
      <w:pPr>
        <w:pStyle w:val="Heading2"/>
        <w:spacing w:after="120" w:before="300"/>
      </w:pPr>
      <w:r>
        <w:t xml:space="preserve">8.4 Bank Data Consent &amp; Regulatory Considerations</w:t>
      </w:r>
    </w:p>
    <w:p>
      <w:pPr>
        <w:spacing w:after="160"/>
      </w:pPr>
      <w:r>
        <w:t xml:space="preserve">Bank-linking (Section 3.14) requires its own consent layer, distinct from general Terms of Service acceptance. This is not a precautionary formality: financial data aggregation as a category has a documented history of consumer-privacy enforcement action — most notably a $58 million class-action settlement (2022) against a major aggregator found to have collected more banking data than its partner apps needed and used harvested login credentials to access and sell consumers' transaction histories without adequate consent. This SRS's requirements in Section 3.14 (FR-14.10–14.12) and Section 5.9 are written specifically to avoid that pattern.</w:t>
      </w:r>
    </w:p>
    <w:p>
      <w:pPr>
        <w:pStyle w:val="ListParagraph"/>
        <w:numPr>
          <w:ilvl w:val="0"/>
          <w:numId w:val="1"/>
        </w:numPr>
        <w:spacing w:after="60"/>
      </w:pPr>
      <w:r>
        <w:t xml:space="preserve">Explicit, informed, per-institution consent is captured before any account is linked, naming the specific connection channel used (the bank directly, or the fallback provider) and stating plainly that access is read-only.</w:t>
      </w:r>
    </w:p>
    <w:p>
      <w:pPr>
        <w:pStyle w:val="ListParagraph"/>
        <w:numPr>
          <w:ilvl w:val="0"/>
          <w:numId w:val="1"/>
        </w:numPr>
        <w:spacing w:after="60"/>
      </w:pPr>
      <w:r>
        <w:t xml:space="preserve">Consent (and its withdrawal via unlinking, FR-14.7) is timestamped and recorded in the audit log (NFR-9.4).</w:t>
      </w:r>
    </w:p>
    <w:p>
      <w:pPr>
        <w:pStyle w:val="ListParagraph"/>
        <w:numPr>
          <w:ilvl w:val="0"/>
          <w:numId w:val="1"/>
        </w:numPr>
        <w:spacing w:after="60"/>
      </w:pPr>
      <w:r>
        <w:t xml:space="preserve">Re-consent is enforced on the schedule required in FR-14.8, rather than treating an initial consent as indefinite.</w:t>
      </w:r>
    </w:p>
    <w:p>
      <w:pPr>
        <w:pStyle w:val="ListParagraph"/>
        <w:numPr>
          <w:ilvl w:val="0"/>
          <w:numId w:val="1"/>
        </w:numPr>
        <w:spacing w:after="60"/>
      </w:pPr>
      <w:r>
        <w:t xml:space="preserve">No data collected under this feature is used, shared, or retained for any purpose beyond delivering the monitoring view to the customer who linked the account (FR-14.11).</w:t>
      </w:r>
    </w:p>
    <w:p>
      <w:pPr>
        <w:pStyle w:val="ListParagraph"/>
        <w:numPr>
          <w:ilvl w:val="0"/>
          <w:numId w:val="1"/>
        </w:numPr>
        <w:spacing w:after="60"/>
      </w:pPr>
      <w:r>
        <w:t xml:space="preserve">Any future move toward payment-initiation capability (explicitly out of scope, Section 3.14) would require a separate regulatory and consent review before any design work begins.</w:t>
      </w:r>
    </w:p>
    <w:p>
      <w:pPr>
        <w:pStyle w:val="Heading1"/>
        <w:pageBreakBefore/>
        <w:spacing w:after="200"/>
      </w:pPr>
      <w:r>
        <w:t xml:space="preserve">9. Quality Assurance &amp; Testing Requirements</w:t>
      </w:r>
    </w:p>
    <w:p>
      <w:pPr>
        <w:pStyle w:val="Heading2"/>
        <w:spacing w:after="120" w:before="300"/>
      </w:pPr>
      <w:r>
        <w:t xml:space="preserve">9.1 Test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color="auto" w:val="clear"/>
            <w:tcMar>
              <w:top w:type="dxa" w:w="80"/>
              <w:left w:type="dxa" w:w="100"/>
              <w:bottom w:type="dxa" w:w="80"/>
              <w:right w:type="dxa" w:w="100"/>
            </w:tcMar>
            <w:vAlign w:val="center"/>
          </w:tcPr>
          <w:p>
            <w:r>
              <w:rPr>
                <w:b/>
                <w:bCs/>
                <w:sz w:val="20"/>
                <w:szCs w:val="20"/>
              </w:rPr>
              <w:t xml:space="preserve">Level</w:t>
            </w:r>
          </w:p>
        </w:tc>
        <w:tc>
          <w:tcPr>
            <w:tcW w:type="dxa" w:w="6960"/>
            <w:shd w:fill="D9D9D9" w:color="auto" w:val="clear"/>
            <w:tcMar>
              <w:top w:type="dxa" w:w="80"/>
              <w:left w:type="dxa" w:w="100"/>
              <w:bottom w:type="dxa" w:w="80"/>
              <w:right w:type="dxa" w:w="100"/>
            </w:tcMar>
            <w:vAlign w:val="center"/>
          </w:tcPr>
          <w:p>
            <w:r>
              <w:rPr>
                <w:b/>
                <w:bCs/>
                <w:sz w:val="20"/>
                <w:szCs w:val="20"/>
              </w:rPr>
              <w:t xml:space="preserve">Coverage Target</w:t>
            </w:r>
          </w:p>
        </w:tc>
      </w:tr>
      <w:tr>
        <w:tc>
          <w:tcPr>
            <w:tcW w:type="dxa" w:w="2400"/>
            <w:tcMar>
              <w:top w:type="dxa" w:w="80"/>
              <w:left w:type="dxa" w:w="100"/>
              <w:bottom w:type="dxa" w:w="80"/>
              <w:right w:type="dxa" w:w="100"/>
            </w:tcMar>
            <w:vAlign w:val="center"/>
          </w:tcPr>
          <w:p>
            <w:r>
              <w:rPr>
                <w:b w:val="false"/>
                <w:bCs w:val="false"/>
                <w:sz w:val="20"/>
                <w:szCs w:val="20"/>
              </w:rPr>
              <w:t xml:space="preserve">Unit</w:t>
            </w:r>
          </w:p>
        </w:tc>
        <w:tc>
          <w:tcPr>
            <w:tcW w:type="dxa" w:w="6960"/>
            <w:tcMar>
              <w:top w:type="dxa" w:w="80"/>
              <w:left w:type="dxa" w:w="100"/>
              <w:bottom w:type="dxa" w:w="80"/>
              <w:right w:type="dxa" w:w="100"/>
            </w:tcMar>
            <w:vAlign w:val="center"/>
          </w:tcPr>
          <w:p>
            <w:r>
              <w:rPr>
                <w:b w:val="false"/>
                <w:bCs w:val="false"/>
                <w:sz w:val="20"/>
                <w:szCs w:val="20"/>
              </w:rPr>
              <w:t xml:space="preserve">Core business logic — balance updates, recurring-bill scheduling, report calculations</w:t>
            </w:r>
          </w:p>
        </w:tc>
      </w:tr>
      <w:tr>
        <w:tc>
          <w:tcPr>
            <w:tcW w:type="dxa" w:w="2400"/>
            <w:tcMar>
              <w:top w:type="dxa" w:w="80"/>
              <w:left w:type="dxa" w:w="100"/>
              <w:bottom w:type="dxa" w:w="80"/>
              <w:right w:type="dxa" w:w="100"/>
            </w:tcMar>
            <w:vAlign w:val="center"/>
          </w:tcPr>
          <w:p>
            <w:r>
              <w:rPr>
                <w:b w:val="false"/>
                <w:bCs w:val="false"/>
                <w:sz w:val="20"/>
                <w:szCs w:val="20"/>
              </w:rPr>
              <w:t xml:space="preserve">Integration</w:t>
            </w:r>
          </w:p>
        </w:tc>
        <w:tc>
          <w:tcPr>
            <w:tcW w:type="dxa" w:w="6960"/>
            <w:tcMar>
              <w:top w:type="dxa" w:w="80"/>
              <w:left w:type="dxa" w:w="100"/>
              <w:bottom w:type="dxa" w:w="80"/>
              <w:right w:type="dxa" w:w="100"/>
            </w:tcMar>
            <w:vAlign w:val="center"/>
          </w:tcPr>
          <w:p>
            <w:r>
              <w:rPr>
                <w:b w:val="false"/>
                <w:bCs w:val="false"/>
                <w:sz w:val="20"/>
                <w:szCs w:val="20"/>
              </w:rPr>
              <w:t xml:space="preserve">Full request/response cycle per endpoint, including auth and validation errors</w:t>
            </w:r>
          </w:p>
        </w:tc>
      </w:tr>
      <w:tr>
        <w:tc>
          <w:tcPr>
            <w:tcW w:type="dxa" w:w="2400"/>
            <w:tcMar>
              <w:top w:type="dxa" w:w="80"/>
              <w:left w:type="dxa" w:w="100"/>
              <w:bottom w:type="dxa" w:w="80"/>
              <w:right w:type="dxa" w:w="100"/>
            </w:tcMar>
            <w:vAlign w:val="center"/>
          </w:tcPr>
          <w:p>
            <w:r>
              <w:rPr>
                <w:b w:val="false"/>
                <w:bCs w:val="false"/>
                <w:sz w:val="20"/>
                <w:szCs w:val="20"/>
              </w:rPr>
              <w:t xml:space="preserve">Tenant isolation</w:t>
            </w:r>
          </w:p>
        </w:tc>
        <w:tc>
          <w:tcPr>
            <w:tcW w:type="dxa" w:w="6960"/>
            <w:tcMar>
              <w:top w:type="dxa" w:w="80"/>
              <w:left w:type="dxa" w:w="100"/>
              <w:bottom w:type="dxa" w:w="80"/>
              <w:right w:type="dxa" w:w="100"/>
            </w:tcMar>
            <w:vAlign w:val="center"/>
          </w:tcPr>
          <w:p>
            <w:r>
              <w:rPr>
                <w:b w:val="false"/>
                <w:bCs w:val="false"/>
                <w:sz w:val="20"/>
                <w:szCs w:val="20"/>
              </w:rPr>
              <w:t xml:space="preserve">Every endpoint verified to reject or exclude cross-tenant access (Section 6.2)</w:t>
            </w:r>
          </w:p>
        </w:tc>
      </w:tr>
      <w:tr>
        <w:tc>
          <w:tcPr>
            <w:tcW w:type="dxa" w:w="2400"/>
            <w:tcMar>
              <w:top w:type="dxa" w:w="80"/>
              <w:left w:type="dxa" w:w="100"/>
              <w:bottom w:type="dxa" w:w="80"/>
              <w:right w:type="dxa" w:w="100"/>
            </w:tcMar>
            <w:vAlign w:val="center"/>
          </w:tcPr>
          <w:p>
            <w:r>
              <w:rPr>
                <w:b w:val="false"/>
                <w:bCs w:val="false"/>
                <w:sz w:val="20"/>
                <w:szCs w:val="20"/>
              </w:rPr>
              <w:t xml:space="preserve">Load / performance</w:t>
            </w:r>
          </w:p>
        </w:tc>
        <w:tc>
          <w:tcPr>
            <w:tcW w:type="dxa" w:w="6960"/>
            <w:tcMar>
              <w:top w:type="dxa" w:w="80"/>
              <w:left w:type="dxa" w:w="100"/>
              <w:bottom w:type="dxa" w:w="80"/>
              <w:right w:type="dxa" w:w="100"/>
            </w:tcMar>
            <w:vAlign w:val="center"/>
          </w:tcPr>
          <w:p>
            <w:r>
              <w:rPr>
                <w:b w:val="false"/>
                <w:bCs w:val="false"/>
                <w:sz w:val="20"/>
                <w:szCs w:val="20"/>
              </w:rPr>
              <w:t xml:space="preserve">Validate NFR-1.x and NFR-2.x targets under simulated multi-tenant load</w:t>
            </w:r>
          </w:p>
        </w:tc>
      </w:tr>
      <w:tr>
        <w:tc>
          <w:tcPr>
            <w:tcW w:type="dxa" w:w="2400"/>
            <w:tcMar>
              <w:top w:type="dxa" w:w="80"/>
              <w:left w:type="dxa" w:w="100"/>
              <w:bottom w:type="dxa" w:w="80"/>
              <w:right w:type="dxa" w:w="100"/>
            </w:tcMar>
            <w:vAlign w:val="center"/>
          </w:tcPr>
          <w:p>
            <w:r>
              <w:rPr>
                <w:b w:val="false"/>
                <w:bCs w:val="false"/>
                <w:sz w:val="20"/>
                <w:szCs w:val="20"/>
              </w:rPr>
              <w:t xml:space="preserve">Security</w:t>
            </w:r>
          </w:p>
        </w:tc>
        <w:tc>
          <w:tcPr>
            <w:tcW w:type="dxa" w:w="6960"/>
            <w:tcMar>
              <w:top w:type="dxa" w:w="80"/>
              <w:left w:type="dxa" w:w="100"/>
              <w:bottom w:type="dxa" w:w="80"/>
              <w:right w:type="dxa" w:w="100"/>
            </w:tcMar>
            <w:vAlign w:val="center"/>
          </w:tcPr>
          <w:p>
            <w:r>
              <w:rPr>
                <w:b w:val="false"/>
                <w:bCs w:val="false"/>
                <w:sz w:val="20"/>
                <w:szCs w:val="20"/>
              </w:rPr>
              <w:t xml:space="preserve">Automated dependency scanning per build; manual penetration test pre-launch and annually</w:t>
            </w:r>
          </w:p>
        </w:tc>
      </w:tr>
      <w:tr>
        <w:tc>
          <w:tcPr>
            <w:tcW w:type="dxa" w:w="2400"/>
            <w:tcMar>
              <w:top w:type="dxa" w:w="80"/>
              <w:left w:type="dxa" w:w="100"/>
              <w:bottom w:type="dxa" w:w="80"/>
              <w:right w:type="dxa" w:w="100"/>
            </w:tcMar>
            <w:vAlign w:val="center"/>
          </w:tcPr>
          <w:p>
            <w:r>
              <w:rPr>
                <w:b w:val="false"/>
                <w:bCs w:val="false"/>
                <w:sz w:val="20"/>
                <w:szCs w:val="20"/>
              </w:rPr>
              <w:t xml:space="preserve">Bank aggregation security</w:t>
            </w:r>
          </w:p>
        </w:tc>
        <w:tc>
          <w:tcPr>
            <w:tcW w:type="dxa" w:w="6960"/>
            <w:tcMar>
              <w:top w:type="dxa" w:w="80"/>
              <w:left w:type="dxa" w:w="100"/>
              <w:bottom w:type="dxa" w:w="80"/>
              <w:right w:type="dxa" w:w="100"/>
            </w:tcMar>
            <w:vAlign w:val="center"/>
          </w:tcPr>
          <w:p>
            <w:r>
              <w:rPr>
                <w:b w:val="false"/>
                <w:bCs w:val="false"/>
                <w:sz w:val="20"/>
                <w:szCs w:val="20"/>
              </w:rPr>
              <w:t xml:space="preserve">Dedicated tests confirming no write/payment-initiation scope is ever requested or exercised, tokens are never returned to a client, and linked-account data is tenant-isolated (Section 3.14, 5.9)</w:t>
            </w:r>
          </w:p>
        </w:tc>
      </w:tr>
      <w:tr>
        <w:tc>
          <w:tcPr>
            <w:tcW w:type="dxa" w:w="2400"/>
            <w:tcMar>
              <w:top w:type="dxa" w:w="80"/>
              <w:left w:type="dxa" w:w="100"/>
              <w:bottom w:type="dxa" w:w="80"/>
              <w:right w:type="dxa" w:w="100"/>
            </w:tcMar>
            <w:vAlign w:val="center"/>
          </w:tcPr>
          <w:p>
            <w:r>
              <w:rPr>
                <w:b w:val="false"/>
                <w:bCs w:val="false"/>
                <w:sz w:val="20"/>
                <w:szCs w:val="20"/>
              </w:rPr>
              <w:t xml:space="preserve">Subscription lifecycle</w:t>
            </w:r>
          </w:p>
        </w:tc>
        <w:tc>
          <w:tcPr>
            <w:tcW w:type="dxa" w:w="6960"/>
            <w:tcMar>
              <w:top w:type="dxa" w:w="80"/>
              <w:left w:type="dxa" w:w="100"/>
              <w:bottom w:type="dxa" w:w="80"/>
              <w:right w:type="dxa" w:w="100"/>
            </w:tcMar>
            <w:vAlign w:val="center"/>
          </w:tcPr>
          <w:p>
            <w:r>
              <w:rPr>
                <w:b w:val="false"/>
                <w:bCs w:val="false"/>
                <w:sz w:val="20"/>
                <w:szCs w:val="20"/>
              </w:rPr>
              <w:t xml:space="preserve">Trial expiry, successful and failed billing, grace-period access, cancellation, and status-based access gating all covered end-to-end (Section 3.12)</w:t>
            </w:r>
          </w:p>
        </w:tc>
      </w:tr>
    </w:tbl>
    <w:p>
      <w:pPr>
        <w:spacing w:after="120"/>
      </w:pPr>
    </w:p>
    <w:p>
      <w:pPr>
        <w:pStyle w:val="Heading2"/>
        <w:spacing w:after="120" w:before="300"/>
      </w:pPr>
      <w:r>
        <w:t xml:space="preserve">9.2 Acceptance Criteria</w:t>
      </w:r>
    </w:p>
    <w:p>
      <w:pPr>
        <w:pStyle w:val="ListParagraph"/>
        <w:numPr>
          <w:ilvl w:val="0"/>
          <w:numId w:val="1"/>
        </w:numPr>
        <w:spacing w:after="60"/>
      </w:pPr>
      <w:r>
        <w:t xml:space="preserve">All Must-priority functional requirements implemented and covered by automated tests before public launch</w:t>
      </w:r>
    </w:p>
    <w:p>
      <w:pPr>
        <w:pStyle w:val="ListParagraph"/>
        <w:numPr>
          <w:ilvl w:val="0"/>
          <w:numId w:val="1"/>
        </w:numPr>
        <w:spacing w:after="60"/>
      </w:pPr>
      <w:r>
        <w:t xml:space="preserve">Zero known cross-tenant data-isolation defects at launch</w:t>
      </w:r>
    </w:p>
    <w:p>
      <w:pPr>
        <w:pStyle w:val="ListParagraph"/>
        <w:numPr>
          <w:ilvl w:val="0"/>
          <w:numId w:val="1"/>
        </w:numPr>
        <w:spacing w:after="60"/>
      </w:pPr>
      <w:r>
        <w:t xml:space="preserve">NFR performance and security targets verified in a staging environment matching production configuration</w:t>
      </w:r>
    </w:p>
    <w:p>
      <w:pPr>
        <w:pStyle w:val="ListParagraph"/>
        <w:numPr>
          <w:ilvl w:val="0"/>
          <w:numId w:val="1"/>
        </w:numPr>
        <w:spacing w:after="60"/>
      </w:pPr>
      <w:r>
        <w:t xml:space="preserve">Zero code paths capable of initiating a payment or funds transfer through the bank aggregation integration</w:t>
      </w:r>
    </w:p>
    <w:p>
      <w:pPr>
        <w:pStyle w:val="Heading1"/>
        <w:pageBreakBefore/>
        <w:spacing w:after="200"/>
      </w:pPr>
      <w:r>
        <w:t xml:space="preserve">10. Appendices</w:t>
      </w:r>
    </w:p>
    <w:p>
      <w:pPr>
        <w:pStyle w:val="Heading2"/>
        <w:spacing w:after="120" w:before="300"/>
      </w:pPr>
      <w:r>
        <w:t xml:space="preserve">Appendix A — Recommended Dependency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9D9D9" w:color="auto" w:val="clear"/>
            <w:tcMar>
              <w:top w:type="dxa" w:w="80"/>
              <w:left w:type="dxa" w:w="100"/>
              <w:bottom w:type="dxa" w:w="80"/>
              <w:right w:type="dxa" w:w="100"/>
            </w:tcMar>
            <w:vAlign w:val="center"/>
          </w:tcPr>
          <w:p>
            <w:r>
              <w:rPr>
                <w:b/>
                <w:bCs/>
                <w:sz w:val="20"/>
                <w:szCs w:val="20"/>
              </w:rPr>
              <w:t xml:space="preserve">Package</w:t>
            </w:r>
          </w:p>
        </w:tc>
        <w:tc>
          <w:tcPr>
            <w:tcW w:type="dxa" w:w="6560"/>
            <w:shd w:fill="D9D9D9" w:color="auto" w:val="clear"/>
            <w:tcMar>
              <w:top w:type="dxa" w:w="80"/>
              <w:left w:type="dxa" w:w="100"/>
              <w:bottom w:type="dxa" w:w="80"/>
              <w:right w:type="dxa" w:w="100"/>
            </w:tcMar>
            <w:vAlign w:val="center"/>
          </w:tcPr>
          <w:p>
            <w:r>
              <w:rPr>
                <w:b/>
                <w:bCs/>
                <w:sz w:val="20"/>
                <w:szCs w:val="20"/>
              </w:rPr>
              <w:t xml:space="preserve">Purpose</w:t>
            </w:r>
          </w:p>
        </w:tc>
      </w:tr>
      <w:tr>
        <w:tc>
          <w:tcPr>
            <w:tcW w:type="dxa" w:w="2800"/>
            <w:tcMar>
              <w:top w:type="dxa" w:w="80"/>
              <w:left w:type="dxa" w:w="100"/>
              <w:bottom w:type="dxa" w:w="80"/>
              <w:right w:type="dxa" w:w="100"/>
            </w:tcMar>
            <w:vAlign w:val="center"/>
          </w:tcPr>
          <w:p>
            <w:r>
              <w:rPr>
                <w:b w:val="false"/>
                <w:bCs w:val="false"/>
                <w:sz w:val="20"/>
                <w:szCs w:val="20"/>
              </w:rPr>
              <w:t xml:space="preserve">slowapi</w:t>
            </w:r>
          </w:p>
        </w:tc>
        <w:tc>
          <w:tcPr>
            <w:tcW w:type="dxa" w:w="6560"/>
            <w:tcMar>
              <w:top w:type="dxa" w:w="80"/>
              <w:left w:type="dxa" w:w="100"/>
              <w:bottom w:type="dxa" w:w="80"/>
              <w:right w:type="dxa" w:w="100"/>
            </w:tcMar>
            <w:vAlign w:val="center"/>
          </w:tcPr>
          <w:p>
            <w:r>
              <w:rPr>
                <w:b w:val="false"/>
                <w:bCs w:val="false"/>
                <w:sz w:val="20"/>
                <w:szCs w:val="20"/>
              </w:rPr>
              <w:t xml:space="preserve">Rate limiting</w:t>
            </w:r>
          </w:p>
        </w:tc>
      </w:tr>
      <w:tr>
        <w:tc>
          <w:tcPr>
            <w:tcW w:type="dxa" w:w="2800"/>
            <w:tcMar>
              <w:top w:type="dxa" w:w="80"/>
              <w:left w:type="dxa" w:w="100"/>
              <w:bottom w:type="dxa" w:w="80"/>
              <w:right w:type="dxa" w:w="100"/>
            </w:tcMar>
            <w:vAlign w:val="center"/>
          </w:tcPr>
          <w:p>
            <w:r>
              <w:rPr>
                <w:b w:val="false"/>
                <w:bCs w:val="false"/>
                <w:sz w:val="20"/>
                <w:szCs w:val="20"/>
              </w:rPr>
              <w:t xml:space="preserve">redis</w:t>
            </w:r>
          </w:p>
        </w:tc>
        <w:tc>
          <w:tcPr>
            <w:tcW w:type="dxa" w:w="6560"/>
            <w:tcMar>
              <w:top w:type="dxa" w:w="80"/>
              <w:left w:type="dxa" w:w="100"/>
              <w:bottom w:type="dxa" w:w="80"/>
              <w:right w:type="dxa" w:w="100"/>
            </w:tcMar>
            <w:vAlign w:val="center"/>
          </w:tcPr>
          <w:p>
            <w:r>
              <w:rPr>
                <w:b w:val="false"/>
                <w:bCs w:val="false"/>
                <w:sz w:val="20"/>
                <w:szCs w:val="20"/>
              </w:rPr>
              <w:t xml:space="preserve">Cache / rate-limit backend / Celery broker</w:t>
            </w:r>
          </w:p>
        </w:tc>
      </w:tr>
      <w:tr>
        <w:tc>
          <w:tcPr>
            <w:tcW w:type="dxa" w:w="2800"/>
            <w:tcMar>
              <w:top w:type="dxa" w:w="80"/>
              <w:left w:type="dxa" w:w="100"/>
              <w:bottom w:type="dxa" w:w="80"/>
              <w:right w:type="dxa" w:w="100"/>
            </w:tcMar>
            <w:vAlign w:val="center"/>
          </w:tcPr>
          <w:p>
            <w:r>
              <w:rPr>
                <w:b w:val="false"/>
                <w:bCs w:val="false"/>
                <w:sz w:val="20"/>
                <w:szCs w:val="20"/>
              </w:rPr>
              <w:t xml:space="preserve">celery (or apscheduler)</w:t>
            </w:r>
          </w:p>
        </w:tc>
        <w:tc>
          <w:tcPr>
            <w:tcW w:type="dxa" w:w="6560"/>
            <w:tcMar>
              <w:top w:type="dxa" w:w="80"/>
              <w:left w:type="dxa" w:w="100"/>
              <w:bottom w:type="dxa" w:w="80"/>
              <w:right w:type="dxa" w:w="100"/>
            </w:tcMar>
            <w:vAlign w:val="center"/>
          </w:tcPr>
          <w:p>
            <w:r>
              <w:rPr>
                <w:b w:val="false"/>
                <w:bCs w:val="false"/>
                <w:sz w:val="20"/>
                <w:szCs w:val="20"/>
              </w:rPr>
              <w:t xml:space="preserve">Background job execution</w:t>
            </w:r>
          </w:p>
        </w:tc>
      </w:tr>
      <w:tr>
        <w:tc>
          <w:tcPr>
            <w:tcW w:type="dxa" w:w="2800"/>
            <w:tcMar>
              <w:top w:type="dxa" w:w="80"/>
              <w:left w:type="dxa" w:w="100"/>
              <w:bottom w:type="dxa" w:w="80"/>
              <w:right w:type="dxa" w:w="100"/>
            </w:tcMar>
            <w:vAlign w:val="center"/>
          </w:tcPr>
          <w:p>
            <w:r>
              <w:rPr>
                <w:b w:val="false"/>
                <w:bCs w:val="false"/>
                <w:sz w:val="20"/>
                <w:szCs w:val="20"/>
              </w:rPr>
              <w:t xml:space="preserve">sentry-sdk</w:t>
            </w:r>
          </w:p>
        </w:tc>
        <w:tc>
          <w:tcPr>
            <w:tcW w:type="dxa" w:w="6560"/>
            <w:tcMar>
              <w:top w:type="dxa" w:w="80"/>
              <w:left w:type="dxa" w:w="100"/>
              <w:bottom w:type="dxa" w:w="80"/>
              <w:right w:type="dxa" w:w="100"/>
            </w:tcMar>
            <w:vAlign w:val="center"/>
          </w:tcPr>
          <w:p>
            <w:r>
              <w:rPr>
                <w:b w:val="false"/>
                <w:bCs w:val="false"/>
                <w:sz w:val="20"/>
                <w:szCs w:val="20"/>
              </w:rPr>
              <w:t xml:space="preserve">Error tracking and alerting</w:t>
            </w:r>
          </w:p>
        </w:tc>
      </w:tr>
      <w:tr>
        <w:tc>
          <w:tcPr>
            <w:tcW w:type="dxa" w:w="2800"/>
            <w:tcMar>
              <w:top w:type="dxa" w:w="80"/>
              <w:left w:type="dxa" w:w="100"/>
              <w:bottom w:type="dxa" w:w="80"/>
              <w:right w:type="dxa" w:w="100"/>
            </w:tcMar>
            <w:vAlign w:val="center"/>
          </w:tcPr>
          <w:p>
            <w:r>
              <w:rPr>
                <w:b w:val="false"/>
                <w:bCs w:val="false"/>
                <w:sz w:val="20"/>
                <w:szCs w:val="20"/>
              </w:rPr>
              <w:t xml:space="preserve">fastapi-mail</w:t>
            </w:r>
          </w:p>
        </w:tc>
        <w:tc>
          <w:tcPr>
            <w:tcW w:type="dxa" w:w="6560"/>
            <w:tcMar>
              <w:top w:type="dxa" w:w="80"/>
              <w:left w:type="dxa" w:w="100"/>
              <w:bottom w:type="dxa" w:w="80"/>
              <w:right w:type="dxa" w:w="100"/>
            </w:tcMar>
            <w:vAlign w:val="center"/>
          </w:tcPr>
          <w:p>
            <w:r>
              <w:rPr>
                <w:b w:val="false"/>
                <w:bCs w:val="false"/>
                <w:sz w:val="20"/>
                <w:szCs w:val="20"/>
              </w:rPr>
              <w:t xml:space="preserve">Transactional email</w:t>
            </w:r>
          </w:p>
        </w:tc>
      </w:tr>
      <w:tr>
        <w:tc>
          <w:tcPr>
            <w:tcW w:type="dxa" w:w="2800"/>
            <w:tcMar>
              <w:top w:type="dxa" w:w="80"/>
              <w:left w:type="dxa" w:w="100"/>
              <w:bottom w:type="dxa" w:w="80"/>
              <w:right w:type="dxa" w:w="100"/>
            </w:tcMar>
            <w:vAlign w:val="center"/>
          </w:tcPr>
          <w:p>
            <w:r>
              <w:rPr>
                <w:b w:val="false"/>
                <w:bCs w:val="false"/>
                <w:sz w:val="20"/>
                <w:szCs w:val="20"/>
              </w:rPr>
              <w:t xml:space="preserve">gunicorn</w:t>
            </w:r>
          </w:p>
        </w:tc>
        <w:tc>
          <w:tcPr>
            <w:tcW w:type="dxa" w:w="6560"/>
            <w:tcMar>
              <w:top w:type="dxa" w:w="80"/>
              <w:left w:type="dxa" w:w="100"/>
              <w:bottom w:type="dxa" w:w="80"/>
              <w:right w:type="dxa" w:w="100"/>
            </w:tcMar>
            <w:vAlign w:val="center"/>
          </w:tcPr>
          <w:p>
            <w:r>
              <w:rPr>
                <w:b w:val="false"/>
                <w:bCs w:val="false"/>
                <w:sz w:val="20"/>
                <w:szCs w:val="20"/>
              </w:rPr>
              <w:t xml:space="preserve">Production process manager</w:t>
            </w:r>
          </w:p>
        </w:tc>
      </w:tr>
      <w:tr>
        <w:tc>
          <w:tcPr>
            <w:tcW w:type="dxa" w:w="2800"/>
            <w:tcMar>
              <w:top w:type="dxa" w:w="80"/>
              <w:left w:type="dxa" w:w="100"/>
              <w:bottom w:type="dxa" w:w="80"/>
              <w:right w:type="dxa" w:w="100"/>
            </w:tcMar>
            <w:vAlign w:val="center"/>
          </w:tcPr>
          <w:p>
            <w:r>
              <w:rPr>
                <w:b w:val="false"/>
                <w:bCs w:val="false"/>
                <w:sz w:val="20"/>
                <w:szCs w:val="20"/>
              </w:rPr>
              <w:t xml:space="preserve">pytest, pytest-asyncio, httpx</w:t>
            </w:r>
          </w:p>
        </w:tc>
        <w:tc>
          <w:tcPr>
            <w:tcW w:type="dxa" w:w="6560"/>
            <w:tcMar>
              <w:top w:type="dxa" w:w="80"/>
              <w:left w:type="dxa" w:w="100"/>
              <w:bottom w:type="dxa" w:w="80"/>
              <w:right w:type="dxa" w:w="100"/>
            </w:tcMar>
            <w:vAlign w:val="center"/>
          </w:tcPr>
          <w:p>
            <w:r>
              <w:rPr>
                <w:b w:val="false"/>
                <w:bCs w:val="false"/>
                <w:sz w:val="20"/>
                <w:szCs w:val="20"/>
              </w:rPr>
              <w:t xml:space="preserve">Test framework and async API test client</w:t>
            </w:r>
          </w:p>
        </w:tc>
      </w:tr>
      <w:tr>
        <w:tc>
          <w:tcPr>
            <w:tcW w:type="dxa" w:w="2800"/>
            <w:tcMar>
              <w:top w:type="dxa" w:w="80"/>
              <w:left w:type="dxa" w:w="100"/>
              <w:bottom w:type="dxa" w:w="80"/>
              <w:right w:type="dxa" w:w="100"/>
            </w:tcMar>
            <w:vAlign w:val="center"/>
          </w:tcPr>
          <w:p>
            <w:r>
              <w:rPr>
                <w:b w:val="false"/>
                <w:bCs w:val="false"/>
                <w:sz w:val="20"/>
                <w:szCs w:val="20"/>
              </w:rPr>
              <w:t xml:space="preserve">faker</w:t>
            </w:r>
          </w:p>
        </w:tc>
        <w:tc>
          <w:tcPr>
            <w:tcW w:type="dxa" w:w="6560"/>
            <w:tcMar>
              <w:top w:type="dxa" w:w="80"/>
              <w:left w:type="dxa" w:w="100"/>
              <w:bottom w:type="dxa" w:w="80"/>
              <w:right w:type="dxa" w:w="100"/>
            </w:tcMar>
            <w:vAlign w:val="center"/>
          </w:tcPr>
          <w:p>
            <w:r>
              <w:rPr>
                <w:b w:val="false"/>
                <w:bCs w:val="false"/>
                <w:sz w:val="20"/>
                <w:szCs w:val="20"/>
              </w:rPr>
              <w:t xml:space="preserve">Synthetic test data generation</w:t>
            </w:r>
          </w:p>
        </w:tc>
      </w:tr>
      <w:tr>
        <w:tc>
          <w:tcPr>
            <w:tcW w:type="dxa" w:w="2800"/>
            <w:tcMar>
              <w:top w:type="dxa" w:w="80"/>
              <w:left w:type="dxa" w:w="100"/>
              <w:bottom w:type="dxa" w:w="80"/>
              <w:right w:type="dxa" w:w="100"/>
            </w:tcMar>
            <w:vAlign w:val="center"/>
          </w:tcPr>
          <w:p>
            <w:r>
              <w:rPr>
                <w:b w:val="false"/>
                <w:bCs w:val="false"/>
                <w:sz w:val="20"/>
                <w:szCs w:val="20"/>
              </w:rPr>
              <w:t xml:space="preserve">stripe (or equivalent PCI-compliant subscription billing provider)</w:t>
            </w:r>
          </w:p>
        </w:tc>
        <w:tc>
          <w:tcPr>
            <w:tcW w:type="dxa" w:w="6560"/>
            <w:tcMar>
              <w:top w:type="dxa" w:w="80"/>
              <w:left w:type="dxa" w:w="100"/>
              <w:bottom w:type="dxa" w:w="80"/>
              <w:right w:type="dxa" w:w="100"/>
            </w:tcMar>
            <w:vAlign w:val="center"/>
          </w:tcPr>
          <w:p>
            <w:r>
              <w:rPr>
                <w:b w:val="false"/>
                <w:bCs w:val="false"/>
                <w:sz w:val="20"/>
                <w:szCs w:val="20"/>
              </w:rPr>
              <w:t xml:space="preserve">Monthly subscription billing, invoicing, and payment-failure handling (Section 3.12) — required for launch</w:t>
            </w:r>
          </w:p>
        </w:tc>
      </w:tr>
      <w:tr>
        <w:tc>
          <w:tcPr>
            <w:tcW w:type="dxa" w:w="2800"/>
            <w:tcMar>
              <w:top w:type="dxa" w:w="80"/>
              <w:left w:type="dxa" w:w="100"/>
              <w:bottom w:type="dxa" w:w="80"/>
              <w:right w:type="dxa" w:w="100"/>
            </w:tcMar>
            <w:vAlign w:val="center"/>
          </w:tcPr>
          <w:p>
            <w:r>
              <w:rPr>
                <w:b w:val="false"/>
                <w:bCs w:val="false"/>
                <w:sz w:val="20"/>
                <w:szCs w:val="20"/>
              </w:rPr>
              <w:t xml:space="preserve">plaid-python (or regional equivalent SDK)</w:t>
            </w:r>
          </w:p>
        </w:tc>
        <w:tc>
          <w:tcPr>
            <w:tcW w:type="dxa" w:w="6560"/>
            <w:tcMar>
              <w:top w:type="dxa" w:w="80"/>
              <w:left w:type="dxa" w:w="100"/>
              <w:bottom w:type="dxa" w:w="80"/>
              <w:right w:type="dxa" w:w="100"/>
            </w:tcMar>
            <w:vAlign w:val="center"/>
          </w:tcPr>
          <w:p>
            <w:r>
              <w:rPr>
                <w:b w:val="false"/>
                <w:bCs w:val="false"/>
                <w:sz w:val="20"/>
                <w:szCs w:val="20"/>
              </w:rPr>
              <w:t xml:space="preserve">Read-only bank account aggregation and balance/transaction retrieval (Section 3.14)</w:t>
            </w:r>
          </w:p>
        </w:tc>
      </w:tr>
      <w:tr>
        <w:tc>
          <w:tcPr>
            <w:tcW w:type="dxa" w:w="2800"/>
            <w:tcMar>
              <w:top w:type="dxa" w:w="80"/>
              <w:left w:type="dxa" w:w="100"/>
              <w:bottom w:type="dxa" w:w="80"/>
              <w:right w:type="dxa" w:w="100"/>
            </w:tcMar>
            <w:vAlign w:val="center"/>
          </w:tcPr>
          <w:p>
            <w:r>
              <w:rPr>
                <w:b w:val="false"/>
                <w:bCs w:val="false"/>
                <w:sz w:val="20"/>
                <w:szCs w:val="20"/>
              </w:rPr>
              <w:t xml:space="preserve">cryptography (or a cloud KMS SDK, e.g., boto3 for AWS KMS)</w:t>
            </w:r>
          </w:p>
        </w:tc>
        <w:tc>
          <w:tcPr>
            <w:tcW w:type="dxa" w:w="6560"/>
            <w:tcMar>
              <w:top w:type="dxa" w:w="80"/>
              <w:left w:type="dxa" w:w="100"/>
              <w:bottom w:type="dxa" w:w="80"/>
              <w:right w:type="dxa" w:w="100"/>
            </w:tcMar>
            <w:vAlign w:val="center"/>
          </w:tcPr>
          <w:p>
            <w:r>
              <w:rPr>
                <w:b w:val="false"/>
                <w:bCs w:val="false"/>
                <w:sz w:val="20"/>
                <w:szCs w:val="20"/>
              </w:rPr>
              <w:t xml:space="preserve">Envelope encryption for stored aggregator access tokens (NFR-9.1)</w:t>
            </w:r>
          </w:p>
        </w:tc>
      </w:tr>
      <w:tr>
        <w:tc>
          <w:tcPr>
            <w:tcW w:type="dxa" w:w="2800"/>
            <w:tcMar>
              <w:top w:type="dxa" w:w="80"/>
              <w:left w:type="dxa" w:w="100"/>
              <w:bottom w:type="dxa" w:w="80"/>
              <w:right w:type="dxa" w:w="100"/>
            </w:tcMar>
            <w:vAlign w:val="center"/>
          </w:tcPr>
          <w:p>
            <w:r>
              <w:rPr>
                <w:b w:val="false"/>
                <w:bCs w:val="false"/>
                <w:sz w:val="20"/>
                <w:szCs w:val="20"/>
              </w:rPr>
              <w:t xml:space="preserve">exchange-rate API client (e.g., a licensed FX data provider SDK)</w:t>
            </w:r>
          </w:p>
        </w:tc>
        <w:tc>
          <w:tcPr>
            <w:tcW w:type="dxa" w:w="6560"/>
            <w:tcMar>
              <w:top w:type="dxa" w:w="80"/>
              <w:left w:type="dxa" w:w="100"/>
              <w:bottom w:type="dxa" w:w="80"/>
              <w:right w:type="dxa" w:w="100"/>
            </w:tcMar>
            <w:vAlign w:val="center"/>
          </w:tcPr>
          <w:p>
            <w:r>
              <w:rPr>
                <w:b w:val="false"/>
                <w:bCs w:val="false"/>
                <w:sz w:val="20"/>
                <w:szCs w:val="20"/>
              </w:rPr>
              <w:t xml:space="preserve">Currency conversion rates for the Gross Balance view (FR-14.13)</w:t>
            </w:r>
          </w:p>
        </w:tc>
      </w:tr>
    </w:tbl>
    <w:p>
      <w:pPr>
        <w:spacing w:after="120"/>
      </w:pPr>
    </w:p>
    <w:p>
      <w:pPr>
        <w:pStyle w:val="Heading2"/>
        <w:spacing w:after="120" w:before="300"/>
      </w:pPr>
      <w:r>
        <w:t xml:space="preserve">Appendix B — Gap Summary</w:t>
      </w:r>
    </w:p>
    <w:p>
      <w:pPr>
        <w:spacing w:after="160"/>
      </w:pPr>
      <w:r>
        <w:t xml:space="preserve">The following gaps were identified in the original single-tenant design and are addressed in this SRS:</w:t>
      </w:r>
    </w:p>
    <w:p>
      <w:pPr>
        <w:pStyle w:val="ListParagraph"/>
        <w:numPr>
          <w:ilvl w:val="0"/>
          <w:numId w:val="1"/>
        </w:numPr>
        <w:spacing w:after="60"/>
      </w:pPr>
      <w:r>
        <w:t xml:space="preserve">No formal tenant definition or isolation guarantee beyond a foreign key → Section 2.2, 6.2</w:t>
      </w:r>
    </w:p>
    <w:p>
      <w:pPr>
        <w:pStyle w:val="ListParagraph"/>
        <w:numPr>
          <w:ilvl w:val="0"/>
          <w:numId w:val="1"/>
        </w:numPr>
        <w:spacing w:after="60"/>
      </w:pPr>
      <w:r>
        <w:t xml:space="preserve">No defense-in-depth against cross-tenant data leaks → Section 6.2 (RLS + application layer + tests)</w:t>
      </w:r>
    </w:p>
    <w:p>
      <w:pPr>
        <w:pStyle w:val="ListParagraph"/>
        <w:numPr>
          <w:ilvl w:val="0"/>
          <w:numId w:val="1"/>
        </w:numPr>
        <w:spacing w:after="60"/>
      </w:pPr>
      <w:r>
        <w:t xml:space="preserve">No account lifecycle for deletion / data portability → Sections 3.1, 3.13, 6.3, 6.4</w:t>
      </w:r>
    </w:p>
    <w:p>
      <w:pPr>
        <w:pStyle w:val="ListParagraph"/>
        <w:numPr>
          <w:ilvl w:val="0"/>
          <w:numId w:val="1"/>
        </w:numPr>
        <w:spacing w:after="60"/>
      </w:pPr>
      <w:r>
        <w:t xml:space="preserve">No support/admin tooling for a public user base → Section 3.11</w:t>
      </w:r>
    </w:p>
    <w:p>
      <w:pPr>
        <w:pStyle w:val="ListParagraph"/>
        <w:numPr>
          <w:ilvl w:val="0"/>
          <w:numId w:val="1"/>
        </w:numPr>
        <w:spacing w:after="60"/>
      </w:pPr>
      <w:r>
        <w:t xml:space="preserve">No monetization or usage-tier model for sustaining public infrastructure → resolved in Section 3.12 (originally deferred as Phase 2, since elevated to a required monthly subscription, then split so it applies only to bank-linking, not core functionality)</w:t>
      </w:r>
    </w:p>
    <w:p>
      <w:pPr>
        <w:pStyle w:val="ListParagraph"/>
        <w:numPr>
          <w:ilvl w:val="0"/>
          <w:numId w:val="1"/>
        </w:numPr>
        <w:spacing w:after="60"/>
      </w:pPr>
      <w:r>
        <w:t xml:space="preserve">No compliance or legal posture for handling public users' financial PII → Chapter 8</w:t>
      </w:r>
    </w:p>
    <w:p>
      <w:pPr>
        <w:pStyle w:val="ListParagraph"/>
        <w:numPr>
          <w:ilvl w:val="0"/>
          <w:numId w:val="1"/>
        </w:numPr>
        <w:spacing w:after="60"/>
      </w:pPr>
      <w:r>
        <w:t xml:space="preserve">No observability, error monitoring, or reliability targets → Sections 5.4, 5.7</w:t>
      </w:r>
    </w:p>
    <w:p>
      <w:pPr>
        <w:pStyle w:val="ListParagraph"/>
        <w:numPr>
          <w:ilvl w:val="0"/>
          <w:numId w:val="1"/>
        </w:numPr>
        <w:spacing w:after="60"/>
      </w:pPr>
      <w:r>
        <w:t xml:space="preserve">No formal test strategy, particularly for tenant isolation → Chapter 9</w:t>
      </w:r>
    </w:p>
    <w:p>
      <w:pPr>
        <w:pStyle w:val="ListParagraph"/>
        <w:numPr>
          <w:ilvl w:val="0"/>
          <w:numId w:val="1"/>
        </w:numPr>
        <w:spacing w:after="60"/>
      </w:pPr>
      <w:r>
        <w:t xml:space="preserve">No way to see real, multi-bank balances, and no security/consent/compliance model for handling delegated bank access → Sections 3.14, 5.9, 6.5, 7.5, 8.4</w:t>
      </w:r>
    </w:p>
    <w:p>
      <w:pPr>
        <w:pStyle w:val="ListParagraph"/>
        <w:numPr>
          <w:ilvl w:val="0"/>
          <w:numId w:val="1"/>
        </w:numPr>
        <w:spacing w:after="60"/>
      </w:pPr>
      <w:r>
        <w:t xml:space="preserve">No hard boundary preventing customer financial data from being shared with parties beyond what's needed to connect to the bank itself → Sections 3.14 (FR-14.10–14.12), 5.9, 8.4</w:t>
      </w:r>
    </w:p>
    <w:p>
      <w:pPr>
        <w:pStyle w:val="ListParagraph"/>
        <w:numPr>
          <w:ilvl w:val="0"/>
          <w:numId w:val="1"/>
        </w:numPr>
        <w:spacing w:after="60"/>
      </w:pPr>
      <w:r>
        <w:t xml:space="preserve">No handling for the Gross Balance aggregating accounts held in different currencies → Sections 3.14 (FR-14.13–14.15), 5.10</w:t>
      </w:r>
    </w:p>
    <w:p>
      <w:pPr>
        <w:pStyle w:val="ListParagraph"/>
        <w:numPr>
          <w:ilvl w:val="0"/>
          <w:numId w:val="1"/>
        </w:numPr>
        <w:spacing w:after="60"/>
      </w:pPr>
      <w:r>
        <w:t xml:space="preserve">No way for a user to record an income/expense in a currency other than the account's own — currency was implicitly assumed, never user-controlled → Sections 3.4 (FR-4.4), 3.6 (FR-6.1, FR-6.2, FR-6.5), 5.10 (NFR-10.4)</w:t>
      </w:r>
    </w:p>
    <w:p>
      <w:pPr>
        <w:pStyle w:val="ListParagraph"/>
        <w:numPr>
          <w:ilvl w:val="0"/>
          <w:numId w:val="1"/>
        </w:numPr>
        <w:spacing w:after="60"/>
      </w:pPr>
      <w:r>
        <w:t xml:space="preserve">No required monetization model, despite real infrastructure cost of public operation — billing was originally optional/deferred and is now a required monthly subscription → Section 3.12, 4.2, 4.3, 6.3 (NFR-8.4), 8.1, 9.1</w:t>
      </w:r>
    </w:p>
    <w:p>
      <w:pPr>
        <w:pStyle w:val="ListParagraph"/>
        <w:numPr>
          <w:ilvl w:val="0"/>
          <w:numId w:val="1"/>
        </w:numPr>
        <w:spacing w:after="60"/>
      </w:pPr>
      <w:r>
        <w:t xml:space="preserve">An all-or-nothing subscription risked asking new users for payment and bank credentials at once, before any trust was established, and didn't align cost (bank-linking) with what's actually charged for → Section 3.12 (FR-12.1–12.9), 3.14</w:t>
      </w:r>
    </w:p>
    <w:p>
      <w:pPr>
        <w:pStyle w:val="Heading2"/>
        <w:spacing w:after="120" w:before="300"/>
      </w:pPr>
      <w:r>
        <w:t xml:space="preserve">Appendix C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Version</w:t>
            </w:r>
          </w:p>
        </w:tc>
        <w:tc>
          <w:tcPr>
            <w:tcW w:type="dxa" w:w="1600"/>
            <w:shd w:fill="D9D9D9" w:color="auto" w:val="clear"/>
            <w:tcMar>
              <w:top w:type="dxa" w:w="80"/>
              <w:left w:type="dxa" w:w="100"/>
              <w:bottom w:type="dxa" w:w="80"/>
              <w:right w:type="dxa" w:w="100"/>
            </w:tcMar>
            <w:vAlign w:val="center"/>
          </w:tcPr>
          <w:p>
            <w:r>
              <w:rPr>
                <w:b/>
                <w:bCs/>
                <w:sz w:val="20"/>
                <w:szCs w:val="20"/>
              </w:rPr>
              <w:t xml:space="preserve">Date</w:t>
            </w:r>
          </w:p>
        </w:tc>
        <w:tc>
          <w:tcPr>
            <w:tcW w:type="dxa" w:w="6360"/>
            <w:shd w:fill="D9D9D9" w:color="auto" w:val="clear"/>
            <w:tcMar>
              <w:top w:type="dxa" w:w="80"/>
              <w:left w:type="dxa" w:w="100"/>
              <w:bottom w:type="dxa" w:w="80"/>
              <w:right w:type="dxa" w:w="100"/>
            </w:tcMar>
            <w:vAlign w:val="center"/>
          </w:tcPr>
          <w:p>
            <w:r>
              <w:rPr>
                <w:b/>
                <w:bCs/>
                <w:sz w:val="20"/>
                <w:szCs w:val="20"/>
              </w:rPr>
              <w:t xml:space="preserve">Change</w:t>
            </w:r>
          </w:p>
        </w:tc>
      </w:tr>
      <w:tr>
        <w:tc>
          <w:tcPr>
            <w:tcW w:type="dxa" w:w="1400"/>
            <w:tcMar>
              <w:top w:type="dxa" w:w="80"/>
              <w:left w:type="dxa" w:w="100"/>
              <w:bottom w:type="dxa" w:w="80"/>
              <w:right w:type="dxa" w:w="100"/>
            </w:tcMar>
            <w:vAlign w:val="center"/>
          </w:tcPr>
          <w:p>
            <w:r>
              <w:rPr>
                <w:b w:val="false"/>
                <w:bCs w:val="false"/>
                <w:sz w:val="20"/>
                <w:szCs w:val="20"/>
              </w:rPr>
              <w:t xml:space="preserve">1.0</w:t>
            </w:r>
          </w:p>
        </w:tc>
        <w:tc>
          <w:tcPr>
            <w:tcW w:type="dxa" w:w="1600"/>
            <w:tcMar>
              <w:top w:type="dxa" w:w="80"/>
              <w:left w:type="dxa" w:w="100"/>
              <w:bottom w:type="dxa" w:w="80"/>
              <w:right w:type="dxa" w:w="100"/>
            </w:tcMar>
            <w:vAlign w:val="center"/>
          </w:tcPr>
          <w:p>
            <w:r>
              <w:rPr>
                <w:b w:val="false"/>
                <w:bCs w:val="false"/>
                <w:sz w:val="20"/>
                <w:szCs w:val="20"/>
              </w:rPr>
              <w:t xml:space="preserve">2026-08-08</w:t>
            </w:r>
          </w:p>
        </w:tc>
        <w:tc>
          <w:tcPr>
            <w:tcW w:type="dxa" w:w="6360"/>
            <w:tcMar>
              <w:top w:type="dxa" w:w="80"/>
              <w:left w:type="dxa" w:w="100"/>
              <w:bottom w:type="dxa" w:w="80"/>
              <w:right w:type="dxa" w:w="100"/>
            </w:tcMar>
            <w:vAlign w:val="center"/>
          </w:tcPr>
          <w:p>
            <w:r>
              <w:rPr>
                <w:b w:val="false"/>
                <w:bCs w:val="false"/>
                <w:sz w:val="20"/>
                <w:szCs w:val="20"/>
              </w:rPr>
              <w:t xml:space="preserve">Initial draft covering existing single-tenant scope plus reliability add-ons</w:t>
            </w:r>
          </w:p>
        </w:tc>
      </w:tr>
      <w:tr>
        <w:tc>
          <w:tcPr>
            <w:tcW w:type="dxa" w:w="1400"/>
            <w:tcMar>
              <w:top w:type="dxa" w:w="80"/>
              <w:left w:type="dxa" w:w="100"/>
              <w:bottom w:type="dxa" w:w="80"/>
              <w:right w:type="dxa" w:w="100"/>
            </w:tcMar>
            <w:vAlign w:val="center"/>
          </w:tcPr>
          <w:p>
            <w:r>
              <w:rPr>
                <w:b w:val="false"/>
                <w:bCs w:val="false"/>
                <w:sz w:val="20"/>
                <w:szCs w:val="20"/>
              </w:rPr>
              <w:t xml:space="preserve">2.0</w:t>
            </w:r>
          </w:p>
        </w:tc>
        <w:tc>
          <w:tcPr>
            <w:tcW w:type="dxa" w:w="1600"/>
            <w:tcMar>
              <w:top w:type="dxa" w:w="80"/>
              <w:left w:type="dxa" w:w="100"/>
              <w:bottom w:type="dxa" w:w="80"/>
              <w:right w:type="dxa" w:w="100"/>
            </w:tcMar>
            <w:vAlign w:val="center"/>
          </w:tcPr>
          <w:p>
            <w:r>
              <w:rPr>
                <w:b w:val="false"/>
                <w:bCs w:val="false"/>
                <w:sz w:val="20"/>
                <w:szCs w:val="20"/>
              </w:rPr>
              <w:t xml:space="preserve">2026-08-08</w:t>
            </w:r>
          </w:p>
        </w:tc>
        <w:tc>
          <w:tcPr>
            <w:tcW w:type="dxa" w:w="6360"/>
            <w:tcMar>
              <w:top w:type="dxa" w:w="80"/>
              <w:left w:type="dxa" w:w="100"/>
              <w:bottom w:type="dxa" w:w="80"/>
              <w:right w:type="dxa" w:w="100"/>
            </w:tcMar>
            <w:vAlign w:val="center"/>
          </w:tcPr>
          <w:p>
            <w:r>
              <w:rPr>
                <w:b w:val="false"/>
                <w:bCs w:val="false"/>
                <w:sz w:val="20"/>
                <w:szCs w:val="20"/>
              </w:rPr>
              <w:t xml:space="preserve">Formalized as a multi-tenant SRS; identified and resolved tenancy, isolation, compliance, admin, and billing gaps for public launch</w:t>
            </w:r>
          </w:p>
        </w:tc>
      </w:tr>
      <w:tr>
        <w:tc>
          <w:tcPr>
            <w:tcW w:type="dxa" w:w="1400"/>
            <w:tcMar>
              <w:top w:type="dxa" w:w="80"/>
              <w:left w:type="dxa" w:w="100"/>
              <w:bottom w:type="dxa" w:w="80"/>
              <w:right w:type="dxa" w:w="100"/>
            </w:tcMar>
            <w:vAlign w:val="center"/>
          </w:tcPr>
          <w:p>
            <w:r>
              <w:rPr>
                <w:b w:val="false"/>
                <w:bCs w:val="false"/>
                <w:sz w:val="20"/>
                <w:szCs w:val="20"/>
              </w:rPr>
              <w:t xml:space="preserve">3.0</w:t>
            </w:r>
          </w:p>
        </w:tc>
        <w:tc>
          <w:tcPr>
            <w:tcW w:type="dxa" w:w="1600"/>
            <w:tcMar>
              <w:top w:type="dxa" w:w="80"/>
              <w:left w:type="dxa" w:w="100"/>
              <w:bottom w:type="dxa" w:w="80"/>
              <w:right w:type="dxa" w:w="100"/>
            </w:tcMar>
            <w:vAlign w:val="center"/>
          </w:tcPr>
          <w:p>
            <w:r>
              <w:rPr>
                <w:b w:val="false"/>
                <w:bCs w:val="false"/>
                <w:sz w:val="20"/>
                <w:szCs w:val="20"/>
              </w:rPr>
              <w:t xml:space="preserve">2026-08-08</w:t>
            </w:r>
          </w:p>
        </w:tc>
        <w:tc>
          <w:tcPr>
            <w:tcW w:type="dxa" w:w="6360"/>
            <w:tcMar>
              <w:top w:type="dxa" w:w="80"/>
              <w:left w:type="dxa" w:w="100"/>
              <w:bottom w:type="dxa" w:w="80"/>
              <w:right w:type="dxa" w:w="100"/>
            </w:tcMar>
            <w:vAlign w:val="center"/>
          </w:tcPr>
          <w:p>
            <w:r>
              <w:rPr>
                <w:b w:val="false"/>
                <w:bCs w:val="false"/>
                <w:sz w:val="20"/>
                <w:szCs w:val="20"/>
              </w:rPr>
              <w:t xml:space="preserve">Added multi-bank account aggregation for read-only gross balance and transaction monitoring across institutions (Section 3.14), with dedicated security (5.9), data-handling (6.5), architecture (7.5), and consent/regulatory (8.4) requirements. Explicitly excluded any payment-initiation capability, now and going forward.</w:t>
            </w:r>
          </w:p>
        </w:tc>
      </w:tr>
      <w:tr>
        <w:tc>
          <w:tcPr>
            <w:tcW w:type="dxa" w:w="1400"/>
            <w:tcMar>
              <w:top w:type="dxa" w:w="80"/>
              <w:left w:type="dxa" w:w="100"/>
              <w:bottom w:type="dxa" w:w="80"/>
              <w:right w:type="dxa" w:w="100"/>
            </w:tcMar>
            <w:vAlign w:val="center"/>
          </w:tcPr>
          <w:p>
            <w:r>
              <w:rPr>
                <w:b w:val="false"/>
                <w:bCs w:val="false"/>
                <w:sz w:val="20"/>
                <w:szCs w:val="20"/>
              </w:rPr>
              <w:t xml:space="preserve">3.1</w:t>
            </w:r>
          </w:p>
        </w:tc>
        <w:tc>
          <w:tcPr>
            <w:tcW w:type="dxa" w:w="1600"/>
            <w:tcMar>
              <w:top w:type="dxa" w:w="80"/>
              <w:left w:type="dxa" w:w="100"/>
              <w:bottom w:type="dxa" w:w="80"/>
              <w:right w:type="dxa" w:w="100"/>
            </w:tcMar>
            <w:vAlign w:val="center"/>
          </w:tcPr>
          <w:p>
            <w:r>
              <w:rPr>
                <w:b w:val="false"/>
                <w:bCs w:val="false"/>
                <w:sz w:val="20"/>
                <w:szCs w:val="20"/>
              </w:rPr>
              <w:t xml:space="preserve">2026-08-08</w:t>
            </w:r>
          </w:p>
        </w:tc>
        <w:tc>
          <w:tcPr>
            <w:tcW w:type="dxa" w:w="6360"/>
            <w:tcMar>
              <w:top w:type="dxa" w:w="80"/>
              <w:left w:type="dxa" w:w="100"/>
              <w:bottom w:type="dxa" w:w="80"/>
              <w:right w:type="dxa" w:w="100"/>
            </w:tcMar>
            <w:vAlign w:val="center"/>
          </w:tcPr>
          <w:p>
            <w:r>
              <w:rPr>
                <w:b w:val="false"/>
                <w:bCs w:val="false"/>
                <w:sz w:val="20"/>
                <w:szCs w:val="20"/>
              </w:rPr>
              <w:t xml:space="preserve">Required a direct, regulated bank API connection where available, with certified aggregation providers only as a fallback (FR-14.10). Added a hard boundary prohibiting any third party beyond the bank-connection channel from accessing customer data (FR-14.11–14.12, NFR-9.7–9.8), informed by documented industry precedent.</w:t>
            </w:r>
          </w:p>
        </w:tc>
      </w:tr>
      <w:tr>
        <w:tc>
          <w:tcPr>
            <w:tcW w:type="dxa" w:w="1400"/>
            <w:tcMar>
              <w:top w:type="dxa" w:w="80"/>
              <w:left w:type="dxa" w:w="100"/>
              <w:bottom w:type="dxa" w:w="80"/>
              <w:right w:type="dxa" w:w="100"/>
            </w:tcMar>
            <w:vAlign w:val="center"/>
          </w:tcPr>
          <w:p>
            <w:r>
              <w:rPr>
                <w:b w:val="false"/>
                <w:bCs w:val="false"/>
                <w:sz w:val="20"/>
                <w:szCs w:val="20"/>
              </w:rPr>
              <w:t xml:space="preserve">3.2</w:t>
            </w:r>
          </w:p>
        </w:tc>
        <w:tc>
          <w:tcPr>
            <w:tcW w:type="dxa" w:w="1600"/>
            <w:tcMar>
              <w:top w:type="dxa" w:w="80"/>
              <w:left w:type="dxa" w:w="100"/>
              <w:bottom w:type="dxa" w:w="80"/>
              <w:right w:type="dxa" w:w="100"/>
            </w:tcMar>
            <w:vAlign w:val="center"/>
          </w:tcPr>
          <w:p>
            <w:r>
              <w:rPr>
                <w:b w:val="false"/>
                <w:bCs w:val="false"/>
                <w:sz w:val="20"/>
                <w:szCs w:val="20"/>
              </w:rPr>
              <w:t xml:space="preserve">2026-08-08</w:t>
            </w:r>
          </w:p>
        </w:tc>
        <w:tc>
          <w:tcPr>
            <w:tcW w:type="dxa" w:w="6360"/>
            <w:tcMar>
              <w:top w:type="dxa" w:w="80"/>
              <w:left w:type="dxa" w:w="100"/>
              <w:bottom w:type="dxa" w:w="80"/>
              <w:right w:type="dxa" w:w="100"/>
            </w:tcMar>
            <w:vAlign w:val="center"/>
          </w:tcPr>
          <w:p>
            <w:r>
              <w:rPr>
                <w:b w:val="false"/>
                <w:bCs w:val="false"/>
                <w:sz w:val="20"/>
                <w:szCs w:val="20"/>
              </w:rPr>
              <w:t xml:space="preserve">Added currency conversion for the Gross Balance view: accounts are converted into the user's preferred currency using a licensed exchange-rate source (FR-14.13–14.15, NFR-10.1–10.3), with an explicit carve-out clarifying this source never receives customer data.</w:t>
            </w:r>
          </w:p>
        </w:tc>
      </w:tr>
      <w:tr>
        <w:tc>
          <w:tcPr>
            <w:tcW w:type="dxa" w:w="1400"/>
            <w:tcMar>
              <w:top w:type="dxa" w:w="80"/>
              <w:left w:type="dxa" w:w="100"/>
              <w:bottom w:type="dxa" w:w="80"/>
              <w:right w:type="dxa" w:w="100"/>
            </w:tcMar>
            <w:vAlign w:val="center"/>
          </w:tcPr>
          <w:p>
            <w:r>
              <w:rPr>
                <w:b w:val="false"/>
                <w:bCs w:val="false"/>
                <w:sz w:val="20"/>
                <w:szCs w:val="20"/>
              </w:rPr>
              <w:t xml:space="preserve">3.3</w:t>
            </w:r>
          </w:p>
        </w:tc>
        <w:tc>
          <w:tcPr>
            <w:tcW w:type="dxa" w:w="1600"/>
            <w:tcMar>
              <w:top w:type="dxa" w:w="80"/>
              <w:left w:type="dxa" w:w="100"/>
              <w:bottom w:type="dxa" w:w="80"/>
              <w:right w:type="dxa" w:w="100"/>
            </w:tcMar>
            <w:vAlign w:val="center"/>
          </w:tcPr>
          <w:p>
            <w:r>
              <w:rPr>
                <w:b w:val="false"/>
                <w:bCs w:val="false"/>
                <w:sz w:val="20"/>
                <w:szCs w:val="20"/>
              </w:rPr>
              <w:t xml:space="preserve">2026-08-08</w:t>
            </w:r>
          </w:p>
        </w:tc>
        <w:tc>
          <w:tcPr>
            <w:tcW w:type="dxa" w:w="6360"/>
            <w:tcMar>
              <w:top w:type="dxa" w:w="80"/>
              <w:left w:type="dxa" w:w="100"/>
              <w:bottom w:type="dxa" w:w="80"/>
              <w:right w:type="dxa" w:w="100"/>
            </w:tcMar>
            <w:vAlign w:val="center"/>
          </w:tcPr>
          <w:p>
            <w:r>
              <w:rPr>
                <w:b w:val="false"/>
                <w:bCs w:val="false"/>
                <w:sz w:val="20"/>
                <w:szCs w:val="20"/>
              </w:rPr>
              <w:t xml:space="preserve">Added a native currency to accounts (FR-4.4) and made transaction currency user-determined rather than assumed (FR-6.1); manual transactions in a differing currency are now converted using a dated historical rate (FR-6.2, NFR-10.4), with both the original and converted amounts retained for transparency (FR-6.5).</w:t>
            </w:r>
          </w:p>
        </w:tc>
      </w:tr>
      <w:tr>
        <w:tc>
          <w:tcPr>
            <w:tcW w:type="dxa" w:w="1400"/>
            <w:tcMar>
              <w:top w:type="dxa" w:w="80"/>
              <w:left w:type="dxa" w:w="100"/>
              <w:bottom w:type="dxa" w:w="80"/>
              <w:right w:type="dxa" w:w="100"/>
            </w:tcMar>
            <w:vAlign w:val="center"/>
          </w:tcPr>
          <w:p>
            <w:r>
              <w:rPr>
                <w:b w:val="false"/>
                <w:bCs w:val="false"/>
                <w:sz w:val="20"/>
                <w:szCs w:val="20"/>
              </w:rPr>
              <w:t xml:space="preserve">3.4</w:t>
            </w:r>
          </w:p>
        </w:tc>
        <w:tc>
          <w:tcPr>
            <w:tcW w:type="dxa" w:w="1600"/>
            <w:tcMar>
              <w:top w:type="dxa" w:w="80"/>
              <w:left w:type="dxa" w:w="100"/>
              <w:bottom w:type="dxa" w:w="80"/>
              <w:right w:type="dxa" w:w="100"/>
            </w:tcMar>
            <w:vAlign w:val="center"/>
          </w:tcPr>
          <w:p>
            <w:r>
              <w:rPr>
                <w:b w:val="false"/>
                <w:bCs w:val="false"/>
                <w:sz w:val="20"/>
                <w:szCs w:val="20"/>
              </w:rPr>
              <w:t xml:space="preserve">2026-08-08</w:t>
            </w:r>
          </w:p>
        </w:tc>
        <w:tc>
          <w:tcPr>
            <w:tcW w:type="dxa" w:w="6360"/>
            <w:tcMar>
              <w:top w:type="dxa" w:w="80"/>
              <w:left w:type="dxa" w:w="100"/>
              <w:bottom w:type="dxa" w:w="80"/>
              <w:right w:type="dxa" w:w="100"/>
            </w:tcMar>
            <w:vAlign w:val="center"/>
          </w:tcPr>
          <w:p>
            <w:r>
              <w:rPr>
                <w:b w:val="false"/>
                <w:bCs w:val="false"/>
                <w:sz w:val="20"/>
                <w:szCs w:val="20"/>
              </w:rPr>
              <w:t xml:space="preserve">Elevated billing (Section 3.12) from an optional Phase 2 idea to a required monthly subscription model: recurring monthly billing, trial period, failed-payment grace handling, cancellation policy, and live status-based access gating (FR-12.1–12.8), plus billing-record retention (NFR-8.4) and subscription-lifecycle test coverage (Section 9.1).</w:t>
            </w:r>
          </w:p>
        </w:tc>
      </w:tr>
      <w:tr>
        <w:tc>
          <w:tcPr>
            <w:tcW w:type="dxa" w:w="1400"/>
            <w:tcMar>
              <w:top w:type="dxa" w:w="80"/>
              <w:left w:type="dxa" w:w="100"/>
              <w:bottom w:type="dxa" w:w="80"/>
              <w:right w:type="dxa" w:w="100"/>
            </w:tcMar>
            <w:vAlign w:val="center"/>
          </w:tcPr>
          <w:p>
            <w:r>
              <w:rPr>
                <w:b w:val="false"/>
                <w:bCs w:val="false"/>
                <w:sz w:val="20"/>
                <w:szCs w:val="20"/>
              </w:rPr>
              <w:t xml:space="preserve">3.5</w:t>
            </w:r>
          </w:p>
        </w:tc>
        <w:tc>
          <w:tcPr>
            <w:tcW w:type="dxa" w:w="1600"/>
            <w:tcMar>
              <w:top w:type="dxa" w:w="80"/>
              <w:left w:type="dxa" w:w="100"/>
              <w:bottom w:type="dxa" w:w="80"/>
              <w:right w:type="dxa" w:w="100"/>
            </w:tcMar>
            <w:vAlign w:val="center"/>
          </w:tcPr>
          <w:p>
            <w:r>
              <w:rPr>
                <w:b w:val="false"/>
                <w:bCs w:val="false"/>
                <w:sz w:val="20"/>
                <w:szCs w:val="20"/>
              </w:rPr>
              <w:t xml:space="preserve">2026-08-08</w:t>
            </w:r>
          </w:p>
        </w:tc>
        <w:tc>
          <w:tcPr>
            <w:tcW w:type="dxa" w:w="6360"/>
            <w:tcMar>
              <w:top w:type="dxa" w:w="80"/>
              <w:left w:type="dxa" w:w="100"/>
              <w:bottom w:type="dxa" w:w="80"/>
              <w:right w:type="dxa" w:w="100"/>
            </w:tcMar>
            <w:vAlign w:val="center"/>
          </w:tcPr>
          <w:p>
            <w:r>
              <w:rPr>
                <w:b w:val="false"/>
                <w:bCs w:val="false"/>
                <w:sz w:val="20"/>
                <w:szCs w:val="20"/>
              </w:rPr>
              <w:t xml:space="preserve">Split the all-or-nothing subscription into a free/paid model: manual tracking (Sections 3.4–3.9) is free for every user (FR-12.1); the monthly subscription applies only to bank-linking and Gross Balance monitoring (Section 3.14), aligning cost with what's charged for and letting new users build trust before paying or linking a bank.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SRS — Finance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b/>
      <w:bCs/>
      <w:color w:val="1F3864"/>
      <w:sz w:val="32"/>
      <w:szCs w:val="32"/>
    </w:rPr>
  </w:style>
  <w:style w:type="paragraph" w:styleId="Heading2">
    <w:name w:val="Heading 2"/>
    <w:basedOn w:val="Normal"/>
    <w:next w:val="Normal"/>
    <w:qFormat/>
    <w:pPr>
      <w:spacing w:after="120" w:before="240"/>
    </w:pPr>
    <w:rPr>
      <w:b/>
      <w:bCs/>
      <w:color w:val="2E5395"/>
      <w:sz w:val="26"/>
      <w:szCs w:val="26"/>
    </w:rPr>
  </w:style>
  <w:style w:type="paragraph" w:styleId="Heading3">
    <w:name w:val="Heading 3"/>
    <w:basedOn w:val="Normal"/>
    <w:next w:val="Normal"/>
    <w:qFormat/>
    <w:pPr>
      <w:spacing w:after="100" w:before="180"/>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Finance Management Platform</dc:title>
  <dc:creator>Finance Management Platform — Engineering</dc:creator>
  <cp:lastModifiedBy>Un-named</cp:lastModifiedBy>
  <cp:revision>1</cp:revision>
  <dcterms:created xsi:type="dcterms:W3CDTF">2026-08-08T19:26:02.875Z</dcterms:created>
  <dcterms:modified xsi:type="dcterms:W3CDTF">2026-08-08T19:26:02.886Z</dcterms:modified>
</cp:coreProperties>
</file>

<file path=docProps/custom.xml><?xml version="1.0" encoding="utf-8"?>
<Properties xmlns="http://schemas.openxmlformats.org/officeDocument/2006/custom-properties" xmlns:vt="http://schemas.openxmlformats.org/officeDocument/2006/docPropsVTypes"/>
</file>