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pPr>
      <w:r>
        <w:t>SEAL | Integrated engineering specification</w:t>
      </w:r>
    </w:p>
    <w:p>
      <w:pPr>
        <w:pStyle w:val="Subtitle"/>
      </w:pPr>
      <w:r>
        <w:t>Version 1.5 — incorporated engineering specification</w:t>
      </w:r>
    </w:p>
    <w:p>
      <w:r>
        <w:t>Owner: Freston Kenny Adedeme</w:t>
      </w:r>
    </w:p>
    <w:p>
      <w:r>
        <w:t>Updated: 7 September 2026; source proposal prepared 5 September 2026</w:t>
      </w:r>
    </w:p>
    <w:p>
      <w:r>
        <w:t>Status: incorporated into Seal Integrated Baseline v1.5 by owner direction; controlled Phase 0 preparation only. Formal institutional and operational approvals remain pending.</w:t>
      </w:r>
    </w:p>
    <w:p>
      <w:r>
        <w:t>Controlling document: Seal Integrated Concept and Implementation Baseline v1.5, 7 September 2026, incorporating adopted v1.3 and U01–U14. This specification supplies engineering detail; the baseline controls scope and gates. Historical v1.3 section references retain their numbering. The synchronized Stage Implementation Plan v1.1 assigns the work. No new institutional signature is asserted.</w:t>
      </w:r>
    </w:p>
    <w:p>
      <w:pPr/>
      <w:r>
        <w:t>Integration note: U01–U14 are now incorporated into baseline Appendix D and linked to Appendix E work packages. Preserve proposed-versus-confirmed status. Controlled owned-lab integration runs may generate L/G3 evidence after foundation readiness and specific authorization; full H/G4 acceptance evidence is required later, not before those integration runs. High-risk closure receipt semantics and pending authorization anchors follow baseline §9.1.</w:t>
      </w:r>
    </w:p>
    <w:p>
      <w:pPr>
        <w:pStyle w:val="Heading2"/>
        <w:keepNext/>
      </w:pPr>
      <w:r>
        <w:t>Decision and purpose</w:t>
      </w:r>
    </w:p>
    <w:p>
      <w:r>
        <w:t>Build Seal around verified reduction of unresolved exposure. Keep its promise: “Find the crack. Close the weakness. Prove it is sealed.” The upgrade makes that promise implementable through exact authorization, evidence, remediation and closure contracts. Adding more scanner classes would not, by itself, accomplish the purpose.</w:t>
      </w:r>
    </w:p>
    <w:p>
      <w:r>
        <w:t>Version 1.3 already establishes a sound defensive scope, governance model and acceptance targets. Its remaining engineering challenge is to define what each component must prove before another component trusts it. This proposal supplies those contracts and an offline executable model for selected decisions.</w:t>
      </w:r>
    </w:p>
    <w:p>
      <w:pPr>
        <w:pStyle w:val="Heading2"/>
        <w:keepNext/>
      </w:pPr>
      <w:r>
        <w:t>Source delivery and current revision</w:t>
      </w:r>
    </w:p>
    <w:p>
      <w:r>
        <w:t>The v1.4 source delivery described a security gap analysis, fourteen traceable upgrade requirements, architecture and trust boundaries, closure and priority rules, delivery work packages, gate evidence, and a separate runnable synthetic validation package. This revision incorporates the document requirements; it does not reissue or revalidate that software package. The package checks scope decisions, finding identities, prioritization, closure and a local audit-chain model.</w:t>
      </w:r>
    </w:p>
    <w:p>
      <w:r>
        <w:t>This is not a deployed security system. It has no live scanner, service API, database, user login or target-changing capability. Completing those components requires the formal Phase 0 exit and subsequent engineering gates already required by v1.3. No existing Seal source repository was established from the recovered project material, so this delivery makes no claim to patch existing code.</w:t>
      </w:r>
    </w:p>
    <w:p>
      <w:pPr>
        <w:pStyle w:val="Heading2"/>
        <w:keepNext/>
      </w:pPr>
      <w:r>
        <w:t>Reading order</w:t>
      </w:r>
    </w:p>
    <w:p>
      <w:r>
        <w:t>Sections 1–2 explain the gaps and requirements. Sections 3–8 specify the controls. Sections 9–10 describe the user workflow and release evidence. Sections 11–12 record delivery steps, open decisions, validation and sources.</w:t>
      </w:r>
    </w:p>
    <w:p>
      <w:pPr>
        <w:pStyle w:val="Heading1"/>
        <w:keepNext/>
      </w:pPr>
      <w:r>
        <w:t>1. Analysis against the approved motive</w:t>
      </w:r>
    </w:p>
    <w:p>
      <w:pPr>
        <w:pStyle w:val="Heading2"/>
        <w:keepNext/>
      </w:pPr>
      <w:r>
        <w:t>Strong foundation to preserve</w:t>
      </w:r>
    </w:p>
    <w:p>
      <w:r>
        <w:t>The approved design connects discovery with accountable ownership, remediation and independent verification. Sections 4, 6, 9–13 and Appendix B already require limited scanner coverage, authorization, organization isolation, signed external audit anchors, privacy review and incident handling. The upgrade preserves all 24 review closures as baseline requirements; it does not assert that those design closures are implemented controls.</w:t>
      </w:r>
    </w:p>
    <w:p>
      <w:pPr>
        <w:pStyle w:val="Heading2"/>
        <w:keepNext/>
      </w:pPr>
      <w:r>
        <w:t>Engineering gaps and consequences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3500"/>
        <w:gridCol w:w="4200"/>
        <w:gridCol w:w="1660"/>
      </w:tblGrid>
      <w:tr>
        <w:trPr>
          <w:cantSplit/>
          <w:tblHeader/>
          <w:tblHeader w:val="true"/>
        </w:trPr>
        <w:tc>
          <w:tcPr>
            <w:tcW w:type="dxa" w:w="3500"/>
            <w:shd w:fill="E8EEF5"/>
          </w:tcPr>
          <w:p>
            <w:pPr>
              <w:spacing w:before="0" w:after="60" w:line="252" w:lineRule="auto"/>
            </w:pPr>
            <w:r>
              <w:rPr>
                <w:b/>
                <w:sz w:val="19"/>
              </w:rPr>
              <w:t>Gap requiring a precise contract</w:t>
            </w:r>
          </w:p>
        </w:tc>
        <w:tc>
          <w:tcPr>
            <w:tcW w:type="dxa" w:w="4200"/>
            <w:shd w:fill="E8EEF5"/>
          </w:tcPr>
          <w:p>
            <w:pPr>
              <w:spacing w:before="0" w:after="60" w:line="252" w:lineRule="auto"/>
            </w:pPr>
            <w:r>
              <w:rPr>
                <w:b/>
                <w:sz w:val="19"/>
              </w:rPr>
              <w:t>Consequence if left ambiguous</w:t>
            </w:r>
          </w:p>
        </w:tc>
        <w:tc>
          <w:tcPr>
            <w:tcW w:type="dxa" w:w="1660"/>
            <w:shd w:fill="E8EEF5"/>
          </w:tcPr>
          <w:p>
            <w:pPr>
              <w:spacing w:before="0" w:after="60" w:line="252" w:lineRule="auto"/>
            </w:pPr>
            <w:r>
              <w:rPr>
                <w:b/>
                <w:sz w:val="19"/>
              </w:rPr>
              <w:t>Upgrade</w:t>
            </w:r>
          </w:p>
        </w:tc>
      </w:tr>
      <w:tr>
        <w:trPr>
          <w:cantSplit/>
        </w:trPr>
        <w:tc>
          <w:tcPr>
            <w:tcW w:type="dxa" w:w="3500"/>
          </w:tcPr>
          <w:p>
            <w:pPr>
              <w:spacing w:before="0" w:after="60" w:line="252" w:lineRule="auto"/>
            </w:pPr>
            <w:r>
              <w:rPr>
                <w:sz w:val="19"/>
              </w:rPr>
              <w:t>Permission changes after a job is queued</w:t>
            </w:r>
          </w:p>
        </w:tc>
        <w:tc>
          <w:tcPr>
            <w:tcW w:type="dxa" w:w="4200"/>
          </w:tcPr>
          <w:p>
            <w:pPr>
              <w:spacing w:before="0" w:after="60" w:line="252" w:lineRule="auto"/>
            </w:pPr>
            <w:r>
              <w:rPr>
                <w:sz w:val="19"/>
              </w:rPr>
              <w:t>A revoked job can still send traffic</w:t>
            </w:r>
          </w:p>
        </w:tc>
        <w:tc>
          <w:tcPr>
            <w:tcW w:type="dxa" w:w="1660"/>
          </w:tcPr>
          <w:p>
            <w:pPr>
              <w:spacing w:before="0" w:after="60" w:line="252" w:lineRule="auto"/>
            </w:pPr>
            <w:r>
              <w:rPr>
                <w:sz w:val="19"/>
              </w:rPr>
              <w:t>U01–U02</w:t>
            </w:r>
          </w:p>
        </w:tc>
      </w:tr>
      <w:tr>
        <w:trPr>
          <w:cantSplit/>
        </w:trPr>
        <w:tc>
          <w:tcPr>
            <w:tcW w:type="dxa" w:w="3500"/>
          </w:tcPr>
          <w:p>
            <w:pPr>
              <w:spacing w:before="0" w:after="60" w:line="252" w:lineRule="auto"/>
            </w:pPr>
            <w:r>
              <w:rPr>
                <w:sz w:val="19"/>
              </w:rPr>
              <w:t>A scanner exits without completing coverage</w:t>
            </w:r>
          </w:p>
        </w:tc>
        <w:tc>
          <w:tcPr>
            <w:tcW w:type="dxa" w:w="4200"/>
          </w:tcPr>
          <w:p>
            <w:pPr>
              <w:spacing w:before="0" w:after="60" w:line="252" w:lineRule="auto"/>
            </w:pPr>
            <w:r>
              <w:rPr>
                <w:sz w:val="19"/>
              </w:rPr>
              <w:t>Missing alerts can be mistaken for a fix</w:t>
            </w:r>
          </w:p>
        </w:tc>
        <w:tc>
          <w:tcPr>
            <w:tcW w:type="dxa" w:w="1660"/>
          </w:tcPr>
          <w:p>
            <w:pPr>
              <w:spacing w:before="0" w:after="60" w:line="252" w:lineRule="auto"/>
            </w:pPr>
            <w:r>
              <w:rPr>
                <w:sz w:val="19"/>
              </w:rPr>
              <w:t>U03–U04</w:t>
            </w:r>
          </w:p>
        </w:tc>
      </w:tr>
      <w:tr>
        <w:trPr>
          <w:cantSplit/>
        </w:trPr>
        <w:tc>
          <w:tcPr>
            <w:tcW w:type="dxa" w:w="3500"/>
          </w:tcPr>
          <w:p>
            <w:pPr>
              <w:spacing w:before="0" w:after="60" w:line="252" w:lineRule="auto"/>
            </w:pPr>
            <w:r>
              <w:rPr>
                <w:sz w:val="19"/>
              </w:rPr>
              <w:t>Risk acceptance shares a “closed” label</w:t>
            </w:r>
          </w:p>
        </w:tc>
        <w:tc>
          <w:tcPr>
            <w:tcW w:type="dxa" w:w="4200"/>
          </w:tcPr>
          <w:p>
            <w:pPr>
              <w:spacing w:before="0" w:after="60" w:line="252" w:lineRule="auto"/>
            </w:pPr>
            <w:r>
              <w:rPr>
                <w:sz w:val="19"/>
              </w:rPr>
              <w:t>Unfixed exposure disappears from reporting</w:t>
            </w:r>
          </w:p>
        </w:tc>
        <w:tc>
          <w:tcPr>
            <w:tcW w:type="dxa" w:w="1660"/>
          </w:tcPr>
          <w:p>
            <w:pPr>
              <w:spacing w:before="0" w:after="60" w:line="252" w:lineRule="auto"/>
            </w:pPr>
            <w:r>
              <w:rPr>
                <w:sz w:val="19"/>
              </w:rPr>
              <w:t>U05–U06</w:t>
            </w:r>
          </w:p>
        </w:tc>
      </w:tr>
      <w:tr>
        <w:trPr>
          <w:cantSplit/>
        </w:trPr>
        <w:tc>
          <w:tcPr>
            <w:tcW w:type="dxa" w:w="3500"/>
          </w:tcPr>
          <w:p>
            <w:pPr>
              <w:spacing w:before="0" w:after="60" w:line="252" w:lineRule="auto"/>
            </w:pPr>
            <w:r>
              <w:rPr>
                <w:sz w:val="19"/>
              </w:rPr>
              <w:t>Evidence or anchors become unavailable</w:t>
            </w:r>
          </w:p>
        </w:tc>
        <w:tc>
          <w:tcPr>
            <w:tcW w:type="dxa" w:w="4200"/>
          </w:tcPr>
          <w:p>
            <w:pPr>
              <w:spacing w:before="0" w:after="60" w:line="252" w:lineRule="auto"/>
            </w:pPr>
            <w:r>
              <w:rPr>
                <w:sz w:val="19"/>
              </w:rPr>
              <w:t>High-risk closure can lack trustworthy proof</w:t>
            </w:r>
          </w:p>
        </w:tc>
        <w:tc>
          <w:tcPr>
            <w:tcW w:type="dxa" w:w="1660"/>
          </w:tcPr>
          <w:p>
            <w:pPr>
              <w:spacing w:before="0" w:after="60" w:line="252" w:lineRule="auto"/>
            </w:pPr>
            <w:r>
              <w:rPr>
                <w:sz w:val="19"/>
              </w:rPr>
              <w:t>U07–U08</w:t>
            </w:r>
          </w:p>
        </w:tc>
      </w:tr>
      <w:tr>
        <w:trPr>
          <w:cantSplit/>
        </w:trPr>
        <w:tc>
          <w:tcPr>
            <w:tcW w:type="dxa" w:w="3500"/>
          </w:tcPr>
          <w:p>
            <w:pPr>
              <w:spacing w:before="0" w:after="60" w:line="252" w:lineRule="auto"/>
            </w:pPr>
            <w:r>
              <w:rPr>
                <w:sz w:val="19"/>
              </w:rPr>
              <w:t>Identity or tenant context is supplied by callers</w:t>
            </w:r>
          </w:p>
        </w:tc>
        <w:tc>
          <w:tcPr>
            <w:tcW w:type="dxa" w:w="4200"/>
          </w:tcPr>
          <w:p>
            <w:pPr>
              <w:spacing w:before="0" w:after="60" w:line="252" w:lineRule="auto"/>
            </w:pPr>
            <w:r>
              <w:rPr>
                <w:sz w:val="19"/>
              </w:rPr>
              <w:t>Cross-organization or approval bypass</w:t>
            </w:r>
          </w:p>
        </w:tc>
        <w:tc>
          <w:tcPr>
            <w:tcW w:type="dxa" w:w="1660"/>
          </w:tcPr>
          <w:p>
            <w:pPr>
              <w:spacing w:before="0" w:after="60" w:line="252" w:lineRule="auto"/>
            </w:pPr>
            <w:r>
              <w:rPr>
                <w:sz w:val="19"/>
              </w:rPr>
              <w:t>U09</w:t>
            </w:r>
          </w:p>
        </w:tc>
      </w:tr>
      <w:tr>
        <w:trPr>
          <w:cantSplit/>
        </w:trPr>
        <w:tc>
          <w:tcPr>
            <w:tcW w:type="dxa" w:w="3500"/>
          </w:tcPr>
          <w:p>
            <w:pPr>
              <w:spacing w:before="0" w:after="60" w:line="252" w:lineRule="auto"/>
            </w:pPr>
            <w:r>
              <w:rPr>
                <w:sz w:val="19"/>
              </w:rPr>
              <w:t>Tool, rule or advisory data changes</w:t>
            </w:r>
          </w:p>
        </w:tc>
        <w:tc>
          <w:tcPr>
            <w:tcW w:type="dxa" w:w="4200"/>
          </w:tcPr>
          <w:p>
            <w:pPr>
              <w:spacing w:before="0" w:after="60" w:line="252" w:lineRule="auto"/>
            </w:pPr>
            <w:r>
              <w:rPr>
                <w:sz w:val="19"/>
              </w:rPr>
              <w:t>Results become difficult to reproduce</w:t>
            </w:r>
          </w:p>
        </w:tc>
        <w:tc>
          <w:tcPr>
            <w:tcW w:type="dxa" w:w="1660"/>
          </w:tcPr>
          <w:p>
            <w:pPr>
              <w:spacing w:before="0" w:after="60" w:line="252" w:lineRule="auto"/>
            </w:pPr>
            <w:r>
              <w:rPr>
                <w:sz w:val="19"/>
              </w:rPr>
              <w:t>U10</w:t>
            </w:r>
          </w:p>
        </w:tc>
      </w:tr>
      <w:tr>
        <w:trPr>
          <w:cantSplit/>
        </w:trPr>
        <w:tc>
          <w:tcPr>
            <w:tcW w:type="dxa" w:w="3500"/>
          </w:tcPr>
          <w:p>
            <w:pPr>
              <w:spacing w:before="0" w:after="60" w:line="252" w:lineRule="auto"/>
            </w:pPr>
            <w:r>
              <w:rPr>
                <w:sz w:val="19"/>
              </w:rPr>
              <w:t>Incident, retry or outage handling is underspecified</w:t>
            </w:r>
          </w:p>
        </w:tc>
        <w:tc>
          <w:tcPr>
            <w:tcW w:type="dxa" w:w="4200"/>
          </w:tcPr>
          <w:p>
            <w:pPr>
              <w:spacing w:before="0" w:after="60" w:line="252" w:lineRule="auto"/>
            </w:pPr>
            <w:r>
              <w:rPr>
                <w:sz w:val="19"/>
              </w:rPr>
              <w:t>Scans restart unsafely or evidence is lost</w:t>
            </w:r>
          </w:p>
        </w:tc>
        <w:tc>
          <w:tcPr>
            <w:tcW w:type="dxa" w:w="1660"/>
          </w:tcPr>
          <w:p>
            <w:pPr>
              <w:spacing w:before="0" w:after="60" w:line="252" w:lineRule="auto"/>
            </w:pPr>
            <w:r>
              <w:rPr>
                <w:sz w:val="19"/>
              </w:rPr>
              <w:t>U11–U12</w:t>
            </w:r>
          </w:p>
        </w:tc>
      </w:tr>
      <w:tr>
        <w:trPr>
          <w:cantSplit/>
        </w:trPr>
        <w:tc>
          <w:tcPr>
            <w:tcW w:type="dxa" w:w="3500"/>
          </w:tcPr>
          <w:p>
            <w:pPr>
              <w:spacing w:before="0" w:after="60" w:line="252" w:lineRule="auto"/>
            </w:pPr>
            <w:r>
              <w:rPr>
                <w:sz w:val="19"/>
              </w:rPr>
              <w:t>Dashboard totals omit coverage and age</w:t>
            </w:r>
          </w:p>
        </w:tc>
        <w:tc>
          <w:tcPr>
            <w:tcW w:type="dxa" w:w="4200"/>
          </w:tcPr>
          <w:p>
            <w:pPr>
              <w:spacing w:before="0" w:after="60" w:line="252" w:lineRule="auto"/>
            </w:pPr>
            <w:r>
              <w:rPr>
                <w:sz w:val="19"/>
              </w:rPr>
              <w:t>A green screen can overstate protection</w:t>
            </w:r>
          </w:p>
        </w:tc>
        <w:tc>
          <w:tcPr>
            <w:tcW w:type="dxa" w:w="1660"/>
          </w:tcPr>
          <w:p>
            <w:pPr>
              <w:spacing w:before="0" w:after="60" w:line="252" w:lineRule="auto"/>
            </w:pPr>
            <w:r>
              <w:rPr>
                <w:sz w:val="19"/>
              </w:rPr>
              <w:t>U13–U14</w:t>
            </w:r>
          </w:p>
        </w:tc>
      </w:tr>
    </w:tbl>
    <w:p>
      <w:pPr>
        <w:pStyle w:val="Heading2"/>
        <w:keepNext/>
      </w:pPr>
      <w:r>
        <w:t>What Seal can reasonably accomplish</w:t>
      </w:r>
    </w:p>
    <w:p>
      <w:r>
        <w:t>Within the narrowed MVP, Seal can establish which approved checks ran, retain their evidence, identify and assign supported weaknesses, and show whether a verified fix survived a controlled rescan. It cannot prove the absence of all vulnerabilities. “No findings” must always appear beside assessed scope, skipped checks, scan health, revision and observation date.</w:t>
      </w:r>
    </w:p>
    <w:p>
      <w:r>
        <w:t>The product should describe itself as an authorized vulnerability assessment and closure system. Continuous endpoint protection, attack blocking, network monitoring and autonomous repair remain outside the approved MVP. They require separate requirements, threat modelling, capacity and change approval before admission.</w:t>
      </w:r>
    </w:p>
    <w:p>
      <w:pPr>
        <w:pStyle w:val="Heading1"/>
        <w:keepNext/>
      </w:pPr>
      <w:r>
        <w:t>2. Upgrade requirements and traceability</w:t>
      </w:r>
    </w:p>
    <w:p>
      <w:r>
        <w:t>U01–U14 are incorporated requirements for the v1.5 implementation design. Numerical policy candidates and the second-adapter choice still require D04/D06/D10 approval before activation. The adoption does not evidence implementation. Reference section numbers inherited from v1.3 remain in v1.5.</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1650"/>
        <w:gridCol w:w="4200"/>
        <w:gridCol w:w="3510"/>
      </w:tblGrid>
      <w:tr>
        <w:trPr>
          <w:cantSplit/>
          <w:tblHeader/>
          <w:tblHeader w:val="true"/>
        </w:trPr>
        <w:tc>
          <w:tcPr>
            <w:tcW w:type="dxa" w:w="1650"/>
            <w:shd w:fill="E8EEF5"/>
          </w:tcPr>
          <w:p>
            <w:pPr>
              <w:spacing w:before="0" w:after="60" w:line="252" w:lineRule="auto"/>
            </w:pPr>
            <w:r>
              <w:rPr>
                <w:b/>
                <w:sz w:val="19"/>
              </w:rPr>
              <w:t>ID / baseline</w:t>
            </w:r>
          </w:p>
        </w:tc>
        <w:tc>
          <w:tcPr>
            <w:tcW w:type="dxa" w:w="4200"/>
            <w:shd w:fill="E8EEF5"/>
          </w:tcPr>
          <w:p>
            <w:pPr>
              <w:spacing w:before="0" w:after="60" w:line="252" w:lineRule="auto"/>
            </w:pPr>
            <w:r>
              <w:rPr>
                <w:b/>
                <w:sz w:val="19"/>
              </w:rPr>
              <w:t>Required upgrade outcome</w:t>
            </w:r>
          </w:p>
        </w:tc>
        <w:tc>
          <w:tcPr>
            <w:tcW w:type="dxa" w:w="3510"/>
            <w:shd w:fill="E8EEF5"/>
          </w:tcPr>
          <w:p>
            <w:pPr>
              <w:spacing w:before="0" w:after="60" w:line="252" w:lineRule="auto"/>
            </w:pPr>
            <w:r>
              <w:rPr>
                <w:b/>
                <w:sz w:val="19"/>
              </w:rPr>
              <w:t>Acceptance evidence</w:t>
            </w:r>
          </w:p>
        </w:tc>
      </w:tr>
      <w:tr>
        <w:trPr>
          <w:cantSplit/>
        </w:trPr>
        <w:tc>
          <w:tcPr>
            <w:tcW w:type="dxa" w:w="1650"/>
          </w:tcPr>
          <w:p>
            <w:pPr>
              <w:spacing w:before="0" w:after="60" w:line="252" w:lineRule="auto"/>
            </w:pPr>
            <w:r>
              <w:rPr>
                <w:sz w:val="19"/>
              </w:rPr>
              <w:t>U01 / 6.1, 11</w:t>
            </w:r>
          </w:p>
        </w:tc>
        <w:tc>
          <w:tcPr>
            <w:tcW w:type="dxa" w:w="4200"/>
          </w:tcPr>
          <w:p>
            <w:pPr>
              <w:spacing w:before="0" w:after="60" w:line="252" w:lineRule="auto"/>
            </w:pPr>
            <w:r>
              <w:rPr>
                <w:sz w:val="19"/>
              </w:rPr>
              <w:t>Revalidate scope and revocation at execution and every request</w:t>
            </w:r>
          </w:p>
        </w:tc>
        <w:tc>
          <w:tcPr>
            <w:tcW w:type="dxa" w:w="3510"/>
          </w:tcPr>
          <w:p>
            <w:pPr>
              <w:spacing w:before="0" w:after="60" w:line="252" w:lineRule="auto"/>
            </w:pPr>
            <w:r>
              <w:rPr>
                <w:sz w:val="19"/>
              </w:rPr>
              <w:t>Revoked and stale jobs denied</w:t>
            </w:r>
          </w:p>
        </w:tc>
      </w:tr>
      <w:tr>
        <w:trPr>
          <w:cantSplit/>
        </w:trPr>
        <w:tc>
          <w:tcPr>
            <w:tcW w:type="dxa" w:w="1650"/>
          </w:tcPr>
          <w:p>
            <w:pPr>
              <w:spacing w:before="0" w:after="60" w:line="252" w:lineRule="auto"/>
            </w:pPr>
            <w:r>
              <w:rPr>
                <w:sz w:val="19"/>
              </w:rPr>
              <w:t>U02 / 4.4, 11</w:t>
            </w:r>
          </w:p>
        </w:tc>
        <w:tc>
          <w:tcPr>
            <w:tcW w:type="dxa" w:w="4200"/>
          </w:tcPr>
          <w:p>
            <w:pPr>
              <w:spacing w:before="0" w:after="60" w:line="252" w:lineRule="auto"/>
            </w:pPr>
            <w:r>
              <w:rPr>
                <w:sz w:val="19"/>
              </w:rPr>
              <w:t>Enforce destinations and limits outside the scanner</w:t>
            </w:r>
          </w:p>
        </w:tc>
        <w:tc>
          <w:tcPr>
            <w:tcW w:type="dxa" w:w="3510"/>
          </w:tcPr>
          <w:p>
            <w:pPr>
              <w:spacing w:before="0" w:after="60" w:line="252" w:lineRule="auto"/>
            </w:pPr>
            <w:r>
              <w:rPr>
                <w:sz w:val="19"/>
              </w:rPr>
              <w:t>DNS, redirect and stop tests</w:t>
            </w:r>
          </w:p>
        </w:tc>
      </w:tr>
      <w:tr>
        <w:trPr>
          <w:cantSplit/>
        </w:trPr>
        <w:tc>
          <w:tcPr>
            <w:tcW w:type="dxa" w:w="1650"/>
          </w:tcPr>
          <w:p>
            <w:pPr>
              <w:spacing w:before="0" w:after="60" w:line="252" w:lineRule="auto"/>
            </w:pPr>
            <w:r>
              <w:rPr>
                <w:sz w:val="19"/>
              </w:rPr>
              <w:t>U03 / 6.3–6.4, 16</w:t>
            </w:r>
          </w:p>
        </w:tc>
        <w:tc>
          <w:tcPr>
            <w:tcW w:type="dxa" w:w="4200"/>
          </w:tcPr>
          <w:p>
            <w:pPr>
              <w:spacing w:before="0" w:after="60" w:line="252" w:lineRule="auto"/>
            </w:pPr>
            <w:r>
              <w:rPr>
                <w:sz w:val="19"/>
              </w:rPr>
              <w:t>Record successful, skipped, failed and unsupported checks</w:t>
            </w:r>
          </w:p>
        </w:tc>
        <w:tc>
          <w:tcPr>
            <w:tcW w:type="dxa" w:w="3510"/>
          </w:tcPr>
          <w:p>
            <w:pPr>
              <w:spacing w:before="0" w:after="60" w:line="252" w:lineRule="auto"/>
            </w:pPr>
            <w:r>
              <w:rPr>
                <w:sz w:val="19"/>
              </w:rPr>
              <w:t>Partial scan cannot appear clean</w:t>
            </w:r>
          </w:p>
        </w:tc>
      </w:tr>
      <w:tr>
        <w:trPr>
          <w:cantSplit/>
        </w:trPr>
        <w:tc>
          <w:tcPr>
            <w:tcW w:type="dxa" w:w="1650"/>
          </w:tcPr>
          <w:p>
            <w:pPr>
              <w:spacing w:before="0" w:after="60" w:line="252" w:lineRule="auto"/>
            </w:pPr>
            <w:r>
              <w:rPr>
                <w:sz w:val="19"/>
              </w:rPr>
              <w:t>U04 / 6.8, App. B</w:t>
            </w:r>
          </w:p>
        </w:tc>
        <w:tc>
          <w:tcPr>
            <w:tcW w:type="dxa" w:w="4200"/>
          </w:tcPr>
          <w:p>
            <w:pPr>
              <w:spacing w:before="0" w:after="60" w:line="252" w:lineRule="auto"/>
            </w:pPr>
            <w:r>
              <w:rPr>
                <w:sz w:val="19"/>
              </w:rPr>
              <w:t>Bind closure to the repaired revision and independent proof</w:t>
            </w:r>
          </w:p>
        </w:tc>
        <w:tc>
          <w:tcPr>
            <w:tcW w:type="dxa" w:w="3510"/>
          </w:tcPr>
          <w:p>
            <w:pPr>
              <w:spacing w:before="0" w:after="60" w:line="252" w:lineRule="auto"/>
            </w:pPr>
            <w:r>
              <w:rPr>
                <w:sz w:val="19"/>
              </w:rPr>
              <w:t>Wrong-build and incomplete rescan denial</w:t>
            </w:r>
          </w:p>
        </w:tc>
      </w:tr>
      <w:tr>
        <w:trPr>
          <w:cantSplit/>
        </w:trPr>
        <w:tc>
          <w:tcPr>
            <w:tcW w:type="dxa" w:w="1650"/>
          </w:tcPr>
          <w:p>
            <w:pPr>
              <w:spacing w:before="0" w:after="60" w:line="252" w:lineRule="auto"/>
            </w:pPr>
            <w:r>
              <w:rPr>
                <w:sz w:val="19"/>
              </w:rPr>
              <w:t>U05 / 6.10</w:t>
            </w:r>
          </w:p>
        </w:tc>
        <w:tc>
          <w:tcPr>
            <w:tcW w:type="dxa" w:w="4200"/>
          </w:tcPr>
          <w:p>
            <w:pPr>
              <w:spacing w:before="0" w:after="60" w:line="252" w:lineRule="auto"/>
            </w:pPr>
            <w:r>
              <w:rPr>
                <w:sz w:val="19"/>
              </w:rPr>
              <w:t>Separate lifecycle state from recurrence and exceptions</w:t>
            </w:r>
          </w:p>
        </w:tc>
        <w:tc>
          <w:tcPr>
            <w:tcW w:type="dxa" w:w="3510"/>
          </w:tcPr>
          <w:p>
            <w:pPr>
              <w:spacing w:before="0" w:after="60" w:line="252" w:lineRule="auto"/>
            </w:pPr>
            <w:r>
              <w:rPr>
                <w:sz w:val="19"/>
              </w:rPr>
              <w:t>Reopen and expiry scenarios</w:t>
            </w:r>
          </w:p>
        </w:tc>
      </w:tr>
      <w:tr>
        <w:trPr>
          <w:cantSplit/>
        </w:trPr>
        <w:tc>
          <w:tcPr>
            <w:tcW w:type="dxa" w:w="1650"/>
          </w:tcPr>
          <w:p>
            <w:pPr>
              <w:spacing w:before="0" w:after="60" w:line="252" w:lineRule="auto"/>
            </w:pPr>
            <w:r>
              <w:rPr>
                <w:sz w:val="19"/>
              </w:rPr>
              <w:t>U06 / 10</w:t>
            </w:r>
          </w:p>
        </w:tc>
        <w:tc>
          <w:tcPr>
            <w:tcW w:type="dxa" w:w="4200"/>
          </w:tcPr>
          <w:p>
            <w:pPr>
              <w:spacing w:before="0" w:after="60" w:line="252" w:lineRule="auto"/>
            </w:pPr>
            <w:r>
              <w:rPr>
                <w:sz w:val="19"/>
              </w:rPr>
              <w:t>Version an explainable priority tree and expiry rules</w:t>
            </w:r>
          </w:p>
        </w:tc>
        <w:tc>
          <w:tcPr>
            <w:tcW w:type="dxa" w:w="3510"/>
          </w:tcPr>
          <w:p>
            <w:pPr>
              <w:spacing w:before="0" w:after="60" w:line="252" w:lineRule="auto"/>
            </w:pPr>
            <w:r>
              <w:rPr>
                <w:sz w:val="19"/>
              </w:rPr>
              <w:t>Context, stale-signal and override tests</w:t>
            </w:r>
          </w:p>
        </w:tc>
      </w:tr>
      <w:tr>
        <w:trPr>
          <w:cantSplit/>
        </w:trPr>
        <w:tc>
          <w:tcPr>
            <w:tcW w:type="dxa" w:w="1650"/>
          </w:tcPr>
          <w:p>
            <w:pPr>
              <w:spacing w:before="0" w:after="60" w:line="252" w:lineRule="auto"/>
            </w:pPr>
            <w:r>
              <w:rPr>
                <w:sz w:val="19"/>
              </w:rPr>
              <w:t>U07 / 9.1</w:t>
            </w:r>
          </w:p>
        </w:tc>
        <w:tc>
          <w:tcPr>
            <w:tcW w:type="dxa" w:w="4200"/>
          </w:tcPr>
          <w:p>
            <w:pPr>
              <w:spacing w:before="0" w:after="60" w:line="252" w:lineRule="auto"/>
            </w:pPr>
            <w:r>
              <w:rPr>
                <w:sz w:val="19"/>
              </w:rPr>
              <w:t>Reconcile external anchors and gate high-risk closure</w:t>
            </w:r>
          </w:p>
        </w:tc>
        <w:tc>
          <w:tcPr>
            <w:tcW w:type="dxa" w:w="3510"/>
          </w:tcPr>
          <w:p>
            <w:pPr>
              <w:spacing w:before="0" w:after="60" w:line="252" w:lineRule="auto"/>
            </w:pPr>
            <w:r>
              <w:rPr>
                <w:sz w:val="19"/>
              </w:rPr>
              <w:t>Sink outage and tamper exercises</w:t>
            </w:r>
          </w:p>
        </w:tc>
      </w:tr>
      <w:tr>
        <w:trPr>
          <w:cantSplit/>
        </w:trPr>
        <w:tc>
          <w:tcPr>
            <w:tcW w:type="dxa" w:w="1650"/>
          </w:tcPr>
          <w:p>
            <w:pPr>
              <w:spacing w:before="0" w:after="60" w:line="252" w:lineRule="auto"/>
            </w:pPr>
            <w:r>
              <w:rPr>
                <w:sz w:val="19"/>
              </w:rPr>
              <w:t>U08 / 11.1</w:t>
            </w:r>
          </w:p>
        </w:tc>
        <w:tc>
          <w:tcPr>
            <w:tcW w:type="dxa" w:w="4200"/>
          </w:tcPr>
          <w:p>
            <w:pPr>
              <w:spacing w:before="0" w:after="60" w:line="252" w:lineRule="auto"/>
            </w:pPr>
            <w:r>
              <w:rPr>
                <w:sz w:val="19"/>
              </w:rPr>
              <w:t>Minimize evidence and enforce holds and disposal</w:t>
            </w:r>
          </w:p>
        </w:tc>
        <w:tc>
          <w:tcPr>
            <w:tcW w:type="dxa" w:w="3510"/>
          </w:tcPr>
          <w:p>
            <w:pPr>
              <w:spacing w:before="0" w:after="60" w:line="252" w:lineRule="auto"/>
            </w:pPr>
            <w:r>
              <w:rPr>
                <w:sz w:val="19"/>
              </w:rPr>
              <w:t>Sanitization and deletion tests</w:t>
            </w:r>
          </w:p>
        </w:tc>
      </w:tr>
      <w:tr>
        <w:trPr>
          <w:cantSplit/>
        </w:trPr>
        <w:tc>
          <w:tcPr>
            <w:tcW w:type="dxa" w:w="1650"/>
          </w:tcPr>
          <w:p>
            <w:pPr>
              <w:spacing w:before="0" w:after="60" w:line="252" w:lineRule="auto"/>
            </w:pPr>
            <w:r>
              <w:rPr>
                <w:sz w:val="19"/>
              </w:rPr>
              <w:t>U09 / 5, 9, 11</w:t>
            </w:r>
          </w:p>
        </w:tc>
        <w:tc>
          <w:tcPr>
            <w:tcW w:type="dxa" w:w="4200"/>
          </w:tcPr>
          <w:p>
            <w:pPr>
              <w:spacing w:before="0" w:after="60" w:line="252" w:lineRule="auto"/>
            </w:pPr>
            <w:r>
              <w:rPr>
                <w:sz w:val="19"/>
              </w:rPr>
              <w:t>Derive identity and tenant context from trusted services</w:t>
            </w:r>
          </w:p>
        </w:tc>
        <w:tc>
          <w:tcPr>
            <w:tcW w:type="dxa" w:w="3510"/>
          </w:tcPr>
          <w:p>
            <w:pPr>
              <w:spacing w:before="0" w:after="60" w:line="252" w:lineRule="auto"/>
            </w:pPr>
            <w:r>
              <w:rPr>
                <w:sz w:val="19"/>
              </w:rPr>
              <w:t>API, worker, cache and export isolation</w:t>
            </w:r>
          </w:p>
        </w:tc>
      </w:tr>
      <w:tr>
        <w:trPr>
          <w:cantSplit/>
        </w:trPr>
        <w:tc>
          <w:tcPr>
            <w:tcW w:type="dxa" w:w="1650"/>
          </w:tcPr>
          <w:p>
            <w:pPr>
              <w:spacing w:before="0" w:after="60" w:line="252" w:lineRule="auto"/>
            </w:pPr>
            <w:r>
              <w:rPr>
                <w:sz w:val="19"/>
              </w:rPr>
              <w:t>U10 / 6.4, 11</w:t>
            </w:r>
          </w:p>
        </w:tc>
        <w:tc>
          <w:tcPr>
            <w:tcW w:type="dxa" w:w="4200"/>
          </w:tcPr>
          <w:p>
            <w:pPr>
              <w:spacing w:before="0" w:after="60" w:line="252" w:lineRule="auto"/>
            </w:pPr>
            <w:r>
              <w:rPr>
                <w:sz w:val="19"/>
              </w:rPr>
              <w:t>Pin tools, rules, data and transformation versions</w:t>
            </w:r>
          </w:p>
        </w:tc>
        <w:tc>
          <w:tcPr>
            <w:tcW w:type="dxa" w:w="3510"/>
          </w:tcPr>
          <w:p>
            <w:pPr>
              <w:spacing w:before="0" w:after="60" w:line="252" w:lineRule="auto"/>
            </w:pPr>
            <w:r>
              <w:rPr>
                <w:sz w:val="19"/>
              </w:rPr>
              <w:t>Reproducible fixture manifest</w:t>
            </w:r>
          </w:p>
        </w:tc>
      </w:tr>
      <w:tr>
        <w:trPr>
          <w:cantSplit/>
        </w:trPr>
        <w:tc>
          <w:tcPr>
            <w:tcW w:type="dxa" w:w="1650"/>
          </w:tcPr>
          <w:p>
            <w:pPr>
              <w:spacing w:before="0" w:after="60" w:line="252" w:lineRule="auto"/>
            </w:pPr>
            <w:r>
              <w:rPr>
                <w:sz w:val="19"/>
              </w:rPr>
              <w:t>U11 / 12.3</w:t>
            </w:r>
          </w:p>
        </w:tc>
        <w:tc>
          <w:tcPr>
            <w:tcW w:type="dxa" w:w="4200"/>
          </w:tcPr>
          <w:p>
            <w:pPr>
              <w:spacing w:before="0" w:after="60" w:line="252" w:lineRule="auto"/>
            </w:pPr>
            <w:r>
              <w:rPr>
                <w:sz w:val="19"/>
              </w:rPr>
              <w:t>Persist incident halt, hold and notification decisions</w:t>
            </w:r>
          </w:p>
        </w:tc>
        <w:tc>
          <w:tcPr>
            <w:tcW w:type="dxa" w:w="3510"/>
          </w:tcPr>
          <w:p>
            <w:pPr>
              <w:spacing w:before="0" w:after="60" w:line="252" w:lineRule="auto"/>
            </w:pPr>
            <w:r>
              <w:rPr>
                <w:sz w:val="19"/>
              </w:rPr>
              <w:t>Timed incident tabletop</w:t>
            </w:r>
          </w:p>
        </w:tc>
      </w:tr>
      <w:tr>
        <w:trPr>
          <w:cantSplit/>
        </w:trPr>
        <w:tc>
          <w:tcPr>
            <w:tcW w:type="dxa" w:w="1650"/>
          </w:tcPr>
          <w:p>
            <w:pPr>
              <w:spacing w:before="0" w:after="60" w:line="252" w:lineRule="auto"/>
            </w:pPr>
            <w:r>
              <w:rPr>
                <w:sz w:val="19"/>
              </w:rPr>
              <w:t>U12 / 13, 16</w:t>
            </w:r>
          </w:p>
        </w:tc>
        <w:tc>
          <w:tcPr>
            <w:tcW w:type="dxa" w:w="4200"/>
          </w:tcPr>
          <w:p>
            <w:pPr>
              <w:spacing w:before="0" w:after="60" w:line="252" w:lineRule="auto"/>
            </w:pPr>
            <w:r>
              <w:rPr>
                <w:sz w:val="19"/>
              </w:rPr>
              <w:t>Recover without duplicate or unauthorized execution</w:t>
            </w:r>
          </w:p>
        </w:tc>
        <w:tc>
          <w:tcPr>
            <w:tcW w:type="dxa" w:w="3510"/>
          </w:tcPr>
          <w:p>
            <w:pPr>
              <w:spacing w:before="0" w:after="60" w:line="252" w:lineRule="auto"/>
            </w:pPr>
            <w:r>
              <w:rPr>
                <w:sz w:val="19"/>
              </w:rPr>
              <w:t>Crash, retry and restore evidence</w:t>
            </w:r>
          </w:p>
        </w:tc>
      </w:tr>
      <w:tr>
        <w:trPr>
          <w:cantSplit/>
        </w:trPr>
        <w:tc>
          <w:tcPr>
            <w:tcW w:type="dxa" w:w="1650"/>
          </w:tcPr>
          <w:p>
            <w:pPr>
              <w:spacing w:before="0" w:after="60" w:line="252" w:lineRule="auto"/>
            </w:pPr>
            <w:r>
              <w:rPr>
                <w:sz w:val="19"/>
              </w:rPr>
              <w:t>U13 / 6.9, 17</w:t>
            </w:r>
          </w:p>
        </w:tc>
        <w:tc>
          <w:tcPr>
            <w:tcW w:type="dxa" w:w="4200"/>
          </w:tcPr>
          <w:p>
            <w:pPr>
              <w:spacing w:before="0" w:after="60" w:line="252" w:lineRule="auto"/>
            </w:pPr>
            <w:r>
              <w:rPr>
                <w:sz w:val="19"/>
              </w:rPr>
              <w:t>Show exposure, coverage, aging and reopen rates</w:t>
            </w:r>
          </w:p>
        </w:tc>
        <w:tc>
          <w:tcPr>
            <w:tcW w:type="dxa" w:w="3510"/>
          </w:tcPr>
          <w:p>
            <w:pPr>
              <w:spacing w:before="0" w:after="60" w:line="252" w:lineRule="auto"/>
            </w:pPr>
            <w:r>
              <w:rPr>
                <w:sz w:val="19"/>
              </w:rPr>
              <w:t>Role-based acceptance scenarios</w:t>
            </w:r>
          </w:p>
        </w:tc>
      </w:tr>
      <w:tr>
        <w:trPr>
          <w:cantSplit/>
        </w:trPr>
        <w:tc>
          <w:tcPr>
            <w:tcW w:type="dxa" w:w="1650"/>
          </w:tcPr>
          <w:p>
            <w:pPr>
              <w:spacing w:before="0" w:after="60" w:line="252" w:lineRule="auto"/>
            </w:pPr>
            <w:r>
              <w:rPr>
                <w:sz w:val="19"/>
              </w:rPr>
              <w:t>U14 / 12.4, 15</w:t>
            </w:r>
          </w:p>
        </w:tc>
        <w:tc>
          <w:tcPr>
            <w:tcW w:type="dxa" w:w="4200"/>
          </w:tcPr>
          <w:p>
            <w:pPr>
              <w:spacing w:before="0" w:after="60" w:line="252" w:lineRule="auto"/>
            </w:pPr>
            <w:r>
              <w:rPr>
                <w:sz w:val="19"/>
              </w:rPr>
              <w:t>Bind release claims to evidence and authority</w:t>
            </w:r>
          </w:p>
        </w:tc>
        <w:tc>
          <w:tcPr>
            <w:tcW w:type="dxa" w:w="3510"/>
          </w:tcPr>
          <w:p>
            <w:pPr>
              <w:spacing w:before="0" w:after="60" w:line="252" w:lineRule="auto"/>
            </w:pPr>
            <w:r>
              <w:rPr>
                <w:sz w:val="19"/>
              </w:rPr>
              <w:t>Combined gate pack and decision</w:t>
            </w:r>
          </w:p>
        </w:tc>
      </w:tr>
    </w:tbl>
    <w:p>
      <w:r>
        <w:t>The historical validation package’s traceability CSV identifies which requirements have executable model checks and which still require implementation tests. Passing a model test is not acceptance of the corresponding production control. None of the rows constitutes an approval signature.</w:t>
      </w:r>
    </w:p>
    <w:p>
      <w:pPr>
        <w:pStyle w:val="Heading1"/>
        <w:keepNext/>
      </w:pPr>
      <w:r>
        <w:t>3. Architecture and authorization contracts</w:t>
      </w:r>
    </w:p>
    <w:p>
      <w:pPr>
        <w:pStyle w:val="Heading2"/>
        <w:keepNext/>
      </w:pPr>
      <w:r>
        <w:t>Trusted components</w:t>
      </w:r>
    </w:p>
    <w:p>
      <w:r>
        <w:t>Retain the proposed Python/FastAPI API, PostgreSQL, Redis/Celery orchestration, restricted scanner containers and role-based web dashboard. Use ZAP for web assessment. Propose Trivy dependency analysis as the second adapter because it provides a concrete package-before/package-after closure scenario; the Phase 0 capacity decision must confirm this choice. Semgrep remains the alternative, not an additional committed adapter.</w:t>
      </w:r>
    </w:p>
    <w:p>
      <w:r>
        <w:t>The API authenticates a user and derives organization membership. A policy service evaluates the current authorization and profile. The orchestrator leases a specific job. A separate egress control enforces permitted requests. Workers return untrusted observations to an admission validator; normalization, evidence custody and verification remain in the trusted core. The assurance domain independently stores and checks signed anchors.</w:t>
      </w:r>
    </w:p>
    <w:p>
      <w:pPr>
        <w:pStyle w:val="Heading2"/>
        <w:keepNext/>
      </w:pPr>
      <w:r>
        <w:t>U01: Authorization contract</w:t>
      </w:r>
    </w:p>
    <w:p>
      <w:r>
        <w:t>Store authorization ID, organization, registered target, ownership evidence digest, exact scope and exclusions, allowed methods and profile digest, testing window, requester, separate approver, revision, revocation state and emergency contacts. An amendment creates a new version. Queue entries reference a version; they never silently inherit expanded permissions.</w:t>
      </w:r>
    </w:p>
    <w:p>
      <w:r>
        <w:t>Check authorization before queueing, at dispatch, after a retry or lease renewal, and before each outbound request. Require a valid organization membership and current approval. Deny missing evidence, expired windows, ambiguous target identity, a stale revision, self-approval or an active stop. A scanner’s assertion that it is authorized is insufficient.</w:t>
      </w:r>
    </w:p>
    <w:p>
      <w:r>
        <w:t>Revocation invalidates queued work and active leases. Loss of the policy service or current revocation information fails closed. A short-lived execution grant binds organization, job, target, profile, destination limits and expiry; workers cannot mint or extend it. Grant validation belongs at the egress boundary as well as the worker.</w:t>
      </w:r>
    </w:p>
    <w:p>
      <w:pPr>
        <w:pStyle w:val="Heading2"/>
        <w:keepNext/>
      </w:pPr>
      <w:r>
        <w:t>Gate separation</w:t>
      </w:r>
    </w:p>
    <w:p>
      <w:r>
        <w:t>The offline model uses synthetic approval inputs only. No flags in this package grant institutional authority. The real platform must use controlled approval records and verification evidence. External targets remain unavailable until the separate regulatory, privacy and written-target authorization gates are satisfied; production also requires release readiness.</w:t>
      </w:r>
    </w:p>
    <w:p>
      <w:pPr>
        <w:pStyle w:val="Heading1"/>
        <w:keepNext/>
      </w:pPr>
      <w:r>
        <w:t>4. Scanner safety and honest coverage</w:t>
      </w:r>
    </w:p>
    <w:p>
      <w:pPr>
        <w:pStyle w:val="Heading2"/>
        <w:keepNext/>
      </w:pPr>
      <w:r>
        <w:t>U02: Enforce scope at the network boundary</w:t>
      </w:r>
    </w:p>
    <w:p>
      <w:r>
        <w:t>Treat the target as an exact registered identity, including scheme, host, port and approved paths. Resolve addresses at execution, evaluate all returned IPv4/IPv6 addresses, bind the approved connection destination, and verify it at connection time. Deny control-plane, metadata and other forbidden destinations. An owned private laboratory address requires explicit registration and an isolated route; private addressing alone is never authorization.</w:t>
      </w:r>
    </w:p>
    <w:p>
      <w:r>
        <w:t>Do not follow redirects automatically. A proposed redirect must pass a fresh scope decision or stop. Reject ambiguous URL encodings and unsupported schemes. Preserve host/TLS validation when binding an address. Enforce an allowlisted egress route so a compromised worker cannot bypass application checks. OWASP recommends application and network controls and disabling automatic redirect following for SSRF prevention [R2].</w:t>
      </w:r>
    </w:p>
    <w:p>
      <w:r>
        <w:t>A safe HTTP method alone does not establish safety: even a GET can trigger target-side actions. The reviewed profile must authorize the exact route and behavior. For the first laboratory integration, prefer passive analysis of controlled traffic with bounded request collection. No arbitrary ZAP scripts, active profiles, authentication attempts or user-supplied command arguments are exposed.</w:t>
      </w:r>
    </w:p>
    <w:p>
      <w:r>
        <w:t>Proposed initial limits are one request per second per target, one in-flight request per target, a 1 MiB response cap and a 10-second request timeout. Treat these as reviewable ceilings, not evidence of harmlessness. Retain v1.3’s 60/45/30-minute web/source/dependency maxima and five-second outbound-stop / thirty-second worker-termination targets.</w:t>
      </w:r>
    </w:p>
    <w:p>
      <w:pPr>
        <w:pStyle w:val="Heading2"/>
        <w:keepNext/>
      </w:pPr>
      <w:r>
        <w:t>U03: Coverage contract</w:t>
      </w:r>
    </w:p>
    <w:p>
      <w:r>
        <w:t>Each job produces a versioned, tamper-evident manifest: target revision, profile and scanner/rule/data digests, start/end, authorized scope, checks attempted, checks completed, findings, skips, errors, truncation and health. Results distinguish Complete, Partial, Failed, Stopped and Not assessed. Unsupported checks cannot be represented as passed checks.</w:t>
      </w:r>
    </w:p>
    <w:p>
      <w:r>
        <w:t>ZAP’s passiveScan-wait waits for queued passive work; exitStatus can depend on alerts [R3]. Therefore a process exit value alone cannot distinguish a completed clean assessment from partial coverage. Seal must inspect the manifest and expected-check evidence before trusting the result. No live ZAP integration is included in this delivery.</w:t>
      </w:r>
    </w:p>
    <w:p>
      <w:pPr>
        <w:pStyle w:val="Heading1"/>
        <w:keepNext/>
      </w:pPr>
      <w:r>
        <w:t>5. Find, fix and prove</w:t>
      </w:r>
    </w:p>
    <w:p>
      <w:pPr>
        <w:pStyle w:val="Heading2"/>
        <w:keepNext/>
      </w:pPr>
      <w:r>
        <w:t>U04: Closure is a proof decision</w:t>
      </w:r>
    </w:p>
    <w:p>
      <w:r>
        <w:t>Require the same organization, target, finding identity and tested control; the approved verification profile; successful coverage; a scan after the recorded fix; the repaired artifact revision; valid authorization; sanitized evidence and digest; and a reviewer independent of both assessor and fixer. A changed rule or profile requires an explicitly reviewed equivalence record rather than silent comparison.</w:t>
      </w:r>
    </w:p>
    <w:p>
      <w:r>
        <w:t>A timeout, missing manifest, disabled rule, unreachable page, scanner failure, absent package inventory or incomplete result is inconclusive. Keep the finding Verification pending and explain what evidence is missing. For dependencies, prove the relevant manifest was examined and the vulnerable package/version is absent or corrected. For web checks, prove the relevant route/control was reached and evaluated. An empty alert list is insufficient.</w:t>
      </w:r>
    </w:p>
    <w:p>
      <w:r>
        <w:t>High and Critical closure enters a Closure awaiting anchor verification substate after proof review. Finalize Closed only after an independently verified receipt binds the closure-intent event to the signed external chain head. Retry this workflow idempotently; never fabricate a receipt. The offline model assumes such a receipt as an input and does not implement this distributed transaction.</w:t>
      </w:r>
    </w:p>
    <w:p>
      <w:pPr>
        <w:pStyle w:val="Heading2"/>
        <w:keepNext/>
      </w:pPr>
      <w:r>
        <w:t>U05: Lifecycle and exceptions</w:t>
      </w:r>
    </w:p>
    <w:p>
      <w:r>
        <w:t>Keep New → Confirmed → Assigned → Remediating → Verification pending → Closed. Repeated is an observation event that preserves the current work state. A matching observation after Closed creates Reopened with fresh assignment and review. Use optimistic concurrency to prevent two reviewers overwriting each other’s decisions.</w:t>
      </w:r>
    </w:p>
    <w:p>
      <w:r>
        <w:t>Risk accepted, Suppressed and False positive are separate reviewed dispositions, not verified fixes. Record reason, evidence, reviewer, affected scope and expiry. On expiry, restore the previous unresolved state and reassess current priority. A new observation remains visible even while an exception is active. False-positive decisions retain source evidence and can be reversed.</w:t>
      </w:r>
    </w:p>
    <w:p>
      <w:r>
        <w:t>Identity uses versioned fingerprints from v1.3. For web results, use a reviewed route template; do not guess that unrelated numeric paths are equivalent. Dependency identity excludes build digests but retains them as observation evidence. Alias, merge and split decisions require review, preserve original observations and support reversal. The package demonstrates exact identities and recurrence; alias and exception workflows remain unimplemented.</w:t>
      </w:r>
    </w:p>
    <w:p>
      <w:pPr>
        <w:pStyle w:val="Heading1"/>
        <w:keepNext/>
      </w:pPr>
      <w:r>
        <w:t>6. Explainable prioritization and action</w:t>
      </w:r>
    </w:p>
    <w:p>
      <w:pPr>
        <w:pStyle w:val="Heading2"/>
        <w:keepNext/>
      </w:pPr>
      <w:r>
        <w:t>U06: Preserve four distinct dimensions</w:t>
      </w:r>
    </w:p>
    <w:p>
      <w:r>
        <w:t>Retain source-reported CVSS vector and score unchanged; store any environment-adjusted vector and score separately. CVSS has distinct metric groups [R4]. Preserve dated EPSS probability and percentile; missing data is Unknown. FIRST describes EPSS as a daily probability of exploitation in the next 30 days and advises against multiplying it by CVSS [R5]. Evidence confidence controls validation urgency without reducing severity or concealing urgent risk.</w:t>
      </w:r>
    </w:p>
    <w:p>
      <w:pPr>
        <w:pStyle w:val="Heading2"/>
        <w:keepNext/>
      </w:pPr>
      <w:r>
        <w:t>Proposed Seal priority policy v1</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7600"/>
        <w:gridCol w:w="1760"/>
      </w:tblGrid>
      <w:tr>
        <w:trPr>
          <w:cantSplit/>
          <w:tblHeader/>
          <w:tblHeader w:val="true"/>
        </w:trPr>
        <w:tc>
          <w:tcPr>
            <w:tcW w:type="dxa" w:w="7600"/>
            <w:shd w:fill="E8EEF5"/>
          </w:tcPr>
          <w:p>
            <w:pPr>
              <w:spacing w:before="0" w:after="60" w:line="252" w:lineRule="auto"/>
            </w:pPr>
            <w:r>
              <w:rPr>
                <w:b/>
                <w:sz w:val="19"/>
              </w:rPr>
              <w:t>Evaluate in this order</w:t>
            </w:r>
          </w:p>
        </w:tc>
        <w:tc>
          <w:tcPr>
            <w:tcW w:type="dxa" w:w="1760"/>
            <w:shd w:fill="E8EEF5"/>
          </w:tcPr>
          <w:p>
            <w:pPr>
              <w:spacing w:before="0" w:after="60" w:line="252" w:lineRule="auto"/>
            </w:pPr>
            <w:r>
              <w:rPr>
                <w:b/>
                <w:sz w:val="19"/>
              </w:rPr>
              <w:t>Outcome</w:t>
            </w:r>
          </w:p>
        </w:tc>
      </w:tr>
      <w:tr>
        <w:trPr>
          <w:cantSplit/>
        </w:trPr>
        <w:tc>
          <w:tcPr>
            <w:tcW w:type="dxa" w:w="7600"/>
          </w:tcPr>
          <w:p>
            <w:pPr>
              <w:spacing w:before="0" w:after="60" w:line="252" w:lineRule="auto"/>
            </w:pPr>
            <w:r>
              <w:rPr>
                <w:sz w:val="19"/>
              </w:rPr>
              <w:t>Known exploitation plus exposure or serious mission/safety impact</w:t>
            </w:r>
          </w:p>
        </w:tc>
        <w:tc>
          <w:tcPr>
            <w:tcW w:type="dxa" w:w="1760"/>
          </w:tcPr>
          <w:p>
            <w:pPr>
              <w:spacing w:before="0" w:after="60" w:line="252" w:lineRule="auto"/>
            </w:pPr>
            <w:r>
              <w:rPr>
                <w:sz w:val="19"/>
              </w:rPr>
              <w:t>Act</w:t>
            </w:r>
          </w:p>
        </w:tc>
      </w:tr>
      <w:tr>
        <w:trPr>
          <w:cantSplit/>
        </w:trPr>
        <w:tc>
          <w:tcPr>
            <w:tcW w:type="dxa" w:w="7600"/>
          </w:tcPr>
          <w:p>
            <w:pPr>
              <w:spacing w:before="0" w:after="60" w:line="252" w:lineRule="auto"/>
            </w:pPr>
            <w:r>
              <w:rPr>
                <w:sz w:val="19"/>
              </w:rPr>
              <w:t>Known exploitation, serious impact, severity ≥9, or exposed severity ≥7</w:t>
            </w:r>
          </w:p>
        </w:tc>
        <w:tc>
          <w:tcPr>
            <w:tcW w:type="dxa" w:w="1760"/>
          </w:tcPr>
          <w:p>
            <w:pPr>
              <w:spacing w:before="0" w:after="60" w:line="252" w:lineRule="auto"/>
            </w:pPr>
            <w:r>
              <w:rPr>
                <w:sz w:val="19"/>
              </w:rPr>
              <w:t>Attend</w:t>
            </w:r>
          </w:p>
        </w:tc>
      </w:tr>
      <w:tr>
        <w:trPr>
          <w:cantSplit/>
        </w:trPr>
        <w:tc>
          <w:tcPr>
            <w:tcW w:type="dxa" w:w="7600"/>
          </w:tcPr>
          <w:p>
            <w:pPr>
              <w:spacing w:before="0" w:after="60" w:line="252" w:lineRule="auto"/>
            </w:pPr>
            <w:r>
              <w:rPr>
                <w:sz w:val="19"/>
              </w:rPr>
              <w:t>Exposed and fresh EPSS ≥0.10</w:t>
            </w:r>
          </w:p>
        </w:tc>
        <w:tc>
          <w:tcPr>
            <w:tcW w:type="dxa" w:w="1760"/>
          </w:tcPr>
          <w:p>
            <w:pPr>
              <w:spacing w:before="0" w:after="60" w:line="252" w:lineRule="auto"/>
            </w:pPr>
            <w:r>
              <w:rPr>
                <w:sz w:val="19"/>
              </w:rPr>
              <w:t>Attend</w:t>
            </w:r>
          </w:p>
        </w:tc>
      </w:tr>
      <w:tr>
        <w:trPr>
          <w:cantSplit/>
        </w:trPr>
        <w:tc>
          <w:tcPr>
            <w:tcW w:type="dxa" w:w="7600"/>
          </w:tcPr>
          <w:p>
            <w:pPr>
              <w:spacing w:before="0" w:after="60" w:line="252" w:lineRule="auto"/>
            </w:pPr>
            <w:r>
              <w:rPr>
                <w:sz w:val="19"/>
              </w:rPr>
              <w:t>Severity ≥4 or exposed</w:t>
            </w:r>
          </w:p>
        </w:tc>
        <w:tc>
          <w:tcPr>
            <w:tcW w:type="dxa" w:w="1760"/>
          </w:tcPr>
          <w:p>
            <w:pPr>
              <w:spacing w:before="0" w:after="60" w:line="252" w:lineRule="auto"/>
            </w:pPr>
            <w:r>
              <w:rPr>
                <w:sz w:val="19"/>
              </w:rPr>
              <w:t>Track*</w:t>
            </w:r>
          </w:p>
        </w:tc>
      </w:tr>
      <w:tr>
        <w:trPr>
          <w:cantSplit/>
        </w:trPr>
        <w:tc>
          <w:tcPr>
            <w:tcW w:type="dxa" w:w="7600"/>
          </w:tcPr>
          <w:p>
            <w:pPr>
              <w:spacing w:before="0" w:after="60" w:line="252" w:lineRule="auto"/>
            </w:pPr>
            <w:r>
              <w:rPr>
                <w:sz w:val="19"/>
              </w:rPr>
              <w:t>Otherwise, on complete context</w:t>
            </w:r>
          </w:p>
        </w:tc>
        <w:tc>
          <w:tcPr>
            <w:tcW w:type="dxa" w:w="1760"/>
          </w:tcPr>
          <w:p>
            <w:pPr>
              <w:spacing w:before="0" w:after="60" w:line="252" w:lineRule="auto"/>
            </w:pPr>
            <w:r>
              <w:rPr>
                <w:sz w:val="19"/>
              </w:rPr>
              <w:t>Track</w:t>
            </w:r>
          </w:p>
        </w:tc>
      </w:tr>
    </w:tbl>
    <w:p>
      <w:r>
        <w:t>This is Seal’s proposed SSVC-style decision tree, not a claim to implement the official CISA tree. The 0.10 EPSS threshold and 48-hour freshness limit require security-lead review. Unknown exposure, impact or severity requires triage; it must not default to the least urgent branch. The executable model requires explicit context and does not consume live threat feeds.</w:t>
      </w:r>
    </w:p>
    <w:p>
      <w:pPr>
        <w:pStyle w:val="Heading2"/>
        <w:keepNext/>
      </w:pPr>
      <w:r>
        <w:t>Assignment and exceptions</w:t>
      </w:r>
    </w:p>
    <w:p>
      <w:r>
        <w:t>Propose acknowledgement targets of four hours for Act, one business day for Attend, five business days for Track*, and the next planned review for Track. These are workflow proposals, not new legal deadlines or replacements for institutional service targets. The combined plan must select remediation deadlines appropriate to asset impact and the approved frameworks before enabling automatic overdue escalation.</w:t>
      </w:r>
    </w:p>
    <w:p>
      <w:r>
        <w:t>Every override retains old/new outcome, policy version, named reviewer, reason, evidence, creation time and expiry. Known exploitation or serious impact cannot fall below Attend without an approved exception. Low-confidence High/Critical findings enter urgent validation immediately. Expired overrides trigger recalculation and visible escalation; they never permanently rewrite imported observations.</w:t>
      </w:r>
    </w:p>
    <w:p>
      <w:r>
        <w:t>Show severity, likelihood date, priority reason, confidence, owner, deadline and exception status together. Do not replace them with a single “security score.”</w:t>
      </w:r>
    </w:p>
    <w:p>
      <w:pPr>
        <w:pStyle w:val="Heading1"/>
        <w:keepNext/>
      </w:pPr>
      <w:r>
        <w:t>7. Evidence, tenant isolation and audit trust</w:t>
      </w:r>
    </w:p>
    <w:p>
      <w:pPr>
        <w:pStyle w:val="Heading2"/>
        <w:keepNext/>
      </w:pPr>
      <w:r>
        <w:t>U07–U08: Evidence custody and anchor failure</w:t>
      </w:r>
    </w:p>
    <w:p>
      <w:r>
        <w:t>Maintain the v1.3 hash chain and separately controlled signed sink: at least every fifteen minutes, at scan completion, and immediately for authorization, override, High/Critical closure, incident and audit-control events. Retain the NOLOGIN seal_audit_owner with no issued credentials, no routine assumption and two-person break-glass control. These remain implementation requirements, not properties of the local chain example.</w:t>
      </w:r>
    </w:p>
    <w:p>
      <w:r>
        <w:t>Commit accepted audit events durably before acknowledgement and record a transactional anchor-outbox item. Retries use sequence/head idempotency. Verify sink receipts and reconcile backlog independently. On signature failure, chain mismatch or an overdue fifteen-minute anchor, deny new jobs and high-risk closure and alert assurance. Preserve permitted evidence and stop controls during the outage. Test receipt loss, sink failure, replay, reordering and rewrite before claiming integrity.</w:t>
      </w:r>
    </w:p>
    <w:p>
      <w:r>
        <w:t>Minimize at collection; sanitize before ordinary retention. Prefer structured allowlisted metadata over raw response bodies. Quarantine suspected secrets in a restricted, short-lived path only when justified by the approved privacy design; never expose them in logs, exports or fixtures. Record content digests, collection lineage and access history. Use encryption with separated key administration. Honor incident/legal holds before deletion; record disposal outcomes without retaining the deleted sensitive content.</w:t>
      </w:r>
    </w:p>
    <w:p>
      <w:r>
        <w:t>Retain v1.3 section 11.1’s exact category schedule, including seven-year project/assurance minima, product-life-plus-three-year technical records with the stated floor, and necessity-based raw evidence. A full retention mapping and privacy assessment remain due; this proposal grants no data-admission approval.</w:t>
      </w:r>
    </w:p>
    <w:p>
      <w:pPr>
        <w:pStyle w:val="Heading2"/>
        <w:keepNext/>
      </w:pPr>
      <w:r>
        <w:t>U09: Identity and organization boundaries</w:t>
      </w:r>
    </w:p>
    <w:p>
      <w:r>
        <w:t>Use privileged MFA and short-lived worker identities. Derive organization from authenticated membership; do not trust body or URL fields alone. Enforce it on API access, background jobs, object keys, caches, signed downloads and exports. Apply PostgreSQL RLS with USING and WITH CHECK and tenant-qualified relationships. Runtime roles must not own tables, be superusers or have BYPASSRLS; use FORCE RLS where required. PostgreSQL documents owner and privileged-role bypass behavior [R6].</w:t>
      </w:r>
    </w:p>
    <w:p>
      <w:r>
        <w:t>RLS is defense in depth, not protection against a fully compromised trusted API able to choose tenant context. Independently test the identity-to-context boundary, connection-pool reuse and worker paths. The package’s organization comparisons do not test PostgreSQL or production tenant isolation.</w:t>
      </w:r>
    </w:p>
    <w:p>
      <w:pPr>
        <w:pStyle w:val="Heading1"/>
        <w:keepNext/>
      </w:pPr>
      <w:r>
        <w:t>8. Supply chain, incidents and recovery</w:t>
      </w:r>
    </w:p>
    <w:p>
      <w:pPr>
        <w:pStyle w:val="Heading2"/>
        <w:keepNext/>
      </w:pPr>
      <w:r>
        <w:t>U10: Reproducible scanner admission</w:t>
      </w:r>
    </w:p>
    <w:p>
      <w:r>
        <w:t>Record scanner image digest, signature/provenance verification, license review, rule digest, advisory database digest and timestamp, adapter version, schema version and transformation version. Reject an unapproved combination. Workers run without root, unnecessary capabilities, host mounts or a container-engine socket; bound CPU, memory, disk, process count, output size and network access.</w:t>
      </w:r>
    </w:p>
    <w:p>
      <w:r>
        <w:t>Treat scanner output as untrusted data. Validate types, sizes, enumerations and tenant/job bindings; reject path traversal and unsafe object references. Escape display content and guard CSV formula cells. A content field cannot invoke a tool or alter policy. Keep vulnerability scanning distinct from Trivy’s other scanner capabilities [R7]; configuration coverage remains deferred. Exact versions and licenses must be selected and pinned during implementation, not inferred from this proposal.</w:t>
      </w:r>
    </w:p>
    <w:p>
      <w:pPr>
        <w:pStyle w:val="Heading2"/>
        <w:keepNext/>
      </w:pPr>
      <w:r>
        <w:t>U11: Incident path</w:t>
      </w:r>
    </w:p>
    <w:p>
      <w:r>
        <w:t>An active-compromise signal halts assessment and persists the stop state, detection time, limited evidence, custody and hold. Route to the named coordinator and target-owner contacts in the authorization. Record acknowledgement, containment decision and legal/CERT reporting decision. Do not autonomously contact external parties without explicit delegated authority.</w:t>
      </w:r>
    </w:p>
    <w:p>
      <w:r>
        <w:t>Carry forward v1.3’s potential twenty-four-hour reporting-clock consideration as a baseline legal-review requirement. This proposal makes no new determination of Ghanaian law. Counsel must confirm applicable duties and deadlines. Pending guidance must be visibly owned and escalated, never silently treated as approval.</w:t>
      </w:r>
    </w:p>
    <w:p>
      <w:pPr>
        <w:pStyle w:val="Heading2"/>
        <w:keepNext/>
      </w:pPr>
      <w:r>
        <w:t>U12: Safe recovery</w:t>
      </w:r>
    </w:p>
    <w:p>
      <w:r>
        <w:t>Queue messages carry an idempotency key and lease generation. Only one current lease may execute a job. A retry rechecks authorization, revocation, profile, stop state and remaining budget; it does not replay a prior HTTP request automatically. Persist checkpoints without credentials or raw private responses. A stopped job remains stopped across restarts.</w:t>
      </w:r>
    </w:p>
    <w:p>
      <w:r>
        <w:t>Preserve v1.3’s zero-event-loss-after-acknowledgement audit goal, thirty-second failed-worker detection, five-minute safe fail/resume decision and fifteen-minute queue/worker recovery target. Demonstrate these with forced crashes and storage/queue outages. Restore encrypted backups in an isolated environment, reconcile external anchors, and verify evidence digests before reopening jobs. A backup existing is not proof that recovery works.</w:t>
      </w:r>
    </w:p>
    <w:p>
      <w:pPr>
        <w:pStyle w:val="Heading1"/>
        <w:keepNext/>
      </w:pPr>
      <w:r>
        <w:t>9. User workflow and meaningful security measures</w:t>
      </w:r>
    </w:p>
    <w:p>
      <w:pPr>
        <w:pStyle w:val="Heading2"/>
        <w:keepNext/>
      </w:pPr>
      <w:r>
        <w:t>U13: Make the next action obvious</w:t>
      </w:r>
    </w:p>
    <w:p>
      <w:r>
        <w:t>The assessor starts with an asset, written permission, approved profile and coverage expectation. The scope screen explains denied conditions before submission. A running assessment shows request budget, health, current authorization and an accessible stop control. Partial or stopped work remains visibly incomplete.</w:t>
      </w:r>
    </w:p>
    <w:p>
      <w:r>
        <w:t>The remediation owner receives a confirmed finding with impact, sanitized evidence, an explanation of priority, a concrete suggested correction, due date and proof required. The owner records a change reference and regression-test outcome, then requests verification. Seal does not alter the target or merge a patch autonomously.</w:t>
      </w:r>
    </w:p>
    <w:p>
      <w:r>
        <w:t>The reviewer sees before/after revision, relevant check coverage, evidence validity, rule/profile compatibility, separation of duties and anchor status. The decision is Close, Reopen, or Inconclusive with a reason. Approval cannot be inferred from viewing the page or from the fixer marking work done.</w:t>
      </w:r>
    </w:p>
    <w:p>
      <w:r>
        <w:t>Managers see unresolved exposure and accountable work. Reviewers see control evidence and exceptions. Administrators see platform health and profile admissions. Executive viewers receive summaries without unnecessary raw evidence. Preserve keyboard access, structured headings and readable contrast in implementation.</w:t>
      </w:r>
    </w:p>
    <w:p>
      <w:pPr>
        <w:pStyle w:val="Heading2"/>
        <w:keepNext/>
      </w:pPr>
      <w:r>
        <w:t>Dashboard definitions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2800"/>
        <w:gridCol w:w="6560"/>
      </w:tblGrid>
      <w:tr>
        <w:trPr>
          <w:cantSplit/>
          <w:tblHeader/>
          <w:tblHeader w:val="true"/>
        </w:trPr>
        <w:tc>
          <w:tcPr>
            <w:tcW w:type="dxa" w:w="2800"/>
            <w:shd w:fill="E8EEF5"/>
          </w:tcPr>
          <w:p>
            <w:pPr>
              <w:spacing w:before="0" w:after="60" w:line="252" w:lineRule="auto"/>
            </w:pPr>
            <w:r>
              <w:rPr>
                <w:b/>
                <w:sz w:val="19"/>
              </w:rPr>
              <w:t>Measure</w:t>
            </w:r>
          </w:p>
        </w:tc>
        <w:tc>
          <w:tcPr>
            <w:tcW w:type="dxa" w:w="6560"/>
            <w:shd w:fill="E8EEF5"/>
          </w:tcPr>
          <w:p>
            <w:pPr>
              <w:spacing w:before="0" w:after="60" w:line="252" w:lineRule="auto"/>
            </w:pPr>
            <w:r>
              <w:rPr>
                <w:b/>
                <w:sz w:val="19"/>
              </w:rPr>
              <w:t>Calculation or reporting rule</w:t>
            </w:r>
          </w:p>
        </w:tc>
      </w:tr>
      <w:tr>
        <w:trPr>
          <w:cantSplit/>
        </w:trPr>
        <w:tc>
          <w:tcPr>
            <w:tcW w:type="dxa" w:w="2800"/>
          </w:tcPr>
          <w:p>
            <w:pPr>
              <w:spacing w:before="0" w:after="60" w:line="252" w:lineRule="auto"/>
            </w:pPr>
            <w:r>
              <w:rPr>
                <w:sz w:val="19"/>
              </w:rPr>
              <w:t>Verified closure rate</w:t>
            </w:r>
          </w:p>
        </w:tc>
        <w:tc>
          <w:tcPr>
            <w:tcW w:type="dxa" w:w="6560"/>
          </w:tcPr>
          <w:p>
            <w:pPr>
              <w:spacing w:before="0" w:after="60" w:line="252" w:lineRule="auto"/>
            </w:pPr>
            <w:r>
              <w:rPr>
                <w:sz w:val="19"/>
              </w:rPr>
              <w:t>Verified Closed / confirmed findings in a defined cohort; exclude accepted/suppressed dispositions</w:t>
            </w:r>
          </w:p>
        </w:tc>
      </w:tr>
      <w:tr>
        <w:trPr>
          <w:cantSplit/>
        </w:trPr>
        <w:tc>
          <w:tcPr>
            <w:tcW w:type="dxa" w:w="2800"/>
          </w:tcPr>
          <w:p>
            <w:pPr>
              <w:spacing w:before="0" w:after="60" w:line="252" w:lineRule="auto"/>
            </w:pPr>
            <w:r>
              <w:rPr>
                <w:sz w:val="19"/>
              </w:rPr>
              <w:t>Time to verified closure</w:t>
            </w:r>
          </w:p>
        </w:tc>
        <w:tc>
          <w:tcPr>
            <w:tcW w:type="dxa" w:w="6560"/>
          </w:tcPr>
          <w:p>
            <w:pPr>
              <w:spacing w:before="0" w:after="60" w:line="252" w:lineRule="auto"/>
            </w:pPr>
            <w:r>
              <w:rPr>
                <w:sz w:val="19"/>
              </w:rPr>
              <w:t>Median and p90 from confirmation to final closure; report unresolved age separately</w:t>
            </w:r>
          </w:p>
        </w:tc>
      </w:tr>
      <w:tr>
        <w:trPr>
          <w:cantSplit/>
        </w:trPr>
        <w:tc>
          <w:tcPr>
            <w:tcW w:type="dxa" w:w="2800"/>
          </w:tcPr>
          <w:p>
            <w:pPr>
              <w:spacing w:before="0" w:after="60" w:line="252" w:lineRule="auto"/>
            </w:pPr>
            <w:r>
              <w:rPr>
                <w:sz w:val="19"/>
              </w:rPr>
              <w:t>Reopen rate</w:t>
            </w:r>
          </w:p>
        </w:tc>
        <w:tc>
          <w:tcPr>
            <w:tcW w:type="dxa" w:w="6560"/>
          </w:tcPr>
          <w:p>
            <w:pPr>
              <w:spacing w:before="0" w:after="60" w:line="252" w:lineRule="auto"/>
            </w:pPr>
            <w:r>
              <w:rPr>
                <w:sz w:val="19"/>
              </w:rPr>
              <w:t>Previously verified closures that recur / closures eligible for follow-up, with window shown</w:t>
            </w:r>
          </w:p>
        </w:tc>
      </w:tr>
      <w:tr>
        <w:trPr>
          <w:cantSplit/>
        </w:trPr>
        <w:tc>
          <w:tcPr>
            <w:tcW w:type="dxa" w:w="2800"/>
          </w:tcPr>
          <w:p>
            <w:pPr>
              <w:spacing w:before="0" w:after="60" w:line="252" w:lineRule="auto"/>
            </w:pPr>
            <w:r>
              <w:rPr>
                <w:sz w:val="19"/>
              </w:rPr>
              <w:t>Assessed coverage</w:t>
            </w:r>
          </w:p>
        </w:tc>
        <w:tc>
          <w:tcPr>
            <w:tcW w:type="dxa" w:w="6560"/>
          </w:tcPr>
          <w:p>
            <w:pPr>
              <w:spacing w:before="0" w:after="60" w:line="252" w:lineRule="auto"/>
            </w:pPr>
            <w:r>
              <w:rPr>
                <w:sz w:val="19"/>
              </w:rPr>
              <w:t>Completed approved checks / expected approved checks; show unsupported scope separately</w:t>
            </w:r>
          </w:p>
        </w:tc>
      </w:tr>
      <w:tr>
        <w:trPr>
          <w:cantSplit/>
        </w:trPr>
        <w:tc>
          <w:tcPr>
            <w:tcW w:type="dxa" w:w="2800"/>
          </w:tcPr>
          <w:p>
            <w:pPr>
              <w:spacing w:before="0" w:after="60" w:line="252" w:lineRule="auto"/>
            </w:pPr>
            <w:r>
              <w:rPr>
                <w:sz w:val="19"/>
              </w:rPr>
              <w:t>Assigned-finding invalidation</w:t>
            </w:r>
          </w:p>
        </w:tc>
        <w:tc>
          <w:tcPr>
            <w:tcW w:type="dxa" w:w="6560"/>
          </w:tcPr>
          <w:p>
            <w:pPr>
              <w:spacing w:before="0" w:after="60" w:line="252" w:lineRule="auto"/>
            </w:pPr>
            <w:r>
              <w:rPr>
                <w:sz w:val="19"/>
              </w:rPr>
              <w:t>Assigned findings later invalidated / assigned findings in the reported cohort</w:t>
            </w:r>
          </w:p>
        </w:tc>
      </w:tr>
      <w:tr>
        <w:trPr>
          <w:cantSplit/>
        </w:trPr>
        <w:tc>
          <w:tcPr>
            <w:tcW w:type="dxa" w:w="2800"/>
          </w:tcPr>
          <w:p>
            <w:pPr>
              <w:spacing w:before="0" w:after="60" w:line="252" w:lineRule="auto"/>
            </w:pPr>
            <w:r>
              <w:rPr>
                <w:sz w:val="19"/>
              </w:rPr>
              <w:t>Control health</w:t>
            </w:r>
          </w:p>
        </w:tc>
        <w:tc>
          <w:tcPr>
            <w:tcW w:type="dxa" w:w="6560"/>
          </w:tcPr>
          <w:p>
            <w:pPr>
              <w:spacing w:before="0" w:after="60" w:line="252" w:lineRule="auto"/>
            </w:pPr>
            <w:r>
              <w:rPr>
                <w:sz w:val="19"/>
              </w:rPr>
              <w:t>Authorization denials, stop performance, anchor lag and integrity incidents</w:t>
            </w:r>
          </w:p>
        </w:tc>
      </w:tr>
    </w:tbl>
    <w:p>
      <w:r>
        <w:t>Display denominators, observation windows and sample size. A zero denominator is Not available. Report new, recurring and long-standing weaknesses separately. Never count risk acceptance as exposure removed, or a skipped check as a successful assessment. Any future protection claim must state scope and measured evidence.</w:t>
      </w:r>
    </w:p>
    <w:p>
      <w:pPr>
        <w:pStyle w:val="Heading1"/>
        <w:keepNext/>
      </w:pPr>
      <w:r>
        <w:t>10. Acceptance and release evidence</w:t>
      </w:r>
    </w:p>
    <w:p>
      <w:pPr>
        <w:pStyle w:val="Heading2"/>
        <w:keepNext/>
      </w:pPr>
      <w:r>
        <w:t>U14: Keep model checks and release tests separate</w:t>
      </w:r>
    </w:p>
    <w:p>
      <w:r>
        <w:t>The source v1.4 proposal reports that its separate package passed 31 offline tests, including adversarial subcases. That historical result was not rerun or independently verified during this document merge. These exercise pure decisions using synthetic identities and attestations. They demonstrate expected behavior for scope mismatch, expiry, revocation, priority, distinct identities, incomplete/wrong-build verification, reviewer separation, recurrence and chain/checkpoint mismatch. They do not test real scanning, real MFA, database permissions, container isolation, encrypted evidence or an external signed sink.</w:t>
      </w:r>
    </w:p>
    <w:p>
      <w:pPr>
        <w:pStyle w:val="Heading2"/>
        <w:keepNext/>
      </w:pPr>
      <w:r>
        <w:t>Production implementation acceptance plan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2500"/>
        <w:gridCol w:w="6860"/>
      </w:tblGrid>
      <w:tr>
        <w:trPr>
          <w:cantSplit/>
          <w:tblHeader/>
          <w:tblHeader w:val="true"/>
        </w:trPr>
        <w:tc>
          <w:tcPr>
            <w:tcW w:type="dxa" w:w="2500"/>
            <w:shd w:fill="E8EEF5"/>
          </w:tcPr>
          <w:p>
            <w:pPr>
              <w:spacing w:before="0" w:after="60" w:line="252" w:lineRule="auto"/>
            </w:pPr>
            <w:r>
              <w:rPr>
                <w:b/>
                <w:sz w:val="19"/>
              </w:rPr>
              <w:t>Test campaign</w:t>
            </w:r>
          </w:p>
        </w:tc>
        <w:tc>
          <w:tcPr>
            <w:tcW w:type="dxa" w:w="6860"/>
            <w:shd w:fill="E8EEF5"/>
          </w:tcPr>
          <w:p>
            <w:pPr>
              <w:spacing w:before="0" w:after="60" w:line="252" w:lineRule="auto"/>
            </w:pPr>
            <w:r>
              <w:rPr>
                <w:b/>
                <w:sz w:val="19"/>
              </w:rPr>
              <w:t>Required result from v1.3 / upgrade</w:t>
            </w:r>
          </w:p>
        </w:tc>
      </w:tr>
      <w:tr>
        <w:trPr>
          <w:cantSplit/>
        </w:trPr>
        <w:tc>
          <w:tcPr>
            <w:tcW w:type="dxa" w:w="2500"/>
          </w:tcPr>
          <w:p>
            <w:pPr>
              <w:spacing w:before="0" w:after="60" w:line="252" w:lineRule="auto"/>
            </w:pPr>
            <w:r>
              <w:rPr>
                <w:sz w:val="19"/>
              </w:rPr>
              <w:t>Authorization and egress</w:t>
            </w:r>
          </w:p>
        </w:tc>
        <w:tc>
          <w:tcPr>
            <w:tcW w:type="dxa" w:w="6860"/>
          </w:tcPr>
          <w:p>
            <w:pPr>
              <w:spacing w:before="0" w:after="60" w:line="252" w:lineRule="auto"/>
            </w:pPr>
            <w:r>
              <w:rPr>
                <w:sz w:val="19"/>
              </w:rPr>
              <w:t>100% executed jobs linked to valid scope; zero successful scope escapes</w:t>
            </w:r>
          </w:p>
        </w:tc>
      </w:tr>
      <w:tr>
        <w:trPr>
          <w:cantSplit/>
        </w:trPr>
        <w:tc>
          <w:tcPr>
            <w:tcW w:type="dxa" w:w="2500"/>
          </w:tcPr>
          <w:p>
            <w:pPr>
              <w:spacing w:before="0" w:after="60" w:line="252" w:lineRule="auto"/>
            </w:pPr>
            <w:r>
              <w:rPr>
                <w:sz w:val="19"/>
              </w:rPr>
              <w:t>Detection</w:t>
            </w:r>
          </w:p>
        </w:tc>
        <w:tc>
          <w:tcPr>
            <w:tcW w:type="dxa" w:w="6860"/>
          </w:tcPr>
          <w:p>
            <w:pPr>
              <w:spacing w:before="0" w:after="60" w:line="252" w:lineRule="auto"/>
            </w:pPr>
            <w:r>
              <w:rPr>
                <w:sz w:val="19"/>
              </w:rPr>
              <w:t>At least 90% of selected seeded baseline findings; report per adapter and limitations</w:t>
            </w:r>
          </w:p>
        </w:tc>
      </w:tr>
      <w:tr>
        <w:trPr>
          <w:cantSplit/>
        </w:trPr>
        <w:tc>
          <w:tcPr>
            <w:tcW w:type="dxa" w:w="2500"/>
          </w:tcPr>
          <w:p>
            <w:pPr>
              <w:spacing w:before="0" w:after="60" w:line="252" w:lineRule="auto"/>
            </w:pPr>
            <w:r>
              <w:rPr>
                <w:sz w:val="19"/>
              </w:rPr>
              <w:t>Identity mutations</w:t>
            </w:r>
          </w:p>
        </w:tc>
        <w:tc>
          <w:tcPr>
            <w:tcW w:type="dxa" w:w="6860"/>
          </w:tcPr>
          <w:p>
            <w:pPr>
              <w:spacing w:before="0" w:after="60" w:line="252" w:lineRule="auto"/>
            </w:pPr>
            <w:r>
              <w:rPr>
                <w:sz w:val="19"/>
              </w:rPr>
              <w:t>At least 95% stable/correctly aliased; zero silent merges of distinct seeds</w:t>
            </w:r>
          </w:p>
        </w:tc>
      </w:tr>
      <w:tr>
        <w:trPr>
          <w:cantSplit/>
        </w:trPr>
        <w:tc>
          <w:tcPr>
            <w:tcW w:type="dxa" w:w="2500"/>
          </w:tcPr>
          <w:p>
            <w:pPr>
              <w:spacing w:before="0" w:after="60" w:line="252" w:lineRule="auto"/>
            </w:pPr>
            <w:r>
              <w:rPr>
                <w:sz w:val="19"/>
              </w:rPr>
              <w:t>Closure</w:t>
            </w:r>
          </w:p>
        </w:tc>
        <w:tc>
          <w:tcPr>
            <w:tcW w:type="dxa" w:w="6860"/>
          </w:tcPr>
          <w:p>
            <w:pPr>
              <w:spacing w:before="0" w:after="60" w:line="252" w:lineRule="auto"/>
            </w:pPr>
            <w:r>
              <w:rPr>
                <w:sz w:val="19"/>
              </w:rPr>
              <w:t>100% closed high-risk findings have complete independent proof and anchor evidence</w:t>
            </w:r>
          </w:p>
        </w:tc>
      </w:tr>
      <w:tr>
        <w:trPr>
          <w:cantSplit/>
        </w:trPr>
        <w:tc>
          <w:tcPr>
            <w:tcW w:type="dxa" w:w="2500"/>
          </w:tcPr>
          <w:p>
            <w:pPr>
              <w:spacing w:before="0" w:after="60" w:line="252" w:lineRule="auto"/>
            </w:pPr>
            <w:r>
              <w:rPr>
                <w:sz w:val="19"/>
              </w:rPr>
              <w:t>Tenant boundaries</w:t>
            </w:r>
          </w:p>
        </w:tc>
        <w:tc>
          <w:tcPr>
            <w:tcW w:type="dxa" w:w="6860"/>
          </w:tcPr>
          <w:p>
            <w:pPr>
              <w:spacing w:before="0" w:after="60" w:line="252" w:lineRule="auto"/>
            </w:pPr>
            <w:r>
              <w:rPr>
                <w:sz w:val="19"/>
              </w:rPr>
              <w:t>Zero successful cross-organization attempts across all tested paths</w:t>
            </w:r>
          </w:p>
        </w:tc>
      </w:tr>
      <w:tr>
        <w:trPr>
          <w:cantSplit/>
        </w:trPr>
        <w:tc>
          <w:tcPr>
            <w:tcW w:type="dxa" w:w="2500"/>
          </w:tcPr>
          <w:p>
            <w:pPr>
              <w:spacing w:before="0" w:after="60" w:line="252" w:lineRule="auto"/>
            </w:pPr>
            <w:r>
              <w:rPr>
                <w:sz w:val="19"/>
              </w:rPr>
              <w:t>Emergency stop</w:t>
            </w:r>
          </w:p>
        </w:tc>
        <w:tc>
          <w:tcPr>
            <w:tcW w:type="dxa" w:w="6860"/>
          </w:tcPr>
          <w:p>
            <w:pPr>
              <w:spacing w:before="0" w:after="60" w:line="252" w:lineRule="auto"/>
            </w:pPr>
            <w:r>
              <w:rPr>
                <w:sz w:val="19"/>
              </w:rPr>
              <w:t>Every release test stops new requests within 5 seconds and workers within 30 seconds</w:t>
            </w:r>
          </w:p>
        </w:tc>
      </w:tr>
      <w:tr>
        <w:trPr>
          <w:cantSplit/>
        </w:trPr>
        <w:tc>
          <w:tcPr>
            <w:tcW w:type="dxa" w:w="2500"/>
          </w:tcPr>
          <w:p>
            <w:pPr>
              <w:spacing w:before="0" w:after="60" w:line="252" w:lineRule="auto"/>
            </w:pPr>
            <w:r>
              <w:rPr>
                <w:sz w:val="19"/>
              </w:rPr>
              <w:t>Integrity and recovery</w:t>
            </w:r>
          </w:p>
        </w:tc>
        <w:tc>
          <w:tcPr>
            <w:tcW w:type="dxa" w:w="6860"/>
          </w:tcPr>
          <w:p>
            <w:pPr>
              <w:spacing w:before="0" w:after="60" w:line="252" w:lineRule="auto"/>
            </w:pPr>
            <w:r>
              <w:rPr>
                <w:sz w:val="19"/>
              </w:rPr>
              <w:t>Detect defined tampering; no acknowledged audit loss; exercise sink and restore failures</w:t>
            </w:r>
          </w:p>
        </w:tc>
      </w:tr>
      <w:tr>
        <w:trPr>
          <w:cantSplit/>
        </w:trPr>
        <w:tc>
          <w:tcPr>
            <w:tcW w:type="dxa" w:w="2500"/>
          </w:tcPr>
          <w:p>
            <w:pPr>
              <w:spacing w:before="0" w:after="60" w:line="252" w:lineRule="auto"/>
            </w:pPr>
            <w:r>
              <w:rPr>
                <w:sz w:val="19"/>
              </w:rPr>
              <w:t>Load</w:t>
            </w:r>
          </w:p>
        </w:tc>
        <w:tc>
          <w:tcPr>
            <w:tcW w:type="dxa" w:w="6860"/>
          </w:tcPr>
          <w:p>
            <w:pPr>
              <w:spacing w:before="0" w:after="60" w:line="252" w:lineRule="auto"/>
            </w:pPr>
            <w:r>
              <w:rPr>
                <w:sz w:val="19"/>
              </w:rPr>
              <w:t>10 jobs; dispatch p95 ≤30s; API p95 ≤2s at 25 viewers and 100,000 findings</w:t>
            </w:r>
          </w:p>
        </w:tc>
      </w:tr>
      <w:tr>
        <w:trPr>
          <w:cantSplit/>
        </w:trPr>
        <w:tc>
          <w:tcPr>
            <w:tcW w:type="dxa" w:w="2500"/>
          </w:tcPr>
          <w:p>
            <w:pPr>
              <w:spacing w:before="0" w:after="60" w:line="252" w:lineRule="auto"/>
            </w:pPr>
            <w:r>
              <w:rPr>
                <w:sz w:val="19"/>
              </w:rPr>
              <w:t>Pilot reliability</w:t>
            </w:r>
          </w:p>
        </w:tc>
        <w:tc>
          <w:tcPr>
            <w:tcW w:type="dxa" w:w="6860"/>
          </w:tcPr>
          <w:p>
            <w:pPr>
              <w:spacing w:before="0" w:after="60" w:line="252" w:lineRule="auto"/>
            </w:pPr>
            <w:r>
              <w:rPr>
                <w:sz w:val="19"/>
              </w:rPr>
              <w:t>99.5% control-plane availability during defined approved pilot windows</w:t>
            </w:r>
          </w:p>
        </w:tc>
      </w:tr>
    </w:tbl>
    <w:p>
      <w:r>
        <w:t>Add scenarios for DNS rebinding, redirect escape, stale grants, compromised-worker egress, role changes, skipped checks, wrong build, expired exceptions, future-dated intelligence, connection-pool tenant reuse and lost anchor receipts. Record expected and actual results, test version, environment, reviewer and defect disposition.</w:t>
      </w:r>
    </w:p>
    <w:p>
      <w:r>
        <w:t>The assigned-finding invalidation target remains no more than 5%; it needs a defined assignment cohort and observation period and cannot be established by this small synthetic suite. Laboratory detection percentages cannot be generalized to all vulnerabilities or environments. Independent review must assess safety, privacy, recovery, usability and known limitations before pilot readiness.</w:t>
      </w:r>
    </w:p>
    <w:p>
      <w:pPr>
        <w:pStyle w:val="Heading1"/>
        <w:keepNext/>
      </w:pPr>
      <w:r>
        <w:t>11. Delivery sequence and open decisions</w:t>
      </w:r>
    </w:p>
    <w:p>
      <w:pPr>
        <w:pStyle w:val="Heading2"/>
        <w:keepNext/>
      </w:pPr>
      <w:r>
        <w:t>A capacity-matched path</w:t>
      </w:r>
    </w:p>
    <w:p>
      <w:r>
        <w:t>Preserve the 28-week planning scenario at 4.0 engineering FTE plus part-time legal and assurance support. It is not a committed delivery date. Below that capacity, formally rebaseline; v1.3 gives a 44–52-week single-developer planning range. The upgrade’s work is allocated to existing phases, and its effort must be estimated before claiming the original schedule still holds.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3400"/>
        <w:gridCol w:w="2700"/>
        <w:gridCol w:w="3260"/>
      </w:tblGrid>
      <w:tr>
        <w:trPr>
          <w:cantSplit/>
          <w:tblHeader/>
          <w:tblHeader w:val="true"/>
        </w:trPr>
        <w:tc>
          <w:tcPr>
            <w:tcW w:type="dxa" w:w="3400"/>
            <w:shd w:fill="E8EEF5"/>
          </w:tcPr>
          <w:p>
            <w:pPr>
              <w:spacing w:before="0" w:after="60" w:line="252" w:lineRule="auto"/>
            </w:pPr>
            <w:r>
              <w:rPr>
                <w:b/>
                <w:sz w:val="19"/>
              </w:rPr>
              <w:t>Work package</w:t>
            </w:r>
          </w:p>
        </w:tc>
        <w:tc>
          <w:tcPr>
            <w:tcW w:type="dxa" w:w="2700"/>
            <w:shd w:fill="E8EEF5"/>
          </w:tcPr>
          <w:p>
            <w:pPr>
              <w:spacing w:before="0" w:after="60" w:line="252" w:lineRule="auto"/>
            </w:pPr>
            <w:r>
              <w:rPr>
                <w:b/>
                <w:sz w:val="19"/>
              </w:rPr>
              <w:t>Accountable role / phase</w:t>
            </w:r>
          </w:p>
        </w:tc>
        <w:tc>
          <w:tcPr>
            <w:tcW w:type="dxa" w:w="3260"/>
            <w:shd w:fill="E8EEF5"/>
          </w:tcPr>
          <w:p>
            <w:pPr>
              <w:spacing w:before="0" w:after="60" w:line="252" w:lineRule="auto"/>
            </w:pPr>
            <w:r>
              <w:rPr>
                <w:b/>
                <w:sz w:val="19"/>
              </w:rPr>
              <w:t>Exit evidence</w:t>
            </w:r>
          </w:p>
        </w:tc>
      </w:tr>
      <w:tr>
        <w:trPr>
          <w:cantSplit/>
        </w:trPr>
        <w:tc>
          <w:tcPr>
            <w:tcW w:type="dxa" w:w="3400"/>
          </w:tcPr>
          <w:p>
            <w:pPr>
              <w:spacing w:before="0" w:after="60" w:line="252" w:lineRule="auto"/>
            </w:pPr>
            <w:r>
              <w:rPr>
                <w:sz w:val="19"/>
              </w:rPr>
              <w:t>Adopt requirements, select second adapter, appoint reviewers</w:t>
            </w:r>
          </w:p>
        </w:tc>
        <w:tc>
          <w:tcPr>
            <w:tcW w:type="dxa" w:w="2700"/>
          </w:tcPr>
          <w:p>
            <w:pPr>
              <w:spacing w:before="0" w:after="60" w:line="252" w:lineRule="auto"/>
            </w:pPr>
            <w:r>
              <w:rPr>
                <w:sz w:val="19"/>
              </w:rPr>
              <w:t>Project Authority / 0</w:t>
            </w:r>
          </w:p>
        </w:tc>
        <w:tc>
          <w:tcPr>
            <w:tcW w:type="dxa" w:w="3260"/>
          </w:tcPr>
          <w:p>
            <w:pPr>
              <w:spacing w:before="0" w:after="60" w:line="252" w:lineRule="auto"/>
            </w:pPr>
            <w:r>
              <w:rPr>
                <w:sz w:val="19"/>
              </w:rPr>
              <w:t>Combined PM Gate 2 / G1 decision</w:t>
            </w:r>
          </w:p>
        </w:tc>
      </w:tr>
      <w:tr>
        <w:trPr>
          <w:cantSplit/>
        </w:trPr>
        <w:tc>
          <w:tcPr>
            <w:tcW w:type="dxa" w:w="3400"/>
          </w:tcPr>
          <w:p>
            <w:pPr>
              <w:spacing w:before="0" w:after="60" w:line="252" w:lineRule="auto"/>
            </w:pPr>
            <w:r>
              <w:rPr>
                <w:sz w:val="19"/>
              </w:rPr>
              <w:t>Identity, scope, RLS, audit, egress and stop foundation</w:t>
            </w:r>
          </w:p>
        </w:tc>
        <w:tc>
          <w:tcPr>
            <w:tcW w:type="dxa" w:w="2700"/>
          </w:tcPr>
          <w:p>
            <w:pPr>
              <w:spacing w:before="0" w:after="60" w:line="252" w:lineRule="auto"/>
            </w:pPr>
            <w:r>
              <w:rPr>
                <w:sz w:val="19"/>
              </w:rPr>
              <w:t>Platform lead / 1</w:t>
            </w:r>
          </w:p>
        </w:tc>
        <w:tc>
          <w:tcPr>
            <w:tcW w:type="dxa" w:w="3260"/>
          </w:tcPr>
          <w:p>
            <w:pPr>
              <w:spacing w:before="0" w:after="60" w:line="252" w:lineRule="auto"/>
            </w:pPr>
            <w:r>
              <w:rPr>
                <w:sz w:val="19"/>
              </w:rPr>
              <w:t>Gate 3 / G2 readiness pack and control tests</w:t>
            </w:r>
          </w:p>
        </w:tc>
      </w:tr>
      <w:tr>
        <w:trPr>
          <w:cantSplit/>
        </w:trPr>
        <w:tc>
          <w:tcPr>
            <w:tcW w:type="dxa" w:w="3400"/>
          </w:tcPr>
          <w:p>
            <w:pPr>
              <w:spacing w:before="0" w:after="60" w:line="252" w:lineRule="auto"/>
            </w:pPr>
            <w:r>
              <w:rPr>
                <w:sz w:val="19"/>
              </w:rPr>
              <w:t>ZAP plus selected software adapter and manifests</w:t>
            </w:r>
          </w:p>
        </w:tc>
        <w:tc>
          <w:tcPr>
            <w:tcW w:type="dxa" w:w="2700"/>
          </w:tcPr>
          <w:p>
            <w:pPr>
              <w:spacing w:before="0" w:after="60" w:line="252" w:lineRule="auto"/>
            </w:pPr>
            <w:r>
              <w:rPr>
                <w:sz w:val="19"/>
              </w:rPr>
              <w:t>Integration lead / 2</w:t>
            </w:r>
          </w:p>
        </w:tc>
        <w:tc>
          <w:tcPr>
            <w:tcW w:type="dxa" w:w="3260"/>
          </w:tcPr>
          <w:p>
            <w:pPr>
              <w:spacing w:before="0" w:after="60" w:line="252" w:lineRule="auto"/>
            </w:pPr>
            <w:r>
              <w:rPr>
                <w:sz w:val="19"/>
              </w:rPr>
              <w:t>G3 build evidence and seeded benchmarks</w:t>
            </w:r>
          </w:p>
        </w:tc>
      </w:tr>
      <w:tr>
        <w:trPr>
          <w:cantSplit/>
        </w:trPr>
        <w:tc>
          <w:tcPr>
            <w:tcW w:type="dxa" w:w="3400"/>
          </w:tcPr>
          <w:p>
            <w:pPr>
              <w:spacing w:before="0" w:after="60" w:line="252" w:lineRule="auto"/>
            </w:pPr>
            <w:r>
              <w:rPr>
                <w:sz w:val="19"/>
              </w:rPr>
              <w:t>Remediation, exceptions, proof, dashboard and export</w:t>
            </w:r>
          </w:p>
        </w:tc>
        <w:tc>
          <w:tcPr>
            <w:tcW w:type="dxa" w:w="2700"/>
          </w:tcPr>
          <w:p>
            <w:pPr>
              <w:spacing w:before="0" w:after="60" w:line="252" w:lineRule="auto"/>
            </w:pPr>
            <w:r>
              <w:rPr>
                <w:sz w:val="19"/>
              </w:rPr>
              <w:t>Product/backend leads / 3</w:t>
            </w:r>
          </w:p>
        </w:tc>
        <w:tc>
          <w:tcPr>
            <w:tcW w:type="dxa" w:w="3260"/>
          </w:tcPr>
          <w:p>
            <w:pPr>
              <w:spacing w:before="0" w:after="60" w:line="252" w:lineRule="auto"/>
            </w:pPr>
            <w:r>
              <w:rPr>
                <w:sz w:val="19"/>
              </w:rPr>
              <w:t>End-to-end acceptance evidence</w:t>
            </w:r>
          </w:p>
        </w:tc>
      </w:tr>
      <w:tr>
        <w:trPr>
          <w:cantSplit/>
        </w:trPr>
        <w:tc>
          <w:tcPr>
            <w:tcW w:type="dxa" w:w="3400"/>
          </w:tcPr>
          <w:p>
            <w:pPr>
              <w:spacing w:before="0" w:after="60" w:line="252" w:lineRule="auto"/>
            </w:pPr>
            <w:r>
              <w:rPr>
                <w:sz w:val="19"/>
              </w:rPr>
              <w:t>Security, recovery, load and incident exercises</w:t>
            </w:r>
          </w:p>
        </w:tc>
        <w:tc>
          <w:tcPr>
            <w:tcW w:type="dxa" w:w="2700"/>
          </w:tcPr>
          <w:p>
            <w:pPr>
              <w:spacing w:before="0" w:after="60" w:line="252" w:lineRule="auto"/>
            </w:pPr>
            <w:r>
              <w:rPr>
                <w:sz w:val="19"/>
              </w:rPr>
              <w:t>QA and independent reviewer / 4</w:t>
            </w:r>
          </w:p>
        </w:tc>
        <w:tc>
          <w:tcPr>
            <w:tcW w:type="dxa" w:w="3260"/>
          </w:tcPr>
          <w:p>
            <w:pPr>
              <w:spacing w:before="0" w:after="60" w:line="252" w:lineRule="auto"/>
            </w:pPr>
            <w:r>
              <w:rPr>
                <w:sz w:val="19"/>
              </w:rPr>
              <w:t>Combined PM Gate 4 / G4 decision</w:t>
            </w:r>
          </w:p>
        </w:tc>
      </w:tr>
      <w:tr>
        <w:trPr>
          <w:cantSplit/>
        </w:trPr>
        <w:tc>
          <w:tcPr>
            <w:tcW w:type="dxa" w:w="3400"/>
          </w:tcPr>
          <w:p>
            <w:pPr>
              <w:spacing w:before="0" w:after="60" w:line="252" w:lineRule="auto"/>
            </w:pPr>
            <w:r>
              <w:rPr>
                <w:sz w:val="19"/>
              </w:rPr>
              <w:t>Handover, closure and benefit validation</w:t>
            </w:r>
          </w:p>
        </w:tc>
        <w:tc>
          <w:tcPr>
            <w:tcW w:type="dxa" w:w="2700"/>
          </w:tcPr>
          <w:p>
            <w:pPr>
              <w:spacing w:before="0" w:after="60" w:line="252" w:lineRule="auto"/>
            </w:pPr>
            <w:r>
              <w:rPr>
                <w:sz w:val="19"/>
              </w:rPr>
              <w:t>Service owner / post-pilot</w:t>
            </w:r>
          </w:p>
        </w:tc>
        <w:tc>
          <w:tcPr>
            <w:tcW w:type="dxa" w:w="3260"/>
          </w:tcPr>
          <w:p>
            <w:pPr>
              <w:spacing w:before="0" w:after="60" w:line="252" w:lineRule="auto"/>
            </w:pPr>
            <w:r>
              <w:rPr>
                <w:sz w:val="19"/>
              </w:rPr>
              <w:t>PM Gate 6 with G5/G6; PM Gate 7 benefits</w:t>
            </w:r>
          </w:p>
        </w:tc>
      </w:tr>
    </w:tbl>
    <w:p>
      <w:pPr>
        <w:pStyle w:val="Heading2"/>
        <w:keepNext/>
      </w:pPr>
      <w:r>
        <w:t>Decisions still requiring named authority</w:t>
      </w:r>
    </w:p>
    <w:p>
      <w:r>
        <w:t>Record sponsor, project manager, acceptance authority, independent reviewer, team allocations and schedule of record. Confirm Class A / Software Class 3 and apply Class 4 escalation when the baseline conditions arise. Obtain Executive Authority’s time-bound compensating-assurance approval only if normal separation is genuinely unavailable.</w:t>
      </w:r>
    </w:p>
    <w:p>
      <w:r>
        <w:t>Approve the Seal privacy assessment, data inventory and disposal map before real personal data or external evidence. Record counsel engagement and the owned regulatory workstream; complete the four baseline Ghana determinations before any external assessment. Retain a distinct funded assurance line for QA, security, privacy, accessibility, recovery, legal and independent review.</w:t>
      </w:r>
    </w:p>
    <w:p>
      <w:r>
        <w:t>Confirm Trivy versus Semgrep, the egress enforcement mechanism, external sink and key ownership, threat-data source/freshness policy, priority thresholds and remediation deadlines. PM Gate 5 remains recurring at every phase when risk, scope, capacity or tolerances change. This document does not enter names or signatures for authorities who have not acted.</w:t>
      </w:r>
    </w:p>
    <w:p>
      <w:pPr>
        <w:pStyle w:val="Heading1"/>
        <w:keepNext/>
      </w:pPr>
      <w:r>
        <w:t>12. Validation package and source register</w:t>
      </w:r>
    </w:p>
    <w:p>
      <w:pPr>
        <w:pStyle w:val="Heading2"/>
        <w:keepNext/>
      </w:pPr>
      <w:r>
        <w:t>Run and inspect</w:t>
      </w:r>
    </w:p>
    <w:p>
      <w:r>
        <w:t>Extract the ZIP and open the seal_upgrade directory. With Python 3.10 or newer, run python3 -m unittest discover -s tests -v, then python3 demo.py. On Windows, use py -3. No dependency installation, credentials or Internet access is needed. The demo shows an incomplete scan staying pending, complete synthetic proof closing, and later recurrence reopening.</w:t>
      </w:r>
    </w:p>
    <w:p>
      <w:r>
        <w:t>The package includes source code, tests, this specification in Markdown, a traceability CSV, captured test/demo output, the approved-source identity and SHA-256 checksums. The chain demonstration validates against a separate in-memory checkpoint; it does not authenticate that checkpoint or implement external anchoring. Supplied approval and proof booleans are test inputs, not trusted production evidence.</w:t>
      </w:r>
    </w:p>
    <w:p>
      <w:pPr>
        <w:pStyle w:val="Heading2"/>
        <w:keepNext/>
      </w:pPr>
      <w:r>
        <w:t>Source register</w:t>
      </w:r>
    </w:p>
    <w:p>
      <w:r>
        <w:t>[R1] Seal Project Concept Document v1.3, 4 September 2026, sections 4–17 and Appendices A–C. Primary controlled source, read in full. Owner: Freston Kenny Adedeme. Governing framework and legal obligations in this proposal are carried from R1; no separate legal approval is asserted.</w:t>
      </w:r>
    </w:p>
    <w:p>
      <w:r>
        <w:t>[R2] OWASP, Server-Side Request Forgery Prevention Cheat Sheet. Application/network controls and redirect handling. https://cheatsheetseries.owasp.org/cheatsheets/Server_Side_Request_Forgery_Prevention_Cheat_Sheet.html</w:t>
      </w:r>
    </w:p>
    <w:p>
      <w:r>
        <w:t>[R3] ZAP, passiveScan-wait and exitStatus jobs. https://www.zaproxy.org/docs/desktop/addons/automation-framework/job-pscanwait/ and https://www.zaproxy.org/docs/desktop/addons/automation-framework/job-exitstatus/</w:t>
      </w:r>
    </w:p>
    <w:p>
      <w:r>
        <w:t>[R4] FIRST, CVSS v4.0 Specification. https://www.first.org/cvss/v4.0/specification-document</w:t>
      </w:r>
    </w:p>
    <w:p>
      <w:r>
        <w:t>[R5] FIRST, EPSS FAQ and Using EPSS. https://www.first.org/epss/faq and https://www.first.org/epss/using-epss</w:t>
      </w:r>
    </w:p>
    <w:p>
      <w:r>
        <w:t>[R6] PostgreSQL, Row Security Policies. https://www.postgresql.org/docs/current/ddl-rowsecurity.html</w:t>
      </w:r>
    </w:p>
    <w:p>
      <w:r>
        <w:t>[R7] Trivy, Vulnerability Scanner documentation. https://trivy.dev/docs/latest/scanner/vulnerability/</w:t>
      </w:r>
    </w:p>
    <w:p>
      <w:r>
        <w:t>Public technical sources checked 5 September 2026. Proposed policies, thresholds and architecture extensions are engineering judgments for review. The next controlled action is independent review of the integrated v1.5 requirements and closure of the existing Phase 0 decisions, followed by the authorized implementation sequence. This revision changes documents only; the separate validation ZIP, PRD and source code are not updated or revalidated here.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Controlled Phase 0 • 7 September 2026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SEAL  |  ENGINEERING SPECIFICATION  |  v1.5 INTEGRATED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8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color w:val="526271"/>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color w:val="526271"/>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6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80"/>
    </w:pPr>
    <w:rPr>
      <w:rFonts w:asciiTheme="majorHAnsi" w:eastAsiaTheme="majorEastAsia" w:hAnsiTheme="majorHAnsi" w:cstheme="majorBidi" w:ascii="Calibri" w:hAnsi="Calibri"/>
      <w:i/>
      <w:iCs/>
      <w:color w:val="52627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 — Integrated Engineering Specification v1.5</dc:title>
  <dc:subject>Engineering contracts incorporated into Seal integrated baseline v1.5</dc:subject>
  <dc:creator>Freston Kenny Adedeme</dc:creator>
  <cp:keywords>Seal, Phase 0, incorporated requirements, security, verification</cp:keywords>
  <dc:description>Owner-directed integration dated 7 September 2026. Institutional and operational gate evidence remains separate.</dc:description>
  <cp:lastModifiedBy/>
  <cp:revision>1</cp:revision>
  <dcterms:created xsi:type="dcterms:W3CDTF">2013-12-23T23:15:00Z</dcterms:created>
  <dcterms:modified xsi:type="dcterms:W3CDTF">2013-12-23T23:15:00Z</dcterms:modified>
  <cp:category/>
</cp:coreProperties>
</file>