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 w:after="200"/>
        <w:jc w:val="center"/>
      </w:pPr>
      <w:r>
        <w:drawing>
          <wp:inline xmlns:a="http://schemas.openxmlformats.org/drawingml/2006/main" xmlns:pic="http://schemas.openxmlformats.org/drawingml/2006/picture">
            <wp:extent cx="1051560" cy="1051560"/>
            <wp:docPr id="1" name="Picture 1" title="Seal project mark" descr="A stylized seal inside a circular shield, representing the Seal defensive security platform."/>
            <wp:cNvGraphicFramePr>
              <a:graphicFrameLocks noChangeAspect="1"/>
            </wp:cNvGraphicFramePr>
            <a:graphic>
              <a:graphicData uri="http://schemas.openxmlformats.org/drawingml/2006/picture">
                <pic:pic>
                  <pic:nvPicPr>
                    <pic:cNvPr id="0" name="seal_mark.png"/>
                    <pic:cNvPicPr/>
                  </pic:nvPicPr>
                  <pic:blipFill>
                    <a:blip r:embed="rId12"/>
                    <a:stretch>
                      <a:fillRect/>
                    </a:stretch>
                  </pic:blipFill>
                  <pic:spPr>
                    <a:xfrm>
                      <a:off x="0" y="0"/>
                      <a:ext cx="1051560" cy="1051560"/>
                    </a:xfrm>
                    <a:prstGeom prst="rect"/>
                  </pic:spPr>
                </pic:pic>
              </a:graphicData>
            </a:graphic>
          </wp:inline>
        </w:drawing>
      </w:r>
    </w:p>
    <w:p>
      <w:pPr>
        <w:spacing w:after="140"/>
        <w:jc w:val="center"/>
      </w:pPr>
      <w:r>
        <w:rPr>
          <w:rFonts w:ascii="Calibri" w:hAnsi="Calibri" w:eastAsia="Calibri"/>
          <w:b/>
          <w:color w:val="1C7C83"/>
          <w:sz w:val="21"/>
        </w:rPr>
        <w:t>INTEGRATED CONCEPT AND IMPLEMENTATION BASELINE</w:t>
      </w:r>
    </w:p>
    <w:p>
      <w:pPr>
        <w:spacing w:after="120"/>
        <w:jc w:val="center"/>
      </w:pPr>
      <w:r>
        <w:rPr>
          <w:rFonts w:ascii="Calibri" w:hAnsi="Calibri" w:eastAsia="Calibri"/>
          <w:b/>
          <w:color w:val="0B2545"/>
          <w:sz w:val="62"/>
        </w:rPr>
        <w:t xml:space="preserve">Seal </w:t>
      </w:r>
      <w:r>
        <w:drawing>
          <wp:inline xmlns:a="http://schemas.openxmlformats.org/drawingml/2006/main" xmlns:pic="http://schemas.openxmlformats.org/drawingml/2006/picture">
            <wp:extent cx="384048" cy="384048"/>
            <wp:docPr id="2" name="Picture 2" title="Seal icon" descr="Small seal project icon completing the project name Seal."/>
            <wp:cNvGraphicFramePr>
              <a:graphicFrameLocks noChangeAspect="1"/>
            </wp:cNvGraphicFramePr>
            <a:graphic>
              <a:graphicData uri="http://schemas.openxmlformats.org/drawingml/2006/picture">
                <pic:pic>
                  <pic:nvPicPr>
                    <pic:cNvPr id="0" name="seal_mark.png"/>
                    <pic:cNvPicPr/>
                  </pic:nvPicPr>
                  <pic:blipFill>
                    <a:blip r:embed="rId12"/>
                    <a:stretch>
                      <a:fillRect/>
                    </a:stretch>
                  </pic:blipFill>
                  <pic:spPr>
                    <a:xfrm>
                      <a:off x="0" y="0"/>
                      <a:ext cx="384048" cy="384048"/>
                    </a:xfrm>
                    <a:prstGeom prst="rect"/>
                  </pic:spPr>
                </pic:pic>
              </a:graphicData>
            </a:graphic>
          </wp:inline>
        </w:drawing>
      </w:r>
    </w:p>
    <w:p>
      <w:pPr>
        <w:spacing w:after="120"/>
        <w:jc w:val="center"/>
      </w:pPr>
      <w:r>
        <w:rPr>
          <w:rFonts w:ascii="Calibri" w:hAnsi="Calibri" w:eastAsia="Calibri"/>
          <w:b/>
          <w:color w:val="1F4D78"/>
          <w:sz w:val="29"/>
        </w:rPr>
        <w:t>Authorized Vulnerability Discovery, Remediation and Verification Platform</w:t>
      </w:r>
    </w:p>
    <w:p>
      <w:pPr>
        <w:spacing w:after="440"/>
        <w:jc w:val="center"/>
      </w:pPr>
      <w:r>
        <w:rPr>
          <w:rFonts w:ascii="Calibri" w:hAnsi="Calibri" w:eastAsia="Calibri"/>
          <w:i/>
          <w:color w:val="4B5563"/>
          <w:sz w:val="23"/>
        </w:rPr>
        <w:t>Find the crack. Close the weakness. Prove it is sealed.</w:t>
      </w:r>
    </w:p>
    <w:tbl>
      <w:tblPr>
        <w:tblStyle w:val="TableGrid"/>
        <w:jc w:val="left"/>
        <w:tblLook w:firstColumn="1" w:firstRow="1" w:lastColumn="0" w:lastRow="0" w:noHBand="0" w:noVBand="1" w:val="04A0"/>
        <w:tblW w:w="9360" w:type="dxa"/>
        <w:tblInd w:w="120" w:type="dxa"/>
        <w:tblLayout w:type="fixed"/>
      </w:tblPr>
      <w:tblGrid>
        <w:gridCol w:w="4680"/>
        <w:gridCol w:w="4680"/>
      </w:tblGrid>
      <w:tr>
        <w:trPr>
          <w:cantSplit/>
          <w:tblHeader w:val="true"/>
        </w:trPr>
        <w:tc>
          <w:tcPr>
            <w:tcW w:type="dxa" w:w="4680"/>
            <w:vAlign w:val="center"/>
            <w:tcMar>
              <w:top w:w="100" w:type="dxa"/>
              <w:start w:w="120" w:type="dxa"/>
              <w:bottom w:w="100" w:type="dxa"/>
              <w:end w:w="120" w:type="dxa"/>
            </w:tcMar>
            <w:shd w:fill="F4F6F9"/>
          </w:tcPr>
          <w:p>
            <w:pPr>
              <w:spacing w:after="0"/>
              <w:jc w:val="left"/>
            </w:pPr>
            <w:r>
              <w:rPr>
                <w:rFonts w:ascii="Calibri" w:hAnsi="Calibri" w:eastAsia="Calibri"/>
                <w:b/>
                <w:color w:val="1C7C83"/>
                <w:sz w:val="17"/>
              </w:rPr>
              <w:t>Concept owner</w:t>
              <w:br/>
            </w:r>
            <w:r>
              <w:rPr>
                <w:rFonts w:ascii="Calibri" w:hAnsi="Calibri" w:eastAsia="Calibri"/>
                <w:b/>
                <w:color w:val="0B2545"/>
                <w:sz w:val="20"/>
              </w:rPr>
              <w:t>Freston Kenny Adedeme</w:t>
            </w:r>
          </w:p>
        </w:tc>
        <w:tc>
          <w:tcPr>
            <w:tcW w:type="dxa" w:w="4680"/>
            <w:vAlign w:val="center"/>
            <w:tcMar>
              <w:top w:w="100" w:type="dxa"/>
              <w:start w:w="120" w:type="dxa"/>
              <w:bottom w:w="100" w:type="dxa"/>
              <w:end w:w="120" w:type="dxa"/>
            </w:tcMar>
            <w:shd w:fill="F4F6F9"/>
          </w:tcPr>
          <w:p>
            <w:pPr>
              <w:spacing w:after="0"/>
              <w:jc w:val="left"/>
            </w:pPr>
            <w:r>
              <w:rPr>
                <w:rFonts w:ascii="Calibri" w:hAnsi="Calibri" w:eastAsia="Calibri"/>
                <w:b/>
                <w:color w:val="1C7C83"/>
                <w:sz w:val="17"/>
              </w:rPr>
              <w:t>Version</w:t>
              <w:br/>
            </w:r>
            <w:r>
              <w:rPr>
                <w:rFonts w:ascii="Calibri" w:hAnsi="Calibri" w:eastAsia="Calibri"/>
                <w:b/>
                <w:color w:val="0B2545"/>
                <w:sz w:val="20"/>
              </w:rPr>
              <w:t>1.6</w:t>
            </w:r>
          </w:p>
        </w:tc>
      </w:tr>
      <w:tr>
        <w:trPr>
          <w:cantSplit/>
        </w:trPr>
        <w:tc>
          <w:tcPr>
            <w:tcW w:type="dxa" w:w="4680"/>
            <w:vAlign w:val="center"/>
            <w:tcMar>
              <w:top w:w="100" w:type="dxa"/>
              <w:start w:w="120" w:type="dxa"/>
              <w:bottom w:w="100" w:type="dxa"/>
              <w:end w:w="120" w:type="dxa"/>
            </w:tcMar>
            <w:shd w:fill="FFFFFF"/>
          </w:tcPr>
          <w:p>
            <w:pPr>
              <w:spacing w:after="0"/>
              <w:jc w:val="left"/>
            </w:pPr>
            <w:r>
              <w:rPr>
                <w:rFonts w:ascii="Calibri" w:hAnsi="Calibri" w:eastAsia="Calibri"/>
                <w:b/>
                <w:color w:val="1C7C83"/>
                <w:sz w:val="17"/>
              </w:rPr>
              <w:t>Status</w:t>
              <w:br/>
            </w:r>
            <w:r>
              <w:rPr>
                <w:rFonts w:ascii="Calibri" w:hAnsi="Calibri" w:eastAsia="Calibri"/>
                <w:b/>
                <w:color w:val="0B2545"/>
                <w:sz w:val="20"/>
              </w:rPr>
              <w:t>Approved for controlled Phase 0 preparation</w:t>
            </w:r>
          </w:p>
        </w:tc>
        <w:tc>
          <w:tcPr>
            <w:tcW w:type="dxa" w:w="4680"/>
            <w:vAlign w:val="center"/>
            <w:tcMar>
              <w:top w:w="100" w:type="dxa"/>
              <w:start w:w="120" w:type="dxa"/>
              <w:bottom w:w="100" w:type="dxa"/>
              <w:end w:w="120" w:type="dxa"/>
            </w:tcMar>
            <w:shd w:fill="FFFFFF"/>
          </w:tcPr>
          <w:p>
            <w:pPr>
              <w:spacing w:after="0"/>
              <w:jc w:val="left"/>
            </w:pPr>
            <w:r>
              <w:rPr>
                <w:rFonts w:ascii="Calibri" w:hAnsi="Calibri" w:eastAsia="Calibri"/>
                <w:b/>
                <w:color w:val="1C7C83"/>
                <w:sz w:val="17"/>
              </w:rPr>
              <w:t>Issue date</w:t>
              <w:br/>
            </w:r>
            <w:r>
              <w:rPr>
                <w:rFonts w:ascii="Calibri" w:hAnsi="Calibri" w:eastAsia="Calibri"/>
                <w:b/>
                <w:color w:val="0B2545"/>
                <w:sz w:val="20"/>
              </w:rPr>
              <w:t>7 September 2026</w:t>
            </w:r>
          </w:p>
        </w:tc>
      </w:tr>
    </w:tbl>
    <w:p/>
    <w:tbl>
      <w:tblPr>
        <w:tblStyle w:val="TableGrid"/>
        <w:jc w:val="left"/>
        <w:tblLook w:firstColumn="1" w:firstRow="1" w:lastColumn="0" w:lastRow="0" w:noHBand="0" w:noVBand="1" w:val="04A0"/>
        <w:tblW w:w="9360" w:type="dxa"/>
        <w:tblInd w:w="180" w:type="dxa"/>
        <w:tblLayout w:type="fixed"/>
      </w:tblPr>
      <w:tblGrid>
        <w:gridCol w:w="9360"/>
      </w:tblGrid>
      <w:tr>
        <w:trPr>
          <w:cantSplit/>
        </w:trPr>
        <w:tc>
          <w:tcPr>
            <w:tcW w:type="dxa" w:w="9360"/>
            <w:vAlign w:val="center"/>
            <w:tcMar>
              <w:top w:w="150" w:type="dxa"/>
              <w:start w:w="180" w:type="dxa"/>
              <w:bottom w:w="150" w:type="dxa"/>
              <w:end w:w="180" w:type="dxa"/>
            </w:tcMar>
            <w:shd w:fill="EAF4F4"/>
          </w:tcPr>
          <w:p>
            <w:pPr>
              <w:keepLines/>
              <w:spacing w:after="0" w:line="288" w:lineRule="auto"/>
            </w:pPr>
            <w:r>
              <w:rPr>
                <w:rFonts w:ascii="Calibri" w:hAnsi="Calibri" w:eastAsia="Calibri"/>
                <w:b/>
                <w:color w:val="1C7C83"/>
                <w:sz w:val="21"/>
              </w:rPr>
              <w:t xml:space="preserve">Core promise: </w:t>
            </w:r>
            <w:r>
              <w:rPr>
                <w:rFonts w:ascii="Calibri" w:hAnsi="Calibri" w:eastAsia="Calibri"/>
                <w:color w:val="111827"/>
                <w:sz w:val="21"/>
              </w:rPr>
              <w:t>Seal turns vulnerability discovery into accountable closure. It records permission, gathers defensible evidence, guides remediation and requires verification before a finding is closed.</w:t>
            </w:r>
          </w:p>
        </w:tc>
      </w:tr>
    </w:tbl>
    <w:p>
      <w:pPr>
        <w:spacing w:after="40"/>
      </w:pPr>
    </w:p>
    <w:p>
      <w:r>
        <w:br w:type="page"/>
      </w:r>
    </w:p>
    <w:p>
      <w:pPr>
        <w:pStyle w:val="Heading1"/>
        <w:keepNext/>
        <w:keepLines/>
      </w:pPr>
      <w:r>
        <w:t>Document control</w:t>
      </w:r>
    </w:p>
    <w:tbl>
      <w:tblPr>
        <w:tblStyle w:val="TableGrid"/>
        <w:jc w:val="left"/>
        <w:tblLook w:firstColumn="1" w:firstRow="1" w:lastColumn="0" w:lastRow="0" w:noHBand="0" w:noVBand="1" w:val="04A0"/>
        <w:tblW w:w="9360" w:type="dxa"/>
        <w:tblInd w:w="120" w:type="dxa"/>
        <w:tblLayout w:type="fixed"/>
      </w:tblPr>
      <w:tblGrid>
        <w:gridCol w:w="2700"/>
        <w:gridCol w:w="6660"/>
      </w:tblGrid>
      <w:tr>
        <w:trPr>
          <w:cantSplit/>
          <w:tblHeader w:val="true"/>
          <w:tblHeader w:val="true"/>
        </w:trPr>
        <w:tc>
          <w:tcPr>
            <w:tcW w:type="dxa" w:w="2700"/>
            <w:vAlign w:val="center"/>
            <w:tcMar>
              <w:top w:w="100" w:type="dxa"/>
              <w:start w:w="120" w:type="dxa"/>
              <w:bottom w:w="100" w:type="dxa"/>
              <w:end w:w="120" w:type="dxa"/>
            </w:tcMar>
            <w:shd w:fill="F4F6F9"/>
          </w:tcPr>
          <w:p>
            <w:pPr>
              <w:keepLines/>
              <w:spacing w:before="0" w:after="40" w:line="264" w:lineRule="auto"/>
              <w:jc w:val="center"/>
            </w:pPr>
            <w:r>
              <w:rPr>
                <w:rFonts w:ascii="Calibri" w:hAnsi="Calibri" w:eastAsia="Calibri"/>
                <w:b/>
                <w:color w:val="0B2545"/>
                <w:sz w:val="19"/>
              </w:rPr>
              <w:t>Field</w:t>
            </w:r>
          </w:p>
        </w:tc>
        <w:tc>
          <w:tcPr>
            <w:tcW w:type="dxa" w:w="6660"/>
            <w:vAlign w:val="center"/>
            <w:tcMar>
              <w:top w:w="100" w:type="dxa"/>
              <w:start w:w="120" w:type="dxa"/>
              <w:bottom w:w="100" w:type="dxa"/>
              <w:end w:w="120" w:type="dxa"/>
            </w:tcMar>
            <w:shd w:fill="F4F6F9"/>
          </w:tcPr>
          <w:p>
            <w:pPr>
              <w:keepLines/>
              <w:spacing w:before="0" w:after="40" w:line="264" w:lineRule="auto"/>
              <w:jc w:val="center"/>
            </w:pPr>
            <w:r>
              <w:rPr>
                <w:rFonts w:ascii="Calibri" w:hAnsi="Calibri" w:eastAsia="Calibri"/>
                <w:b/>
                <w:color w:val="0B2545"/>
                <w:sz w:val="19"/>
              </w:rPr>
              <w:t>Value</w:t>
            </w:r>
          </w:p>
        </w:tc>
      </w:tr>
      <w:tr>
        <w:trPr>
          <w:cantSplit/>
        </w:trPr>
        <w:tc>
          <w:tcPr>
            <w:tcW w:type="dxa" w:w="27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Document title</w:t>
            </w:r>
          </w:p>
        </w:tc>
        <w:tc>
          <w:tcPr>
            <w:tcW w:type="dxa" w:w="66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Seal: Integrated Concept and Implementation Baseline</w:t>
            </w:r>
          </w:p>
        </w:tc>
      </w:tr>
      <w:tr>
        <w:trPr>
          <w:cantSplit/>
        </w:trPr>
        <w:tc>
          <w:tcPr>
            <w:tcW w:type="dxa" w:w="27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Purpose</w:t>
            </w:r>
          </w:p>
        </w:tc>
        <w:tc>
          <w:tcPr>
            <w:tcW w:type="dxa" w:w="66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Define the proposed product, safeguards, architecture, Phase 0 gates and realistic implementation path.</w:t>
            </w:r>
          </w:p>
        </w:tc>
      </w:tr>
      <w:tr>
        <w:trPr>
          <w:cantSplit/>
        </w:trPr>
        <w:tc>
          <w:tcPr>
            <w:tcW w:type="dxa" w:w="27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Intended audience</w:t>
            </w:r>
          </w:p>
        </w:tc>
        <w:tc>
          <w:tcPr>
            <w:tcW w:type="dxa" w:w="66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Project owner, supervisors, developers, security reviewers and approved pilot organizations.</w:t>
            </w:r>
          </w:p>
        </w:tc>
      </w:tr>
      <w:tr>
        <w:trPr>
          <w:cantSplit/>
        </w:trPr>
        <w:tc>
          <w:tcPr>
            <w:tcW w:type="dxa" w:w="27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Institutional classification</w:t>
            </w:r>
          </w:p>
        </w:tc>
        <w:tc>
          <w:tcPr>
            <w:tcW w:type="dxa" w:w="66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Project Class A - Strategic / High Risk; Software Class 3 - High for the laboratory and MVP programme. Reclassify to Software Class 4 before safety-significant, critical-infrastructure, mission-critical or large-scale restricted-data use.</w:t>
            </w:r>
          </w:p>
        </w:tc>
      </w:tr>
      <w:tr>
        <w:trPr>
          <w:cantSplit/>
        </w:trPr>
        <w:tc>
          <w:tcPr>
            <w:tcW w:type="dxa" w:w="27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Governing frameworks</w:t>
            </w:r>
          </w:p>
        </w:tc>
        <w:tc>
          <w:tcPr>
            <w:tcW w:type="dxa" w:w="66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KenAddme IT Links Project Management Framework v1.0 and Software Development and Engineering Framework v1.1; both approved 2 September 2026 and effective 31 October 2026. Seal adopts their Class A / Class 3 controls immediately.</w:t>
            </w:r>
          </w:p>
        </w:tc>
      </w:tr>
      <w:tr>
        <w:trPr>
          <w:cantSplit/>
        </w:trPr>
        <w:tc>
          <w:tcPr>
            <w:tcW w:type="dxa" w:w="27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Approval state</w:t>
            </w:r>
          </w:p>
        </w:tc>
        <w:tc>
          <w:tcPr>
            <w:tcW w:type="dxa" w:w="66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Approved by the concept owner for controlled Phase 0 preparation only. Formal Project Authority Gate 2 / software G1 baseline authorization, named independent review and the other stated Phase 0 conditions remain mandatory before Phase 0 exit. External-system assessment and production use remain prohibited.</w:t>
            </w:r>
          </w:p>
        </w:tc>
      </w:tr>
    </w:tbl>
    <w:p>
      <w:pPr>
        <w:spacing w:before="0" w:after="80"/>
      </w:pPr>
    </w:p>
    <w:p>
      <w:pPr/>
      <w:r>
        <w:t>Adoption and amendment record: the owner adopted v1.3 on 5 September 2026 and subsequently directed this integration. Version 1.6 incorporates the v1.4 upgrade and stage plan for controlled Phase 0 preparation. It supersedes v1.3 as the working document, not its historical approval evidence. No independent review, institutional signature, staffing commitment, legal determination or release result is fabricated by this amendment. Formal PM Gate 2/software G1 and later decisions remain due.</w:t>
      </w:r>
    </w:p>
    <w:p>
      <w:pPr>
        <w:pStyle w:val="Heading1"/>
        <w:keepNext/>
        <w:keepLines/>
      </w:pPr>
      <w:r>
        <w:t>Revision history</w:t>
      </w:r>
    </w:p>
    <w:tbl>
      <w:tblPr>
        <w:tblStyle w:val="TableGrid"/>
        <w:tblLook w:firstColumn="1" w:firstRow="1" w:lastColumn="0" w:lastRow="0" w:noHBand="0" w:noVBand="1" w:val="04A0"/>
        <w:jc w:val="left"/>
        <w:tblW w:w="9360" w:type="dxa"/>
        <w:tblInd w:w="120" w:type="dxa"/>
        <w:tblLayout w:type="fixed"/>
      </w:tblPr>
      <w:tblGrid>
        <w:gridCol w:w="1100"/>
        <w:gridCol w:w="1500"/>
        <w:gridCol w:w="2200"/>
        <w:gridCol w:w="4560"/>
      </w:tblGrid>
      <w:tr>
        <w:trPr>
          <w:cantSplit/>
          <w:tblHeader w:val="true"/>
          <w:cantSplit/>
          <w:tblHeader w:val="true"/>
        </w:trPr>
        <w:tc>
          <w:tcPr>
            <w:tcW w:type="dxa" w:w="1100"/>
            <w:vAlign w:val="center"/>
            <w:tcMar>
              <w:top w:w="100" w:type="dxa"/>
              <w:start w:w="120" w:type="dxa"/>
              <w:bottom w:w="100" w:type="dxa"/>
              <w:end w:w="120" w:type="dxa"/>
            </w:tcMar>
            <w:shd w:fill="F4F6F9"/>
          </w:tcPr>
          <w:p>
            <w:pPr>
              <w:keepLines/>
              <w:spacing w:before="0" w:after="40" w:line="264" w:lineRule="auto"/>
              <w:jc w:val="center"/>
            </w:pPr>
            <w:r>
              <w:rPr>
                <w:rFonts w:ascii="Calibri" w:hAnsi="Calibri" w:eastAsia="Calibri"/>
                <w:b/>
                <w:color w:val="0B2545"/>
                <w:sz w:val="19"/>
              </w:rPr>
              <w:t>Version</w:t>
            </w:r>
          </w:p>
        </w:tc>
        <w:tc>
          <w:tcPr>
            <w:tcW w:type="dxa" w:w="1500"/>
            <w:vAlign w:val="center"/>
            <w:tcMar>
              <w:top w:w="100" w:type="dxa"/>
              <w:start w:w="120" w:type="dxa"/>
              <w:bottom w:w="100" w:type="dxa"/>
              <w:end w:w="120" w:type="dxa"/>
            </w:tcMar>
            <w:shd w:fill="F4F6F9"/>
          </w:tcPr>
          <w:p>
            <w:pPr>
              <w:keepLines/>
              <w:spacing w:before="0" w:after="40" w:line="264" w:lineRule="auto"/>
              <w:jc w:val="center"/>
            </w:pPr>
            <w:r>
              <w:rPr>
                <w:rFonts w:ascii="Calibri" w:hAnsi="Calibri" w:eastAsia="Calibri"/>
                <w:b/>
                <w:color w:val="0B2545"/>
                <w:sz w:val="19"/>
              </w:rPr>
              <w:t>Date</w:t>
            </w:r>
          </w:p>
        </w:tc>
        <w:tc>
          <w:tcPr>
            <w:tcW w:type="dxa" w:w="2200"/>
            <w:vAlign w:val="center"/>
            <w:tcMar>
              <w:top w:w="100" w:type="dxa"/>
              <w:start w:w="120" w:type="dxa"/>
              <w:bottom w:w="100" w:type="dxa"/>
              <w:end w:w="120" w:type="dxa"/>
            </w:tcMar>
            <w:shd w:fill="F4F6F9"/>
          </w:tcPr>
          <w:p>
            <w:pPr>
              <w:keepLines/>
              <w:spacing w:before="0" w:after="40" w:line="264" w:lineRule="auto"/>
              <w:jc w:val="center"/>
            </w:pPr>
            <w:r>
              <w:rPr>
                <w:rFonts w:ascii="Calibri" w:hAnsi="Calibri" w:eastAsia="Calibri"/>
                <w:b/>
                <w:color w:val="0B2545"/>
                <w:sz w:val="19"/>
              </w:rPr>
              <w:t>Prepared by</w:t>
            </w:r>
          </w:p>
        </w:tc>
        <w:tc>
          <w:tcPr>
            <w:tcW w:type="dxa" w:w="4560"/>
            <w:vAlign w:val="center"/>
            <w:tcMar>
              <w:top w:w="100" w:type="dxa"/>
              <w:start w:w="120" w:type="dxa"/>
              <w:bottom w:w="100" w:type="dxa"/>
              <w:end w:w="120" w:type="dxa"/>
            </w:tcMar>
            <w:shd w:fill="F4F6F9"/>
          </w:tcPr>
          <w:p>
            <w:pPr>
              <w:keepLines/>
              <w:spacing w:before="0" w:after="40" w:line="264" w:lineRule="auto"/>
              <w:jc w:val="center"/>
            </w:pPr>
            <w:r>
              <w:rPr>
                <w:rFonts w:ascii="Calibri" w:hAnsi="Calibri" w:eastAsia="Calibri"/>
                <w:b/>
                <w:color w:val="0B2545"/>
                <w:sz w:val="19"/>
              </w:rPr>
              <w:t>Change summary</w:t>
            </w:r>
          </w:p>
        </w:tc>
      </w:tr>
      <w:tr>
        <w:trPr>
          <w:cantSplit/>
          <w:cantSplit/>
        </w:trPr>
        <w:tc>
          <w:tcPr>
            <w:tcW w:type="dxa" w:w="1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1.0</w:t>
            </w:r>
          </w:p>
        </w:tc>
        <w:tc>
          <w:tcPr>
            <w:tcW w:type="dxa" w:w="15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4 September 2026</w:t>
            </w:r>
          </w:p>
        </w:tc>
        <w:tc>
          <w:tcPr>
            <w:tcW w:type="dxa" w:w="22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Freston Kenny Adedeme</w:t>
            </w:r>
          </w:p>
        </w:tc>
        <w:tc>
          <w:tcPr>
            <w:tcW w:type="dxa" w:w="45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Initial defensive-security concept issued for technical review.</w:t>
            </w:r>
          </w:p>
        </w:tc>
      </w:tr>
      <w:tr>
        <w:trPr>
          <w:cantSplit/>
          <w:cantSplit/>
        </w:trPr>
        <w:tc>
          <w:tcPr>
            <w:tcW w:type="dxa" w:w="1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1.1</w:t>
            </w:r>
          </w:p>
        </w:tc>
        <w:tc>
          <w:tcPr>
            <w:tcW w:type="dxa" w:w="15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4 September 2026</w:t>
            </w:r>
          </w:p>
        </w:tc>
        <w:tc>
          <w:tcPr>
            <w:tcW w:type="dxa" w:w="22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Freston Kenny Adedeme</w:t>
            </w:r>
          </w:p>
        </w:tc>
        <w:tc>
          <w:tcPr>
            <w:tcW w:type="dxa" w:w="45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Closed all twelve independent technical-review findings; established Phase 0 regulatory, normalization, prioritization, integrity, safe-active, tenancy, incident, performance and delivery controls.</w:t>
            </w:r>
          </w:p>
        </w:tc>
      </w:tr>
      <w:tr>
        <w:trPr>
          <w:cantSplit/>
          <w:cantSplit/>
        </w:trPr>
        <w:tc>
          <w:tcPr>
            <w:tcW w:type="dxa" w:w="1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1.2</w:t>
            </w:r>
          </w:p>
        </w:tc>
        <w:tc>
          <w:tcPr>
            <w:tcW w:type="dxa" w:w="15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4 September 2026</w:t>
            </w:r>
          </w:p>
        </w:tc>
        <w:tc>
          <w:tcPr>
            <w:tcW w:type="dxa" w:w="22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Freston Kenny Adedeme</w:t>
            </w:r>
          </w:p>
        </w:tc>
        <w:tc>
          <w:tcPr>
            <w:tcW w:type="dxa" w:w="45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Closed seven post-revision verification findings; reconciled deferred scope, added CE accreditation and licence verification, protected the audit-owner role, confirmed resourcing as an exit gate, added event-triggered anchoring and corrected CVSS terminology.</w:t>
            </w:r>
          </w:p>
        </w:tc>
      </w:tr>
      <w:tr>
        <w:trPr>
          <w:cantSplit/>
          <w:cantSplit/>
        </w:trPr>
        <w:tc>
          <w:tcPr>
            <w:tcW w:type="dxa" w:w="1100"/>
            <w:tcMar>
              <w:top w:w="100" w:type="dxa"/>
              <w:start w:w="120" w:type="dxa"/>
              <w:bottom w:w="100" w:type="dxa"/>
              <w:end w:w="120" w:type="dxa"/>
            </w:tcMar>
            <w:vAlign w:val="center"/>
          </w:tcPr>
          <w:p>
            <w:r>
              <w:t>1.3</w:t>
            </w:r>
          </w:p>
        </w:tc>
        <w:tc>
          <w:tcPr>
            <w:tcW w:type="dxa" w:w="15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4 September 2026</w:t>
            </w:r>
          </w:p>
        </w:tc>
        <w:tc>
          <w:tcPr>
            <w:tcW w:type="dxa" w:w="22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Freston Kenny Adedeme</w:t>
            </w:r>
          </w:p>
        </w:tc>
        <w:tc>
          <w:tcPr>
            <w:tcW w:type="dxa" w:w="45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Closed five second-pass findings; classified Seal as Project Class A / Software Class 3, aligned institutional gates and evidence, separated owner issue from formal approval, added a Seal privacy impact assessment and retention schedule, corrected the CVSS example and clarified the regulatory workstream.</w:t>
            </w:r>
          </w:p>
        </w:tc>
      </w:tr>
      <w:tr>
        <w:trPr>
          <w:cantSplit/>
        </w:trPr>
        <w:tc>
          <w:tcPr>
            <w:tcW w:type="dxa" w:w="1100"/>
            <w:vAlign w:val="center"/>
            <w:tcMar>
              <w:top w:w="100" w:type="dxa"/>
              <w:start w:w="120" w:type="dxa"/>
              <w:bottom w:w="100" w:type="dxa"/>
              <w:end w:w="120" w:type="dxa"/>
            </w:tcMar>
          </w:tcPr>
          <w:p>
            <w:r>
              <w:t>1.5</w:t>
            </w:r>
          </w:p>
        </w:tc>
        <w:tc>
          <w:tcPr>
            <w:tcW w:type="dxa" w:w="1500"/>
            <w:vAlign w:val="center"/>
            <w:tcMar>
              <w:top w:w="100" w:type="dxa"/>
              <w:start w:w="120" w:type="dxa"/>
              <w:bottom w:w="100" w:type="dxa"/>
              <w:end w:w="120" w:type="dxa"/>
            </w:tcMar>
          </w:tcPr>
          <w:p>
            <w:pPr>
              <w:keepLines/>
              <w:spacing w:before="0" w:after="40" w:line="264" w:lineRule="auto"/>
              <w:jc w:val="left"/>
            </w:pPr>
            <w:r>
              <w:rPr>
                <w:rFonts w:ascii="Calibri" w:hAnsi="Calibri" w:eastAsia="Calibri"/>
                <w:b w:val="0"/>
                <w:color w:val="111827"/>
                <w:sz w:val="19"/>
              </w:rPr>
              <w:t>7 September 2026</w:t>
            </w:r>
          </w:p>
        </w:tc>
        <w:tc>
          <w:tcPr>
            <w:tcW w:type="dxa" w:w="2200"/>
            <w:vAlign w:val="center"/>
            <w:tcMar>
              <w:top w:w="100" w:type="dxa"/>
              <w:start w:w="120" w:type="dxa"/>
              <w:bottom w:w="100" w:type="dxa"/>
              <w:end w:w="120" w:type="dxa"/>
            </w:tcMar>
          </w:tcPr>
          <w:p>
            <w:pPr>
              <w:keepLines/>
              <w:spacing w:before="0" w:after="40" w:line="264" w:lineRule="auto"/>
              <w:jc w:val="left"/>
            </w:pPr>
            <w:r>
              <w:rPr>
                <w:rFonts w:ascii="Calibri" w:hAnsi="Calibri" w:eastAsia="Calibri"/>
                <w:b w:val="0"/>
                <w:color w:val="111827"/>
                <w:sz w:val="19"/>
              </w:rPr>
              <w:t>Freston Kenny Adedeme</w:t>
            </w:r>
          </w:p>
        </w:tc>
        <w:tc>
          <w:tcPr>
            <w:tcW w:type="dxa" w:w="4560"/>
            <w:vAlign w:val="center"/>
            <w:tcMar>
              <w:top w:w="100" w:type="dxa"/>
              <w:start w:w="120" w:type="dxa"/>
              <w:bottom w:w="100" w:type="dxa"/>
              <w:end w:w="120" w:type="dxa"/>
            </w:tcMar>
          </w:tcPr>
          <w:p>
            <w:pPr>
              <w:keepLines/>
              <w:spacing w:before="0" w:after="40" w:line="264" w:lineRule="auto"/>
              <w:jc w:val="left"/>
            </w:pPr>
            <w:r>
              <w:rPr>
                <w:rFonts w:ascii="Calibri" w:hAnsi="Calibri" w:eastAsia="Calibri"/>
                <w:b w:val="0"/>
                <w:color w:val="111827"/>
                <w:sz w:val="19"/>
              </w:rPr>
              <w:t>Owner-directed merge of v1.4 U01–U14 and implementation plan; preserves 24 design closures and all institutional, data, external-assessment and production gates.</w:t>
            </w:r>
          </w:p>
        </w:tc>
      </w:tr>
      <w:tr>
        <w:tc>
          <w:tcPr>
            <w:tcW w:type="dxa" w:w="1100"/>
          </w:tcPr>
          <w:p>
            <w:pPr>
              <w:keepLines/>
              <w:spacing w:before="0" w:after="40" w:line="264" w:lineRule="auto"/>
              <w:jc w:val="left"/>
            </w:pPr>
            <w:r>
              <w:rPr>
                <w:rFonts w:ascii="Calibri" w:hAnsi="Calibri" w:eastAsia="Calibri"/>
                <w:b w:val="0"/>
                <w:color w:val="111827"/>
                <w:sz w:val="19"/>
              </w:rPr>
              <w:t>1.6</w:t>
            </w:r>
          </w:p>
        </w:tc>
        <w:tc>
          <w:tcPr>
            <w:tcW w:type="dxa" w:w="1500"/>
          </w:tcPr>
          <w:p>
            <w:pPr>
              <w:keepLines/>
              <w:spacing w:before="0" w:after="40" w:line="264" w:lineRule="auto"/>
              <w:jc w:val="left"/>
            </w:pPr>
            <w:r>
              <w:rPr>
                <w:rFonts w:ascii="Calibri" w:hAnsi="Calibri" w:eastAsia="Calibri"/>
                <w:b w:val="0"/>
                <w:color w:val="111827"/>
                <w:sz w:val="19"/>
              </w:rPr>
              <w:t>7 September 2026</w:t>
            </w:r>
          </w:p>
        </w:tc>
        <w:tc>
          <w:tcPr>
            <w:tcW w:type="dxa" w:w="2200"/>
          </w:tcPr>
          <w:p>
            <w:pPr>
              <w:keepLines/>
              <w:spacing w:before="0" w:after="40" w:line="264" w:lineRule="auto"/>
              <w:jc w:val="left"/>
            </w:pPr>
            <w:r>
              <w:rPr>
                <w:rFonts w:ascii="Calibri" w:hAnsi="Calibri" w:eastAsia="Calibri"/>
                <w:b w:val="0"/>
                <w:color w:val="111827"/>
                <w:sz w:val="19"/>
              </w:rPr>
              <w:t>Freston Kenny Adedeme</w:t>
            </w:r>
          </w:p>
        </w:tc>
        <w:tc>
          <w:tcPr>
            <w:tcW w:type="dxa" w:w="4560"/>
          </w:tcPr>
          <w:p>
            <w:pPr>
              <w:keepLines/>
              <w:spacing w:before="0" w:after="40" w:line="264" w:lineRule="auto"/>
              <w:jc w:val="left"/>
            </w:pPr>
            <w:r>
              <w:rPr>
                <w:rFonts w:ascii="Calibri" w:hAnsi="Calibri" w:eastAsia="Calibri"/>
                <w:b w:val="0"/>
                <w:color w:val="111827"/>
                <w:sz w:val="19"/>
              </w:rPr>
              <w:t>Closes three retrieved v1.5 review gaps in design: stale closure intents, active-scan integrity failure and exposure denominators. Appendix F records contracts and acceptance cases; runtime verification remains due.</w:t>
            </w:r>
          </w:p>
        </w:tc>
      </w:tr>
    </w:tbl>
    <w:p>
      <w:pPr>
        <w:spacing w:before="0" w:after="80"/>
      </w:pPr>
    </w:p>
    <w:p>
      <w:pPr>
        <w:pStyle w:val="Heading1"/>
        <w:keepNext/>
        <w:keepLines/>
      </w:pPr>
      <w:r>
        <w:t>Preparation, review and approval</w:t>
      </w:r>
    </w:p>
    <w:tbl>
      <w:tblPr>
        <w:tblStyle w:val="TableGrid"/>
        <w:jc w:val="left"/>
        <w:tblLook w:firstColumn="1" w:firstRow="1" w:lastColumn="0" w:lastRow="0" w:noHBand="0" w:noVBand="1" w:val="04A0"/>
        <w:tblW w:w="9360" w:type="dxa"/>
        <w:tblInd w:w="120" w:type="dxa"/>
        <w:tblLayout w:type="fixed"/>
      </w:tblPr>
      <w:tblGrid>
        <w:gridCol w:w="2500"/>
        <w:gridCol w:w="4380"/>
        <w:gridCol w:w="2480"/>
      </w:tblGrid>
      <w:tr>
        <w:trPr>
          <w:cantSplit/>
          <w:tblHeader w:val="true"/>
          <w:tblHeader w:val="true"/>
        </w:trPr>
        <w:tc>
          <w:tcPr>
            <w:tcW w:type="dxa" w:w="2500"/>
            <w:vAlign w:val="center"/>
            <w:tcMar>
              <w:top w:w="100" w:type="dxa"/>
              <w:start w:w="120" w:type="dxa"/>
              <w:bottom w:w="100" w:type="dxa"/>
              <w:end w:w="120" w:type="dxa"/>
            </w:tcMar>
            <w:shd w:fill="EAF4F4"/>
          </w:tcPr>
          <w:p>
            <w:pPr>
              <w:keepLines/>
              <w:spacing w:before="0" w:after="40" w:line="264" w:lineRule="auto"/>
              <w:jc w:val="center"/>
            </w:pPr>
            <w:r>
              <w:rPr>
                <w:rFonts w:ascii="Calibri" w:hAnsi="Calibri" w:eastAsia="Calibri"/>
                <w:b/>
                <w:color w:val="0B2545"/>
                <w:sz w:val="19"/>
              </w:rPr>
              <w:t>Control role</w:t>
            </w:r>
          </w:p>
        </w:tc>
        <w:tc>
          <w:tcPr>
            <w:tcW w:type="dxa" w:w="4380"/>
            <w:vAlign w:val="center"/>
            <w:tcMar>
              <w:top w:w="100" w:type="dxa"/>
              <w:start w:w="120" w:type="dxa"/>
              <w:bottom w:w="100" w:type="dxa"/>
              <w:end w:w="120" w:type="dxa"/>
            </w:tcMar>
            <w:shd w:fill="EAF4F4"/>
          </w:tcPr>
          <w:p>
            <w:pPr>
              <w:keepLines/>
              <w:spacing w:before="0" w:after="40" w:line="264" w:lineRule="auto"/>
              <w:jc w:val="center"/>
            </w:pPr>
            <w:r>
              <w:rPr>
                <w:rFonts w:ascii="Calibri" w:hAnsi="Calibri" w:eastAsia="Calibri"/>
                <w:b/>
                <w:color w:val="0B2545"/>
                <w:sz w:val="19"/>
              </w:rPr>
              <w:t>Name or authority</w:t>
            </w:r>
          </w:p>
        </w:tc>
        <w:tc>
          <w:tcPr>
            <w:tcW w:type="dxa" w:w="2480"/>
            <w:vAlign w:val="center"/>
            <w:tcMar>
              <w:top w:w="100" w:type="dxa"/>
              <w:start w:w="120" w:type="dxa"/>
              <w:bottom w:w="100" w:type="dxa"/>
              <w:end w:w="120" w:type="dxa"/>
            </w:tcMar>
            <w:shd w:fill="EAF4F4"/>
          </w:tcPr>
          <w:p>
            <w:pPr>
              <w:keepLines/>
              <w:spacing w:before="0" w:after="40" w:line="264" w:lineRule="auto"/>
              <w:jc w:val="center"/>
            </w:pPr>
            <w:r>
              <w:rPr>
                <w:rFonts w:ascii="Calibri" w:hAnsi="Calibri" w:eastAsia="Calibri"/>
                <w:b/>
                <w:color w:val="0B2545"/>
                <w:sz w:val="19"/>
              </w:rPr>
              <w:t>Status / date</w:t>
            </w:r>
          </w:p>
        </w:tc>
      </w:tr>
      <w:tr>
        <w:trPr>
          <w:cantSplit/>
        </w:trPr>
        <w:tc>
          <w:tcPr>
            <w:tcW w:type="dxa" w:w="25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Prepared by / Concept owner</w:t>
            </w:r>
          </w:p>
        </w:tc>
        <w:tc>
          <w:tcPr>
            <w:tcW w:type="dxa" w:w="438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Freston Kenny Adedeme</w:t>
            </w:r>
          </w:p>
        </w:tc>
        <w:tc>
          <w:tcPr>
            <w:tcW w:type="dxa" w:w="248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Prepared and issued for controlled Phase 0 preparation, 4 September 2026</w:t>
            </w:r>
          </w:p>
        </w:tc>
      </w:tr>
      <w:tr>
        <w:trPr>
          <w:cantSplit/>
        </w:trPr>
        <w:tc>
          <w:tcPr>
            <w:tcW w:type="dxa" w:w="25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Independent technical / control reviewer</w:t>
            </w:r>
          </w:p>
        </w:tc>
        <w:tc>
          <w:tcPr>
            <w:tcW w:type="dxa" w:w="438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Name and title must be entered in the controlled record</w:t>
            </w:r>
          </w:p>
        </w:tc>
        <w:tc>
          <w:tcPr>
            <w:tcW w:type="dxa" w:w="248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Appointment, scope, evidence and review period required before Phase 0 exit</w:t>
            </w:r>
          </w:p>
        </w:tc>
      </w:tr>
      <w:tr>
        <w:trPr>
          <w:cantSplit/>
        </w:trPr>
        <w:tc>
          <w:tcPr>
            <w:tcW w:type="dxa" w:w="25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Legal and regulatory reviewer</w:t>
            </w:r>
          </w:p>
        </w:tc>
        <w:tc>
          <w:tcPr>
            <w:tcW w:type="dxa" w:w="438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Qualified Ghanaian counsel and, where required, the Cyber Security Authority</w:t>
            </w:r>
          </w:p>
        </w:tc>
        <w:tc>
          <w:tcPr>
            <w:tcW w:type="dxa" w:w="248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Phase 0 workstream; determination required before external assessment</w:t>
            </w:r>
          </w:p>
        </w:tc>
      </w:tr>
      <w:tr>
        <w:trPr>
          <w:cantSplit/>
        </w:trPr>
        <w:tc>
          <w:tcPr>
            <w:tcW w:type="dxa" w:w="25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Formal baseline approving authority</w:t>
            </w:r>
          </w:p>
        </w:tc>
        <w:tc>
          <w:tcPr>
            <w:tcW w:type="dxa" w:w="438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KenAddme IT Links Project Authority; named approver to be entered</w:t>
            </w:r>
          </w:p>
        </w:tc>
        <w:tc>
          <w:tcPr>
            <w:tcW w:type="dxa" w:w="248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Gate 2 / software G1 authorization required before Phase 0 exit</w:t>
            </w:r>
          </w:p>
        </w:tc>
      </w:tr>
      <w:tr>
        <w:trPr>
          <w:cantSplit/>
        </w:trPr>
        <w:tc>
          <w:tcPr>
            <w:tcW w:type="dxa" w:w="25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Compensating-assurance authority</w:t>
            </w:r>
          </w:p>
        </w:tc>
        <w:tc>
          <w:tcPr>
            <w:tcW w:type="dxa" w:w="438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Executive Authority, only if staffing prevents required separation</w:t>
            </w:r>
          </w:p>
        </w:tc>
        <w:tc>
          <w:tcPr>
            <w:tcW w:type="dxa" w:w="248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Named independent reviewer, scope, evidence and time limit must be approved</w:t>
            </w:r>
          </w:p>
        </w:tc>
      </w:tr>
    </w:tbl>
    <w:p>
      <w:pPr>
        <w:spacing w:before="0" w:after="80"/>
      </w:pPr>
    </w:p>
    <w:tbl>
      <w:tblPr>
        <w:tblStyle w:val="TableGrid"/>
        <w:jc w:val="left"/>
        <w:tblLook w:firstColumn="1" w:firstRow="1" w:lastColumn="0" w:lastRow="0" w:noHBand="0" w:noVBand="1" w:val="04A0"/>
        <w:tblW w:w="9360" w:type="dxa"/>
        <w:tblInd w:w="180" w:type="dxa"/>
        <w:tblLayout w:type="fixed"/>
      </w:tblPr>
      <w:tblGrid>
        <w:gridCol w:w="9360"/>
      </w:tblGrid>
      <w:tr>
        <w:trPr>
          <w:cantSplit/>
        </w:trPr>
        <w:tc>
          <w:tcPr>
            <w:tcW w:type="dxa" w:w="9360"/>
            <w:vAlign w:val="center"/>
            <w:tcMar>
              <w:top w:w="150" w:type="dxa"/>
              <w:start w:w="180" w:type="dxa"/>
              <w:bottom w:w="150" w:type="dxa"/>
              <w:end w:w="180" w:type="dxa"/>
            </w:tcMar>
            <w:shd w:fill="EAF5EF"/>
          </w:tcPr>
          <w:p>
            <w:pPr>
              <w:keepLines/>
              <w:spacing w:after="0" w:line="288" w:lineRule="auto"/>
            </w:pPr>
            <w:r>
              <w:rPr>
                <w:rFonts w:ascii="Calibri" w:hAnsi="Calibri" w:eastAsia="Calibri"/>
                <w:b/>
                <w:color w:val="2E6B55"/>
                <w:sz w:val="21"/>
              </w:rPr>
              <w:t>Review disposition: All twelve original findings, seven post-revision findings and five second-pass findings remain closed in design from Version 1.3. Version 1.6 adds implementation contracts; these additions have not been independently verified as implemented controls. Freston Kenny Adedeme remains concept owner and issuer, but does not self-approve the institutional charter or requirements baseline. Formal Project Authority Gate 2 / software G1 authorization and a named independent reviewer are standing Phase 0 exit conditions. This issue grants no legal clearance or permission to assess an external system.</w:t>
            </w:r>
            <w:r>
              <w:rPr>
                <w:rFonts w:ascii="Calibri" w:hAnsi="Calibri" w:eastAsia="Calibri"/>
                <w:color w:val="111827"/>
                <w:sz w:val="21"/>
              </w:rPr>
            </w:r>
          </w:p>
        </w:tc>
      </w:tr>
    </w:tbl>
    <w:p>
      <w:pPr>
        <w:spacing w:after="40"/>
      </w:pPr>
    </w:p>
    <w:p>
      <w:pPr>
        <w:pStyle w:val="Heading1"/>
        <w:keepNext/>
        <w:keepLines/>
      </w:pPr>
      <w:r>
        <w:t>Executive summary</w:t>
      </w:r>
    </w:p>
    <w:p>
      <w:pPr/>
      <w:r>
        <w:rPr>
          <w:rFonts w:ascii="Calibri" w:hAnsi="Calibri" w:eastAsia="Calibri"/>
          <w:color w:val="111827"/>
        </w:rPr>
        <w:t>Seal is a proposed defensive cybersecurity platform that helps organizations discover, understand, correct and verify vulnerabilities in systems they own or are formally authorized to assess. The MVP brings web application findings and one selected source-code or dependency finding class into one controlled workflow; network and configuration coverage remain deferred. The product is designed around a simple principle: discovering a weakness is not enough; the weakness must be assigned, corrected and independently verified before it is considered closed.</w:t>
      </w:r>
    </w:p>
    <w:p>
      <w:pPr/>
      <w:r>
        <w:rPr>
          <w:rFonts w:ascii="Calibri" w:hAnsi="Calibri" w:eastAsia="Calibri"/>
          <w:color w:val="111827"/>
        </w:rPr>
        <w:t>The platform will enforce target authorization before scanning, use passive and allowlisted low-impact checks by default, isolate scanner processes, preserve tamper-evident evidence, apply adapter-specific finding identities and separate severity, exploitation likelihood, action priority and evidence confidence. It will not be an automated exploitation platform. Credential attacks, persistence, destructive payloads, data extraction and testing of unapproved third-party systems are expressly outside scope.</w:t>
      </w:r>
    </w:p>
    <w:tbl>
      <w:tblPr>
        <w:tblStyle w:val="TableGrid"/>
        <w:jc w:val="left"/>
        <w:tblLook w:firstColumn="1" w:firstRow="1" w:lastColumn="0" w:lastRow="0" w:noHBand="0" w:noVBand="1" w:val="04A0"/>
        <w:tblW w:w="9360" w:type="dxa"/>
        <w:tblInd w:w="180" w:type="dxa"/>
        <w:tblLayout w:type="fixed"/>
      </w:tblPr>
      <w:tblGrid>
        <w:gridCol w:w="9360"/>
      </w:tblGrid>
      <w:tr>
        <w:trPr>
          <w:cantSplit/>
        </w:trPr>
        <w:tc>
          <w:tcPr>
            <w:tcW w:type="dxa" w:w="9360"/>
            <w:vAlign w:val="center"/>
            <w:tcMar>
              <w:top w:w="150" w:type="dxa"/>
              <w:start w:w="180" w:type="dxa"/>
              <w:bottom w:w="150" w:type="dxa"/>
              <w:end w:w="180" w:type="dxa"/>
            </w:tcMar>
            <w:shd w:fill="EAF4F4"/>
          </w:tcPr>
          <w:p>
            <w:pPr>
              <w:keepLines/>
              <w:spacing w:after="0" w:line="288" w:lineRule="auto"/>
            </w:pPr>
            <w:r>
              <w:rPr>
                <w:rFonts w:ascii="Calibri" w:hAnsi="Calibri" w:eastAsia="Calibri"/>
                <w:b/>
                <w:color w:val="1C7C83"/>
                <w:sz w:val="21"/>
              </w:rPr>
              <w:t xml:space="preserve">Approved MVP boundary: </w:t>
            </w:r>
            <w:r>
              <w:rPr>
                <w:rFonts w:ascii="Calibri" w:hAnsi="Calibri" w:eastAsia="Calibri"/>
                <w:color w:val="111827"/>
                <w:sz w:val="21"/>
              </w:rPr>
              <w:t>Prove one complete find-fix-prove cycle with one web adapter and one source-code or dependency adapter. Network inventory, CI/CD hooks, cloud and endpoint coverage, and generated DOCX/PDF reports are deferred until the core controls pass independent review.</w:t>
            </w:r>
          </w:p>
        </w:tc>
      </w:tr>
    </w:tbl>
    <w:p>
      <w:pPr>
        <w:spacing w:after="40"/>
      </w:pPr>
    </w:p>
    <w:p>
      <w:pPr/>
      <w:r>
        <w:t>Integrated delivery contract: U01–U14 in Appendix D specify request-level authorization, independent egress, complete coverage manifests, revision-bound closure, exception expiry, anchor receipts, tenant context and safe recovery. Appendix E translates them into decisions D01–D11, work packages F/L/W/H/O and acceptance groups T01–T14. The synchronized engineering specification supplies detail; the integrated baseline controls scope and gate precedence.</w:t>
      </w:r>
    </w:p>
    <w:p>
      <w:pPr>
        <w:pStyle w:val="Heading1"/>
        <w:keepNext/>
        <w:keepLines/>
      </w:pPr>
      <w:r>
        <w:t>Document roadmap</w:t>
      </w:r>
    </w:p>
    <w:p>
      <w:pPr>
        <w:keepLines/>
        <w:numPr>
          <w:ilvl w:val="0"/>
          <w:numId w:val="10"/>
        </w:numPr>
        <w:spacing w:after="80" w:line="290" w:lineRule="auto"/>
        <w:ind w:left="540" w:hanging="279"/>
      </w:pPr>
      <w:r>
        <w:rPr>
          <w:rFonts w:ascii="Calibri" w:hAnsi="Calibri" w:eastAsia="Calibri"/>
          <w:color w:val="111827"/>
        </w:rPr>
        <w:t>Project foundation: background, problem, vision, objectives and scope</w:t>
      </w:r>
    </w:p>
    <w:p>
      <w:pPr>
        <w:keepLines/>
        <w:numPr>
          <w:ilvl w:val="0"/>
          <w:numId w:val="10"/>
        </w:numPr>
        <w:spacing w:after="80" w:line="290" w:lineRule="auto"/>
        <w:ind w:left="540" w:hanging="279"/>
      </w:pPr>
      <w:r>
        <w:rPr>
          <w:rFonts w:ascii="Calibri" w:hAnsi="Calibri" w:eastAsia="Calibri"/>
          <w:color w:val="111827"/>
        </w:rPr>
        <w:t>Product design: users, capabilities, workflow, architecture and data model</w:t>
      </w:r>
    </w:p>
    <w:p>
      <w:pPr>
        <w:keepLines/>
        <w:numPr>
          <w:ilvl w:val="0"/>
          <w:numId w:val="10"/>
        </w:numPr>
        <w:spacing w:after="80" w:line="290" w:lineRule="auto"/>
        <w:ind w:left="540" w:hanging="279"/>
      </w:pPr>
      <w:r>
        <w:rPr>
          <w:rFonts w:ascii="Calibri" w:hAnsi="Calibri" w:eastAsia="Calibri"/>
          <w:color w:val="111827"/>
        </w:rPr>
        <w:t>Trust design: risk scoring, security safeguards, ethics and governance</w:t>
      </w:r>
    </w:p>
    <w:p>
      <w:pPr>
        <w:keepLines/>
        <w:numPr>
          <w:ilvl w:val="0"/>
          <w:numId w:val="10"/>
        </w:numPr>
        <w:spacing w:after="80" w:line="290" w:lineRule="auto"/>
        <w:ind w:left="540" w:hanging="279"/>
      </w:pPr>
      <w:r>
        <w:rPr>
          <w:rFonts w:ascii="Calibri" w:hAnsi="Calibri" w:eastAsia="Calibri"/>
          <w:color w:val="111827"/>
        </w:rPr>
        <w:t>Delivery design: technology, phases, testing, success measures and risks</w:t>
      </w:r>
    </w:p>
    <w:p>
      <w:pPr>
        <w:keepLines/>
        <w:numPr>
          <w:ilvl w:val="0"/>
          <w:numId w:val="10"/>
        </w:numPr>
        <w:spacing w:after="80" w:line="290" w:lineRule="auto"/>
        <w:ind w:left="540" w:hanging="279"/>
      </w:pPr>
      <w:r>
        <w:rPr>
          <w:rFonts w:ascii="Calibri" w:hAnsi="Calibri" w:eastAsia="Calibri"/>
          <w:color w:val="111827"/>
        </w:rPr>
        <w:t>Practical appendices: worked finding, acceptance checklist, review-closure register and references</w:t>
      </w:r>
    </w:p>
    <w:p>
      <w:bookmarkStart w:id="1" w:name="project_foundation"/>
      <w:pPr>
        <w:pStyle w:val="Heading1"/>
        <w:keepNext/>
        <w:keepLines/>
      </w:pPr>
      <w:r>
        <w:t>1. Project foundation</w:t>
      </w:r>
      <w:bookmarkEnd w:id="1"/>
    </w:p>
    <w:p>
      <w:pPr>
        <w:pStyle w:val="Heading2"/>
        <w:keepNext/>
        <w:keepLines/>
      </w:pPr>
      <w:r>
        <w:t>1.1 Background</w:t>
      </w:r>
    </w:p>
    <w:p>
      <w:pPr/>
      <w:r>
        <w:rPr>
          <w:rFonts w:ascii="Calibri" w:hAnsi="Calibri" w:eastAsia="Calibri"/>
          <w:color w:val="111827"/>
        </w:rPr>
        <w:t>Modern organizations depend on websites, APIs, cloud services, networks, containers and third-party software packages. Each layer can introduce weaknesses through insecure configuration, outdated components, coding errors, exposed services or missing controls. Security teams often use separate tools that generate large volumes of findings, yet the path from detection to verified correction remains fragmented.</w:t>
      </w:r>
    </w:p>
    <w:p>
      <w:pPr/>
      <w:r>
        <w:rPr>
          <w:rFonts w:ascii="Calibri" w:hAnsi="Calibri" w:eastAsia="Calibri"/>
          <w:color w:val="111827"/>
        </w:rPr>
        <w:t>Seal addresses that operational gap by coordinating approved assessments and carrying every confirmed issue through a complete find-fix-prove lifecycle. The platform is intended for legitimate internal security work, controlled academic research and professional assessments performed under written authorization.</w:t>
      </w:r>
    </w:p>
    <w:p>
      <w:pPr>
        <w:pStyle w:val="Heading2"/>
        <w:keepNext/>
        <w:keepLines/>
      </w:pPr>
      <w:r>
        <w:t>1.2 Problem statement</w:t>
      </w:r>
    </w:p>
    <w:p>
      <w:pPr/>
      <w:r>
        <w:rPr>
          <w:rFonts w:ascii="Calibri" w:hAnsi="Calibri" w:eastAsia="Calibri"/>
          <w:color w:val="111827"/>
        </w:rPr>
        <w:t>Organizations may know that vulnerabilities exist but still struggle to determine which findings are real, which systems matter most, who should fix each issue and whether the correction actually worked. Independent scanner outputs can be inconsistent, duplicated or difficult for non-specialists to interpret. Without scope controls, automated scanning can also disrupt services or cross legal and contractual boundaries. A unified, authorization-first platform is therefore needed to discover weaknesses safely, translate evidence into prioritized action and prove closure through controlled rescanning.</w:t>
      </w:r>
    </w:p>
    <w:p>
      <w:pPr>
        <w:pStyle w:val="Heading2"/>
        <w:keepNext/>
        <w:keepLines/>
      </w:pPr>
      <w:r>
        <w:t>1.3 Opportunity</w:t>
      </w:r>
    </w:p>
    <w:p>
      <w:pPr/>
      <w:r>
        <w:rPr>
          <w:rFonts w:ascii="Calibri" w:hAnsi="Calibri" w:eastAsia="Calibri"/>
          <w:color w:val="111827"/>
        </w:rPr>
        <w:t>Seal can provide a single defensive workspace for technical teams and decision-makers. Its value is not measured by how aggressively it attacks systems, but by how reliably it reduces unresolved exposure while preserving permission, safety, accountability and evidence.</w:t>
      </w:r>
    </w:p>
    <w:p>
      <w:pPr>
        <w:pStyle w:val="Heading1"/>
        <w:keepNext/>
        <w:keepLines/>
      </w:pPr>
      <w:r>
        <w:t>2. Vision and identity</w:t>
      </w:r>
    </w:p>
    <w:p>
      <w:pPr/>
      <w:r>
        <w:rPr>
          <w:rFonts w:ascii="Calibri" w:hAnsi="Calibri" w:eastAsia="Calibri"/>
          <w:color w:val="111827"/>
        </w:rPr>
        <w:t>The name Seal reflects the product's intended outcome: identify a crack in a digital system and seal it properly. The seal mark also represents protection, watchfulness and controlled access.</w:t>
      </w:r>
    </w:p>
    <w:tbl>
      <w:tblPr>
        <w:tblStyle w:val="TableGrid"/>
        <w:jc w:val="left"/>
        <w:tblLook w:firstColumn="1" w:firstRow="1" w:lastColumn="0" w:lastRow="0" w:noHBand="0" w:noVBand="1" w:val="04A0"/>
        <w:tblW w:w="9360" w:type="dxa"/>
        <w:tblInd w:w="120" w:type="dxa"/>
        <w:tblLayout w:type="fixed"/>
      </w:tblPr>
      <w:tblGrid>
        <w:gridCol w:w="1200"/>
        <w:gridCol w:w="8160"/>
      </w:tblGrid>
      <w:tr>
        <w:trPr>
          <w:cantSplit/>
          <w:tblHeader w:val="true"/>
          <w:tblHeader w:val="true"/>
        </w:trPr>
        <w:tc>
          <w:tcPr>
            <w:tcW w:type="dxa" w:w="1200"/>
            <w:vAlign w:val="center"/>
            <w:tcMar>
              <w:top w:w="100" w:type="dxa"/>
              <w:start w:w="120" w:type="dxa"/>
              <w:bottom w:w="100" w:type="dxa"/>
              <w:end w:w="120" w:type="dxa"/>
            </w:tcMar>
            <w:shd w:fill="EAF4F4"/>
          </w:tcPr>
          <w:p>
            <w:pPr>
              <w:keepLines/>
              <w:spacing w:before="0" w:after="40" w:line="264" w:lineRule="auto"/>
              <w:jc w:val="center"/>
            </w:pPr>
            <w:r>
              <w:rPr>
                <w:rFonts w:ascii="Calibri" w:hAnsi="Calibri" w:eastAsia="Calibri"/>
                <w:b/>
                <w:color w:val="0B2545"/>
                <w:sz w:val="19"/>
              </w:rPr>
              <w:t>Letter</w:t>
            </w:r>
          </w:p>
        </w:tc>
        <w:tc>
          <w:tcPr>
            <w:tcW w:type="dxa" w:w="8160"/>
            <w:vAlign w:val="center"/>
            <w:tcMar>
              <w:top w:w="100" w:type="dxa"/>
              <w:start w:w="120" w:type="dxa"/>
              <w:bottom w:w="100" w:type="dxa"/>
              <w:end w:w="120" w:type="dxa"/>
            </w:tcMar>
            <w:shd w:fill="EAF4F4"/>
          </w:tcPr>
          <w:p>
            <w:pPr>
              <w:keepLines/>
              <w:spacing w:before="0" w:after="40" w:line="264" w:lineRule="auto"/>
              <w:jc w:val="center"/>
            </w:pPr>
            <w:r>
              <w:rPr>
                <w:rFonts w:ascii="Calibri" w:hAnsi="Calibri" w:eastAsia="Calibri"/>
                <w:b/>
                <w:color w:val="0B2545"/>
                <w:sz w:val="19"/>
              </w:rPr>
              <w:t>Design principle</w:t>
            </w:r>
          </w:p>
        </w:tc>
      </w:tr>
      <w:tr>
        <w:trPr>
          <w:cantSplit/>
        </w:trPr>
        <w:tc>
          <w:tcPr>
            <w:tcW w:type="dxa" w:w="12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S</w:t>
            </w:r>
          </w:p>
        </w:tc>
        <w:tc>
          <w:tcPr>
            <w:tcW w:type="dxa" w:w="81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Scope every assessment before execution.</w:t>
            </w:r>
          </w:p>
        </w:tc>
      </w:tr>
      <w:tr>
        <w:trPr>
          <w:cantSplit/>
        </w:trPr>
        <w:tc>
          <w:tcPr>
            <w:tcW w:type="dxa" w:w="12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E</w:t>
            </w:r>
          </w:p>
        </w:tc>
        <w:tc>
          <w:tcPr>
            <w:tcW w:type="dxa" w:w="81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Examine systems safely and gather evidence.</w:t>
            </w:r>
          </w:p>
        </w:tc>
      </w:tr>
      <w:tr>
        <w:trPr>
          <w:cantSplit/>
        </w:trPr>
        <w:tc>
          <w:tcPr>
            <w:tcW w:type="dxa" w:w="12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A</w:t>
            </w:r>
          </w:p>
        </w:tc>
        <w:tc>
          <w:tcPr>
            <w:tcW w:type="dxa" w:w="81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Act on prioritized, assigned remediation.</w:t>
            </w:r>
          </w:p>
        </w:tc>
      </w:tr>
      <w:tr>
        <w:trPr>
          <w:cantSplit/>
        </w:trPr>
        <w:tc>
          <w:tcPr>
            <w:tcW w:type="dxa" w:w="12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L</w:t>
            </w:r>
          </w:p>
        </w:tc>
        <w:tc>
          <w:tcPr>
            <w:tcW w:type="dxa" w:w="81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Lock in the correction through verification.</w:t>
            </w:r>
          </w:p>
        </w:tc>
      </w:tr>
    </w:tbl>
    <w:p>
      <w:pPr>
        <w:spacing w:before="0" w:after="80"/>
      </w:pPr>
    </w:p>
    <w:p>
      <w:pPr>
        <w:pStyle w:val="Heading2"/>
        <w:keepNext/>
        <w:keepLines/>
      </w:pPr>
      <w:r>
        <w:t>2.1 Product vision</w:t>
      </w:r>
    </w:p>
    <w:tbl>
      <w:tblPr>
        <w:tblStyle w:val="TableGrid"/>
        <w:jc w:val="left"/>
        <w:tblLook w:firstColumn="1" w:firstRow="1" w:lastColumn="0" w:lastRow="0" w:noHBand="0" w:noVBand="1" w:val="04A0"/>
        <w:tblW w:w="9360" w:type="dxa"/>
        <w:tblInd w:w="180" w:type="dxa"/>
        <w:tblLayout w:type="fixed"/>
      </w:tblPr>
      <w:tblGrid>
        <w:gridCol w:w="9360"/>
      </w:tblGrid>
      <w:tr>
        <w:trPr>
          <w:cantSplit/>
        </w:trPr>
        <w:tc>
          <w:tcPr>
            <w:tcW w:type="dxa" w:w="9360"/>
            <w:vAlign w:val="center"/>
            <w:tcMar>
              <w:top w:w="150" w:type="dxa"/>
              <w:start w:w="180" w:type="dxa"/>
              <w:bottom w:w="150" w:type="dxa"/>
              <w:end w:w="180" w:type="dxa"/>
            </w:tcMar>
            <w:shd w:fill="E8EEF5"/>
          </w:tcPr>
          <w:p>
            <w:pPr>
              <w:keepLines/>
              <w:spacing w:after="0" w:line="288" w:lineRule="auto"/>
            </w:pPr>
            <w:r>
              <w:rPr>
                <w:rFonts w:ascii="Calibri" w:hAnsi="Calibri" w:eastAsia="Calibri"/>
                <w:b/>
                <w:color w:val="2E74B5"/>
                <w:sz w:val="21"/>
              </w:rPr>
              <w:t xml:space="preserve">Vision: </w:t>
            </w:r>
            <w:r>
              <w:rPr>
                <w:rFonts w:ascii="Calibri" w:hAnsi="Calibri" w:eastAsia="Calibri"/>
                <w:color w:val="111827"/>
                <w:sz w:val="21"/>
              </w:rPr>
              <w:t>Make verified vulnerability closure understandable, safe and achievable for every authorized organization.</w:t>
            </w:r>
          </w:p>
        </w:tc>
      </w:tr>
    </w:tbl>
    <w:p>
      <w:pPr>
        <w:spacing w:after="40"/>
      </w:pPr>
    </w:p>
    <w:p>
      <w:pPr>
        <w:pStyle w:val="Heading2"/>
        <w:keepNext/>
        <w:keepLines/>
      </w:pPr>
      <w:r>
        <w:t>2.2 Guiding principles</w:t>
      </w:r>
    </w:p>
    <w:p>
      <w:pPr>
        <w:keepLines/>
        <w:numPr>
          <w:ilvl w:val="0"/>
          <w:numId w:val="10"/>
        </w:numPr>
        <w:spacing w:after="80" w:line="290" w:lineRule="auto"/>
        <w:ind w:left="540" w:hanging="279"/>
      </w:pPr>
      <w:r>
        <w:rPr>
          <w:rFonts w:ascii="Calibri" w:hAnsi="Calibri" w:eastAsia="Calibri"/>
          <w:color w:val="111827"/>
        </w:rPr>
        <w:t>Authorization first: no assessment begins without a valid scope record.</w:t>
      </w:r>
    </w:p>
    <w:p>
      <w:pPr>
        <w:keepLines/>
        <w:numPr>
          <w:ilvl w:val="0"/>
          <w:numId w:val="10"/>
        </w:numPr>
        <w:spacing w:after="80" w:line="290" w:lineRule="auto"/>
        <w:ind w:left="540" w:hanging="279"/>
      </w:pPr>
      <w:r>
        <w:rPr>
          <w:rFonts w:ascii="Calibri" w:hAnsi="Calibri" w:eastAsia="Calibri"/>
          <w:color w:val="111827"/>
        </w:rPr>
        <w:t>Safe by default: passive and low-impact checks are the default operating mode.</w:t>
      </w:r>
    </w:p>
    <w:p>
      <w:pPr>
        <w:keepLines/>
        <w:numPr>
          <w:ilvl w:val="0"/>
          <w:numId w:val="10"/>
        </w:numPr>
        <w:spacing w:after="80" w:line="290" w:lineRule="auto"/>
        <w:ind w:left="540" w:hanging="279"/>
      </w:pPr>
      <w:r>
        <w:rPr>
          <w:rFonts w:ascii="Calibri" w:hAnsi="Calibri" w:eastAsia="Calibri"/>
          <w:color w:val="111827"/>
        </w:rPr>
        <w:t>Evidence over assumption: findings must show reproducible defensive evidence and confidence.</w:t>
      </w:r>
    </w:p>
    <w:p>
      <w:pPr>
        <w:keepLines/>
        <w:numPr>
          <w:ilvl w:val="0"/>
          <w:numId w:val="10"/>
        </w:numPr>
        <w:spacing w:after="80" w:line="290" w:lineRule="auto"/>
        <w:ind w:left="540" w:hanging="279"/>
      </w:pPr>
      <w:r>
        <w:rPr>
          <w:rFonts w:ascii="Calibri" w:hAnsi="Calibri" w:eastAsia="Calibri"/>
          <w:color w:val="111827"/>
        </w:rPr>
        <w:t>Remediation over spectacle: the system emphasizes correction, ownership and verification.</w:t>
      </w:r>
    </w:p>
    <w:p>
      <w:pPr>
        <w:keepLines/>
        <w:numPr>
          <w:ilvl w:val="0"/>
          <w:numId w:val="10"/>
        </w:numPr>
        <w:spacing w:after="80" w:line="290" w:lineRule="auto"/>
        <w:ind w:left="540" w:hanging="279"/>
      </w:pPr>
      <w:r>
        <w:rPr>
          <w:rFonts w:ascii="Calibri" w:hAnsi="Calibri" w:eastAsia="Calibri"/>
          <w:color w:val="111827"/>
        </w:rPr>
        <w:t>Human accountability: qualified users approve scope, risk decisions and production activity.</w:t>
      </w:r>
    </w:p>
    <w:p>
      <w:pPr>
        <w:keepLines/>
        <w:numPr>
          <w:ilvl w:val="0"/>
          <w:numId w:val="10"/>
        </w:numPr>
        <w:spacing w:after="80" w:line="290" w:lineRule="auto"/>
        <w:ind w:left="540" w:hanging="279"/>
      </w:pPr>
      <w:r>
        <w:rPr>
          <w:rFonts w:ascii="Calibri" w:hAnsi="Calibri" w:eastAsia="Calibri"/>
          <w:color w:val="111827"/>
        </w:rPr>
        <w:t>Privacy by design: collect the minimum evidence required and protect it throughout its life.</w:t>
      </w:r>
    </w:p>
    <w:p>
      <w:pPr>
        <w:keepLines/>
        <w:numPr>
          <w:ilvl w:val="0"/>
          <w:numId w:val="10"/>
        </w:numPr>
        <w:spacing w:after="80" w:line="290" w:lineRule="auto"/>
        <w:ind w:left="540" w:hanging="279"/>
      </w:pPr>
      <w:r>
        <w:rPr>
          <w:rFonts w:ascii="Calibri" w:hAnsi="Calibri" w:eastAsia="Calibri"/>
          <w:color w:val="111827"/>
        </w:rPr>
        <w:t>Modular engineering: scanners are isolated adapters, not unrestricted components of the core platform.</w:t>
      </w:r>
    </w:p>
    <w:p>
      <w:pPr>
        <w:pStyle w:val="Heading1"/>
        <w:keepNext/>
        <w:keepLines/>
      </w:pPr>
      <w:r>
        <w:t>3. Aim and objectives</w:t>
      </w:r>
    </w:p>
    <w:p>
      <w:pPr>
        <w:pStyle w:val="Heading2"/>
        <w:keepNext/>
        <w:keepLines/>
      </w:pPr>
      <w:r>
        <w:t>3.1 Aim</w:t>
      </w:r>
    </w:p>
    <w:p>
      <w:pPr/>
      <w:r>
        <w:rPr>
          <w:rFonts w:ascii="Calibri" w:hAnsi="Calibri" w:eastAsia="Calibri"/>
          <w:color w:val="111827"/>
        </w:rPr>
        <w:t>To design and implement an authorized vulnerability discovery and management platform that identifies weaknesses, prioritizes genuine risk, coordinates remediation and verifies that fixes are effective without enabling uncontrolled exploitation.</w:t>
      </w:r>
    </w:p>
    <w:p>
      <w:pPr>
        <w:pStyle w:val="Heading2"/>
        <w:keepNext/>
        <w:keepLines/>
      </w:pPr>
      <w:r>
        <w:t>3.2 Specific objectives</w:t>
      </w:r>
    </w:p>
    <w:p>
      <w:pPr>
        <w:keepLines/>
        <w:numPr>
          <w:ilvl w:val="0"/>
          <w:numId w:val="11"/>
        </w:numPr>
        <w:spacing w:after="80" w:line="290" w:lineRule="auto"/>
        <w:ind w:left="540" w:hanging="279"/>
      </w:pPr>
      <w:r>
        <w:rPr>
          <w:rFonts w:ascii="Calibri" w:hAnsi="Calibri" w:eastAsia="Calibri"/>
          <w:color w:val="111827"/>
        </w:rPr>
        <w:t>Create a mandatory authorization and target-scoping process for every scan job.</w:t>
      </w:r>
    </w:p>
    <w:p>
      <w:pPr>
        <w:keepLines/>
        <w:numPr>
          <w:ilvl w:val="0"/>
          <w:numId w:val="11"/>
        </w:numPr>
        <w:spacing w:after="80" w:line="290" w:lineRule="auto"/>
        <w:ind w:left="540" w:hanging="279"/>
      </w:pPr>
      <w:r>
        <w:rPr>
          <w:rFonts w:ascii="Calibri" w:hAnsi="Calibri" w:eastAsia="Calibri"/>
          <w:color w:val="111827"/>
        </w:rPr>
        <w:t>Discover approved web, source-code and dependency weaknesses through controlled MVP checks, with broader scanner classes deferred.</w:t>
      </w:r>
    </w:p>
    <w:p>
      <w:pPr>
        <w:keepLines/>
        <w:numPr>
          <w:ilvl w:val="0"/>
          <w:numId w:val="11"/>
        </w:numPr>
        <w:spacing w:after="80" w:line="290" w:lineRule="auto"/>
        <w:ind w:left="540" w:hanging="279"/>
      </w:pPr>
      <w:r>
        <w:rPr>
          <w:rFonts w:ascii="Calibri" w:hAnsi="Calibri" w:eastAsia="Calibri"/>
          <w:color w:val="111827"/>
        </w:rPr>
        <w:t>Normalize findings through versioned, adapter-specific fingerprints and documented merge, split and recurrence rules.</w:t>
      </w:r>
    </w:p>
    <w:p>
      <w:pPr>
        <w:keepLines/>
        <w:numPr>
          <w:ilvl w:val="0"/>
          <w:numId w:val="11"/>
        </w:numPr>
        <w:spacing w:after="80" w:line="290" w:lineRule="auto"/>
        <w:ind w:left="540" w:hanging="279"/>
      </w:pPr>
      <w:r>
        <w:rPr>
          <w:rFonts w:ascii="Calibri" w:hAnsi="Calibri" w:eastAsia="Calibri"/>
          <w:color w:val="111827"/>
        </w:rPr>
        <w:t>Prioritize remediation using CVSS environmental severity, exploitation likelihood and an explainable decision tree while keeping evidence confidence independent.</w:t>
      </w:r>
    </w:p>
    <w:p>
      <w:pPr>
        <w:keepLines/>
        <w:numPr>
          <w:ilvl w:val="0"/>
          <w:numId w:val="11"/>
        </w:numPr>
        <w:spacing w:after="80" w:line="290" w:lineRule="auto"/>
        <w:ind w:left="540" w:hanging="279"/>
      </w:pPr>
      <w:r>
        <w:rPr>
          <w:rFonts w:ascii="Calibri" w:hAnsi="Calibri" w:eastAsia="Calibri"/>
          <w:color w:val="111827"/>
        </w:rPr>
        <w:t>Assign findings to accountable owners and monitor corrective action.</w:t>
      </w:r>
    </w:p>
    <w:p>
      <w:pPr>
        <w:keepLines/>
        <w:numPr>
          <w:ilvl w:val="0"/>
          <w:numId w:val="11"/>
        </w:numPr>
        <w:spacing w:after="80" w:line="290" w:lineRule="auto"/>
        <w:ind w:left="540" w:hanging="279"/>
      </w:pPr>
      <w:r>
        <w:rPr>
          <w:rFonts w:ascii="Calibri" w:hAnsi="Calibri" w:eastAsia="Calibri"/>
          <w:color w:val="111827"/>
        </w:rPr>
        <w:t>Rescan corrected components and retain proof of closure.</w:t>
      </w:r>
    </w:p>
    <w:p>
      <w:pPr>
        <w:keepLines/>
        <w:numPr>
          <w:ilvl w:val="0"/>
          <w:numId w:val="11"/>
        </w:numPr>
        <w:spacing w:after="80" w:line="290" w:lineRule="auto"/>
        <w:ind w:left="540" w:hanging="279"/>
      </w:pPr>
      <w:r>
        <w:rPr>
          <w:rFonts w:ascii="Calibri" w:hAnsi="Calibri" w:eastAsia="Calibri"/>
          <w:color w:val="111827"/>
        </w:rPr>
        <w:t>Provide dashboards and reports suitable for developers, administrators, auditors and management.</w:t>
      </w:r>
    </w:p>
    <w:p>
      <w:pPr>
        <w:keepLines/>
        <w:numPr>
          <w:ilvl w:val="0"/>
          <w:numId w:val="11"/>
        </w:numPr>
        <w:spacing w:after="80" w:line="290" w:lineRule="auto"/>
        <w:ind w:left="540" w:hanging="279"/>
      </w:pPr>
      <w:r>
        <w:rPr>
          <w:rFonts w:ascii="Calibri" w:hAnsi="Calibri" w:eastAsia="Calibri"/>
          <w:color w:val="111827"/>
        </w:rPr>
        <w:t>Demonstrate through testing that scope, rate, isolation, privacy and emergency-stop controls work as designed.</w:t>
      </w:r>
    </w:p>
    <w:p>
      <w:pPr>
        <w:pStyle w:val="Heading1"/>
        <w:keepNext/>
        <w:keepLines/>
      </w:pPr>
      <w:r>
        <w:t>4. Project scope</w:t>
      </w:r>
    </w:p>
    <w:p>
      <w:pPr>
        <w:pStyle w:val="Heading2"/>
        <w:keepNext/>
        <w:keepLines/>
      </w:pPr>
      <w:r>
        <w:t>4.1 Included capabilities</w:t>
      </w:r>
    </w:p>
    <w:p>
      <w:pPr>
        <w:keepLines/>
        <w:numPr>
          <w:ilvl w:val="0"/>
          <w:numId w:val="10"/>
        </w:numPr>
        <w:spacing w:after="80" w:line="290" w:lineRule="auto"/>
        <w:ind w:left="540" w:hanging="279"/>
      </w:pPr>
      <w:r>
        <w:rPr>
          <w:rFonts w:ascii="Calibri" w:hAnsi="Calibri" w:eastAsia="Calibri"/>
          <w:color w:val="111827"/>
        </w:rPr>
        <w:t>Owned or contractually authorized websites, APIs, repositories and dependency manifests admitted through the target registry.</w:t>
      </w:r>
    </w:p>
    <w:p>
      <w:pPr>
        <w:keepLines/>
        <w:numPr>
          <w:ilvl w:val="0"/>
          <w:numId w:val="10"/>
        </w:numPr>
        <w:spacing w:after="80" w:line="290" w:lineRule="auto"/>
        <w:ind w:left="540" w:hanging="279"/>
      </w:pPr>
      <w:r>
        <w:rPr>
          <w:rFonts w:ascii="Calibri" w:hAnsi="Calibri" w:eastAsia="Calibri"/>
          <w:color w:val="111827"/>
        </w:rPr>
        <w:t>Passive web assessment and explicitly approved, allowlisted safe-active web checks in owned laboratory environments.</w:t>
      </w:r>
    </w:p>
    <w:p>
      <w:pPr>
        <w:keepLines/>
        <w:numPr>
          <w:ilvl w:val="0"/>
          <w:numId w:val="10"/>
        </w:numPr>
        <w:spacing w:after="80" w:line="290" w:lineRule="auto"/>
        <w:ind w:left="540" w:hanging="279"/>
      </w:pPr>
      <w:r>
        <w:rPr>
          <w:rFonts w:ascii="Calibri" w:hAnsi="Calibri" w:eastAsia="Calibri"/>
          <w:color w:val="111827"/>
        </w:rPr>
        <w:t>One static source-code or dependency adapter for the laboratory MVP; additional adapters require approved post-MVP change control.</w:t>
      </w:r>
    </w:p>
    <w:p>
      <w:pPr>
        <w:keepLines/>
        <w:numPr>
          <w:ilvl w:val="0"/>
          <w:numId w:val="10"/>
        </w:numPr>
        <w:spacing w:after="80" w:line="290" w:lineRule="auto"/>
        <w:ind w:left="540" w:hanging="279"/>
      </w:pPr>
      <w:r>
        <w:rPr>
          <w:rFonts w:ascii="Calibri" w:hAnsi="Calibri" w:eastAsia="Calibri"/>
          <w:color w:val="111827"/>
        </w:rPr>
        <w:t>Finding deduplication, evidence storage, priority calculation and remediation tracking.</w:t>
      </w:r>
    </w:p>
    <w:p>
      <w:pPr>
        <w:keepLines/>
        <w:numPr>
          <w:ilvl w:val="0"/>
          <w:numId w:val="10"/>
        </w:numPr>
        <w:spacing w:after="80" w:line="290" w:lineRule="auto"/>
        <w:ind w:left="540" w:hanging="279"/>
      </w:pPr>
      <w:r>
        <w:rPr>
          <w:rFonts w:ascii="Calibri" w:hAnsi="Calibri" w:eastAsia="Calibri"/>
          <w:color w:val="111827"/>
        </w:rPr>
        <w:t>Role-based dashboards, structured exports, tamper-evident audit history and closure verification.</w:t>
      </w:r>
    </w:p>
    <w:p>
      <w:pPr>
        <w:keepLines/>
        <w:numPr>
          <w:ilvl w:val="0"/>
          <w:numId w:val="10"/>
        </w:numPr>
        <w:spacing w:after="80" w:line="290" w:lineRule="auto"/>
        <w:ind w:left="540" w:hanging="279"/>
      </w:pPr>
      <w:r>
        <w:rPr>
          <w:rFonts w:ascii="Calibri" w:hAnsi="Calibri" w:eastAsia="Calibri"/>
          <w:color w:val="111827"/>
        </w:rPr>
        <w:t>Laboratory evaluation using intentionally vulnerable applications and seeded test cases.</w:t>
      </w:r>
    </w:p>
    <w:p>
      <w:pPr>
        <w:pStyle w:val="Heading2"/>
        <w:keepNext/>
        <w:keepLines/>
      </w:pPr>
      <w:r>
        <w:t>4.2 Deferred from the MVP</w:t>
      </w:r>
    </w:p>
    <w:p>
      <w:pPr>
        <w:keepLines/>
        <w:numPr>
          <w:ilvl w:val="0"/>
          <w:numId w:val="10"/>
        </w:numPr>
        <w:spacing w:after="80" w:line="290" w:lineRule="auto"/>
        <w:ind w:left="540" w:hanging="279"/>
      </w:pPr>
      <w:r>
        <w:rPr>
          <w:rFonts w:ascii="Calibri" w:hAnsi="Calibri" w:eastAsia="Calibri"/>
          <w:color w:val="111827"/>
        </w:rPr>
        <w:t>Network inventory and service-version discovery.</w:t>
      </w:r>
    </w:p>
    <w:p>
      <w:pPr>
        <w:keepLines/>
        <w:numPr>
          <w:ilvl w:val="0"/>
          <w:numId w:val="10"/>
        </w:numPr>
        <w:spacing w:after="80" w:line="290" w:lineRule="auto"/>
        <w:ind w:left="540" w:hanging="279"/>
      </w:pPr>
      <w:r>
        <w:rPr>
          <w:rFonts w:ascii="Calibri" w:hAnsi="Calibri" w:eastAsia="Calibri"/>
          <w:color w:val="111827"/>
        </w:rPr>
        <w:t>CI/CD enforcement hooks and automated ticket creation.</w:t>
      </w:r>
    </w:p>
    <w:p>
      <w:pPr>
        <w:keepLines/>
        <w:numPr>
          <w:ilvl w:val="0"/>
          <w:numId w:val="10"/>
        </w:numPr>
        <w:spacing w:after="80" w:line="290" w:lineRule="auto"/>
        <w:ind w:left="540" w:hanging="279"/>
      </w:pPr>
      <w:r>
        <w:rPr>
          <w:rFonts w:ascii="Calibri" w:hAnsi="Calibri" w:eastAsia="Calibri"/>
          <w:color w:val="111827"/>
        </w:rPr>
        <w:t>Generated DOCX and PDF reports beyond structured export and the web dashboard.</w:t>
      </w:r>
    </w:p>
    <w:p>
      <w:pPr>
        <w:keepLines/>
        <w:numPr>
          <w:ilvl w:val="0"/>
          <w:numId w:val="10"/>
        </w:numPr>
        <w:spacing w:after="80" w:line="290" w:lineRule="auto"/>
        <w:ind w:left="540" w:hanging="279"/>
      </w:pPr>
      <w:r>
        <w:rPr>
          <w:rFonts w:ascii="Calibri" w:hAnsi="Calibri" w:eastAsia="Calibri"/>
          <w:color w:val="111827"/>
        </w:rPr>
        <w:t>Cloud, Kubernetes, endpoint and multi-organization production operation.</w:t>
      </w:r>
    </w:p>
    <w:p>
      <w:pPr>
        <w:keepLines/>
        <w:numPr>
          <w:ilvl w:val="0"/>
          <w:numId w:val="10"/>
        </w:numPr>
        <w:spacing w:after="80" w:line="290" w:lineRule="auto"/>
        <w:ind w:left="540" w:hanging="279"/>
      </w:pPr>
      <w:r>
        <w:rPr>
          <w:rFonts w:ascii="Calibri" w:hAnsi="Calibri" w:eastAsia="Calibri"/>
          <w:color w:val="111827"/>
        </w:rPr>
        <w:t>Any assessment of a system not owned by the project before the Phase 0 legal and regulatory gate is passed.</w:t>
      </w:r>
    </w:p>
    <w:p>
      <w:pPr>
        <w:pStyle w:val="Heading2"/>
        <w:keepNext/>
        <w:keepLines/>
      </w:pPr>
      <w:r>
        <w:t>4.3 Explicit exclusions</w:t>
      </w:r>
    </w:p>
    <w:p>
      <w:pPr>
        <w:keepLines/>
        <w:numPr>
          <w:ilvl w:val="0"/>
          <w:numId w:val="10"/>
        </w:numPr>
        <w:spacing w:after="80" w:line="290" w:lineRule="auto"/>
        <w:ind w:left="540" w:hanging="279"/>
      </w:pPr>
      <w:r>
        <w:rPr>
          <w:rFonts w:ascii="Calibri" w:hAnsi="Calibri" w:eastAsia="Calibri"/>
          <w:color w:val="111827"/>
        </w:rPr>
        <w:t>Scanning public or third-party systems without documented permission.</w:t>
      </w:r>
    </w:p>
    <w:p>
      <w:pPr>
        <w:keepLines/>
        <w:numPr>
          <w:ilvl w:val="0"/>
          <w:numId w:val="10"/>
        </w:numPr>
        <w:spacing w:after="80" w:line="290" w:lineRule="auto"/>
        <w:ind w:left="540" w:hanging="279"/>
      </w:pPr>
      <w:r>
        <w:rPr>
          <w:rFonts w:ascii="Calibri" w:hAnsi="Calibri" w:eastAsia="Calibri"/>
          <w:color w:val="111827"/>
        </w:rPr>
        <w:t>Password spraying, uncontrolled brute force or collection of user credentials.</w:t>
      </w:r>
    </w:p>
    <w:p>
      <w:pPr>
        <w:keepLines/>
        <w:numPr>
          <w:ilvl w:val="0"/>
          <w:numId w:val="10"/>
        </w:numPr>
        <w:spacing w:after="80" w:line="290" w:lineRule="auto"/>
        <w:ind w:left="540" w:hanging="279"/>
      </w:pPr>
      <w:r>
        <w:rPr>
          <w:rFonts w:ascii="Calibri" w:hAnsi="Calibri" w:eastAsia="Calibri"/>
          <w:color w:val="111827"/>
        </w:rPr>
        <w:t>Malware delivery, persistence, evasion or command-and-control functionality.</w:t>
      </w:r>
    </w:p>
    <w:p>
      <w:pPr>
        <w:keepLines/>
        <w:numPr>
          <w:ilvl w:val="0"/>
          <w:numId w:val="10"/>
        </w:numPr>
        <w:spacing w:after="80" w:line="290" w:lineRule="auto"/>
        <w:ind w:left="540" w:hanging="279"/>
      </w:pPr>
      <w:r>
        <w:rPr>
          <w:rFonts w:ascii="Calibri" w:hAnsi="Calibri" w:eastAsia="Calibri"/>
          <w:color w:val="111827"/>
        </w:rPr>
        <w:t>Destructive payloads, denial-of-service behavior or unsafe production stress testing.</w:t>
      </w:r>
    </w:p>
    <w:p>
      <w:pPr>
        <w:keepLines/>
        <w:numPr>
          <w:ilvl w:val="0"/>
          <w:numId w:val="10"/>
        </w:numPr>
        <w:spacing w:after="80" w:line="290" w:lineRule="auto"/>
        <w:ind w:left="540" w:hanging="279"/>
      </w:pPr>
      <w:r>
        <w:rPr>
          <w:rFonts w:ascii="Calibri" w:hAnsi="Calibri" w:eastAsia="Calibri"/>
          <w:color w:val="111827"/>
        </w:rPr>
        <w:t>Extraction of business data, personal information, secrets or authentication material as proof.</w:t>
      </w:r>
    </w:p>
    <w:p>
      <w:pPr>
        <w:keepLines/>
        <w:numPr>
          <w:ilvl w:val="0"/>
          <w:numId w:val="10"/>
        </w:numPr>
        <w:spacing w:after="80" w:line="290" w:lineRule="auto"/>
        <w:ind w:left="540" w:hanging="279"/>
      </w:pPr>
      <w:r>
        <w:rPr>
          <w:rFonts w:ascii="Calibri" w:hAnsi="Calibri" w:eastAsia="Calibri"/>
          <w:color w:val="111827"/>
        </w:rPr>
        <w:t>Automatic exploit generation or autonomous compromise of a target.</w:t>
      </w:r>
    </w:p>
    <w:tbl>
      <w:tblPr>
        <w:tblStyle w:val="TableGrid"/>
        <w:jc w:val="left"/>
        <w:tblLook w:firstColumn="1" w:firstRow="1" w:lastColumn="0" w:lastRow="0" w:noHBand="0" w:noVBand="1" w:val="04A0"/>
        <w:tblW w:w="9360" w:type="dxa"/>
        <w:tblInd w:w="180" w:type="dxa"/>
        <w:tblLayout w:type="fixed"/>
      </w:tblPr>
      <w:tblGrid>
        <w:gridCol w:w="9360"/>
      </w:tblGrid>
      <w:tr>
        <w:trPr>
          <w:cantSplit/>
        </w:trPr>
        <w:tc>
          <w:tcPr>
            <w:tcW w:type="dxa" w:w="9360"/>
            <w:vAlign w:val="center"/>
            <w:tcMar>
              <w:top w:w="150" w:type="dxa"/>
              <w:start w:w="180" w:type="dxa"/>
              <w:bottom w:w="150" w:type="dxa"/>
              <w:end w:w="180" w:type="dxa"/>
            </w:tcMar>
            <w:shd w:fill="FBECEC"/>
          </w:tcPr>
          <w:p>
            <w:pPr>
              <w:keepLines/>
              <w:spacing w:after="0" w:line="288" w:lineRule="auto"/>
            </w:pPr>
            <w:r>
              <w:rPr>
                <w:rFonts w:ascii="Calibri" w:hAnsi="Calibri" w:eastAsia="Calibri"/>
                <w:b/>
                <w:color w:val="9B1C1C"/>
                <w:sz w:val="21"/>
              </w:rPr>
              <w:t xml:space="preserve">Boundary: </w:t>
            </w:r>
            <w:r>
              <w:rPr>
                <w:rFonts w:ascii="Calibri" w:hAnsi="Calibri" w:eastAsia="Calibri"/>
                <w:color w:val="111827"/>
                <w:sz w:val="21"/>
              </w:rPr>
              <w:t>Seal is a defensive assessment and vulnerability-closure platform. It is not designed to obtain unauthorized access or maintain control of another system.</w:t>
            </w:r>
          </w:p>
        </w:tc>
      </w:tr>
    </w:tbl>
    <w:p>
      <w:pPr>
        <w:spacing w:after="40"/>
      </w:pPr>
    </w:p>
    <w:p>
      <w:pPr>
        <w:pStyle w:val="Heading2"/>
        <w:keepNext/>
        <w:keepLines/>
      </w:pPr>
      <w:r>
        <w:t>4.4 Safe-active definition and allowlist</w:t>
      </w:r>
    </w:p>
    <w:p>
      <w:pPr/>
      <w:r>
        <w:rPr>
          <w:rFonts w:ascii="Calibri" w:hAnsi="Calibri" w:eastAsia="Calibri"/>
          <w:color w:val="111827"/>
        </w:rPr>
        <w:t>A check is safe-active only when its exact request pattern, payload class, request count, data-handling behavior and stop conditions have been reviewed and placed on the approved allowlist. The label alone grants no permission. The default profile remains passive.</w:t>
      </w:r>
    </w:p>
    <w:tbl>
      <w:tblPr>
        <w:tblStyle w:val="TableGrid"/>
        <w:jc w:val="left"/>
        <w:tblLook w:firstColumn="1" w:firstRow="1" w:lastColumn="0" w:lastRow="0" w:noHBand="0" w:noVBand="1" w:val="04A0"/>
        <w:tblW w:w="9360" w:type="dxa"/>
        <w:tblInd w:w="120" w:type="dxa"/>
        <w:tblLayout w:type="fixed"/>
      </w:tblPr>
      <w:tblGrid>
        <w:gridCol w:w="3000"/>
        <w:gridCol w:w="6360"/>
      </w:tblGrid>
      <w:tr>
        <w:trPr>
          <w:cantSplit/>
          <w:tblHeader w:val="true"/>
          <w:tblHeader w:val="true"/>
        </w:trPr>
        <w:tc>
          <w:tcPr>
            <w:tcW w:type="dxa" w:w="3000"/>
            <w:vAlign w:val="center"/>
            <w:tcMar>
              <w:top w:w="100" w:type="dxa"/>
              <w:start w:w="120" w:type="dxa"/>
              <w:bottom w:w="100" w:type="dxa"/>
              <w:end w:w="120" w:type="dxa"/>
            </w:tcMar>
            <w:shd w:fill="EAF4F4"/>
          </w:tcPr>
          <w:p>
            <w:pPr>
              <w:keepLines/>
              <w:spacing w:before="0" w:after="40" w:line="264" w:lineRule="auto"/>
              <w:jc w:val="center"/>
            </w:pPr>
            <w:r>
              <w:rPr>
                <w:rFonts w:ascii="Calibri" w:hAnsi="Calibri" w:eastAsia="Calibri"/>
                <w:b/>
                <w:color w:val="0B2545"/>
                <w:sz w:val="19"/>
              </w:rPr>
              <w:t>Permitted class</w:t>
            </w:r>
          </w:p>
        </w:tc>
        <w:tc>
          <w:tcPr>
            <w:tcW w:type="dxa" w:w="6360"/>
            <w:vAlign w:val="center"/>
            <w:tcMar>
              <w:top w:w="100" w:type="dxa"/>
              <w:start w:w="120" w:type="dxa"/>
              <w:bottom w:w="100" w:type="dxa"/>
              <w:end w:w="120" w:type="dxa"/>
            </w:tcMar>
            <w:shd w:fill="EAF4F4"/>
          </w:tcPr>
          <w:p>
            <w:pPr>
              <w:keepLines/>
              <w:spacing w:before="0" w:after="40" w:line="264" w:lineRule="auto"/>
              <w:jc w:val="left"/>
            </w:pPr>
            <w:r>
              <w:rPr>
                <w:rFonts w:ascii="Calibri" w:hAnsi="Calibri" w:eastAsia="Calibri"/>
                <w:b/>
                <w:color w:val="0B2545"/>
                <w:sz w:val="19"/>
              </w:rPr>
              <w:t>Mandatory boundary</w:t>
            </w:r>
          </w:p>
        </w:tc>
      </w:tr>
      <w:tr>
        <w:trPr>
          <w:cantSplit/>
        </w:trPr>
        <w:tc>
          <w:tcPr>
            <w:tcW w:type="dxa" w:w="30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Protocol and method enumeration</w:t>
            </w:r>
          </w:p>
        </w:tc>
        <w:tc>
          <w:tcPr>
            <w:tcW w:type="dxa" w:w="63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Read-only HEAD, OPTIONS or equivalent requests; no authentication attempt or state change.</w:t>
            </w:r>
          </w:p>
        </w:tc>
      </w:tr>
      <w:tr>
        <w:trPr>
          <w:cantSplit/>
        </w:trPr>
        <w:tc>
          <w:tcPr>
            <w:tcW w:type="dxa" w:w="30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Bounded request variation</w:t>
            </w:r>
          </w:p>
        </w:tc>
        <w:tc>
          <w:tcPr>
            <w:tcW w:type="dxa" w:w="63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One non-destructive variation per approved parameter using a fixed payload library, strict rate limit and sanitized evidence.</w:t>
            </w:r>
          </w:p>
        </w:tc>
      </w:tr>
      <w:tr>
        <w:trPr>
          <w:cantSplit/>
        </w:trPr>
        <w:tc>
          <w:tcPr>
            <w:tcW w:type="dxa" w:w="30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Header and transport validation</w:t>
            </w:r>
          </w:p>
        </w:tc>
        <w:tc>
          <w:tcPr>
            <w:tcW w:type="dxa" w:w="63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Read-only inspection or harmless negotiation; no downgrade forcing, interception or credential capture.</w:t>
            </w:r>
          </w:p>
        </w:tc>
      </w:tr>
      <w:tr>
        <w:trPr>
          <w:cantSplit/>
        </w:trPr>
        <w:tc>
          <w:tcPr>
            <w:tcW w:type="dxa" w:w="30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Error-behavior probe</w:t>
            </w:r>
          </w:p>
        </w:tc>
        <w:tc>
          <w:tcPr>
            <w:tcW w:type="dxa" w:w="63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Single malformed or boundary-value request with a capped response size and immediate health check.</w:t>
            </w:r>
          </w:p>
        </w:tc>
      </w:tr>
    </w:tbl>
    <w:p>
      <w:pPr>
        <w:spacing w:before="0" w:after="80"/>
      </w:pPr>
    </w:p>
    <w:p>
      <w:pPr/>
      <w:r>
        <w:rPr>
          <w:rFonts w:ascii="Calibri" w:hAnsi="Calibri" w:eastAsia="Calibri"/>
          <w:color w:val="111827"/>
        </w:rPr>
        <w:t>Prohibited active classes include any check that writes, deletes, uploads, authenticates as another user, changes authorization state, escalates privilege, executes a command, establishes persistence, extracts protected data, triggers bulk messages, creates sustained load or crosses a redirect or resolved address outside approved scope. A new active class requires formal change control, threat-model update, laboratory evidence, security approval and a new profile version.</w:t>
      </w:r>
    </w:p>
    <w:p>
      <w:pPr/>
      <w:r>
        <w:t>Integration amendment — U01–U03: a method name does not establish safety; even GET may change target state. Approve exact route behavior and bounded collection in an owned laboratory. Deny direct worker egress and automatic redirects. Proposed ceilings of one request/second and one in-flight request per target, 1 MiB response and 10-second timeout require D06 profile review before activation; they are not proof of harmlessness.</w:t>
      </w:r>
    </w:p>
    <w:p>
      <w:pPr>
        <w:pStyle w:val="Heading1"/>
        <w:keepNext/>
        <w:keepLines/>
      </w:pPr>
      <w:r>
        <w:t>5. Users and responsibilities</w:t>
      </w:r>
    </w:p>
    <w:tbl>
      <w:tblPr>
        <w:tblStyle w:val="TableGrid"/>
        <w:jc w:val="left"/>
        <w:tblLook w:firstColumn="1" w:firstRow="1" w:lastColumn="0" w:lastRow="0" w:noHBand="0" w:noVBand="1" w:val="04A0"/>
        <w:tblW w:w="9360" w:type="dxa"/>
        <w:tblInd w:w="120" w:type="dxa"/>
        <w:tblLayout w:type="fixed"/>
      </w:tblPr>
      <w:tblGrid>
        <w:gridCol w:w="1900"/>
        <w:gridCol w:w="3680"/>
        <w:gridCol w:w="3780"/>
      </w:tblGrid>
      <w:tr>
        <w:trPr>
          <w:cantSplit/>
          <w:tblHeader w:val="true"/>
          <w:tblHeader w:val="true"/>
        </w:trPr>
        <w:tc>
          <w:tcPr>
            <w:tcW w:type="dxa" w:w="1900"/>
            <w:vAlign w:val="center"/>
            <w:tcMar>
              <w:top w:w="100" w:type="dxa"/>
              <w:start w:w="120" w:type="dxa"/>
              <w:bottom w:w="100" w:type="dxa"/>
              <w:end w:w="120" w:type="dxa"/>
            </w:tcMar>
            <w:shd w:fill="E8EEF5"/>
          </w:tcPr>
          <w:p>
            <w:pPr>
              <w:keepLines/>
              <w:spacing w:before="0" w:after="40" w:line="264" w:lineRule="auto"/>
              <w:jc w:val="center"/>
            </w:pPr>
            <w:r>
              <w:rPr>
                <w:rFonts w:ascii="Calibri" w:hAnsi="Calibri" w:eastAsia="Calibri"/>
                <w:b/>
                <w:color w:val="0B2545"/>
                <w:sz w:val="19"/>
              </w:rPr>
              <w:t>Role</w:t>
            </w:r>
          </w:p>
        </w:tc>
        <w:tc>
          <w:tcPr>
            <w:tcW w:type="dxa" w:w="3680"/>
            <w:vAlign w:val="center"/>
            <w:tcMar>
              <w:top w:w="100" w:type="dxa"/>
              <w:start w:w="120" w:type="dxa"/>
              <w:bottom w:w="100" w:type="dxa"/>
              <w:end w:w="120" w:type="dxa"/>
            </w:tcMar>
            <w:shd w:fill="E8EEF5"/>
          </w:tcPr>
          <w:p>
            <w:pPr>
              <w:keepLines/>
              <w:spacing w:before="0" w:after="40" w:line="264" w:lineRule="auto"/>
              <w:jc w:val="left"/>
            </w:pPr>
            <w:r>
              <w:rPr>
                <w:rFonts w:ascii="Calibri" w:hAnsi="Calibri" w:eastAsia="Calibri"/>
                <w:b/>
                <w:color w:val="0B2545"/>
                <w:sz w:val="19"/>
              </w:rPr>
              <w:t>Primary responsibility</w:t>
            </w:r>
          </w:p>
        </w:tc>
        <w:tc>
          <w:tcPr>
            <w:tcW w:type="dxa" w:w="3780"/>
            <w:vAlign w:val="center"/>
            <w:tcMar>
              <w:top w:w="100" w:type="dxa"/>
              <w:start w:w="120" w:type="dxa"/>
              <w:bottom w:w="100" w:type="dxa"/>
              <w:end w:w="120" w:type="dxa"/>
            </w:tcMar>
            <w:shd w:fill="E8EEF5"/>
          </w:tcPr>
          <w:p>
            <w:pPr>
              <w:keepLines/>
              <w:spacing w:before="0" w:after="40" w:line="264" w:lineRule="auto"/>
              <w:jc w:val="center"/>
            </w:pPr>
            <w:r>
              <w:rPr>
                <w:rFonts w:ascii="Calibri" w:hAnsi="Calibri" w:eastAsia="Calibri"/>
                <w:b/>
                <w:color w:val="0B2545"/>
                <w:sz w:val="19"/>
              </w:rPr>
              <w:t>Key permissions</w:t>
            </w:r>
          </w:p>
        </w:tc>
      </w:tr>
      <w:tr>
        <w:trPr>
          <w:cantSplit/>
        </w:trPr>
        <w:tc>
          <w:tcPr>
            <w:tcW w:type="dxa" w:w="19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Platform owner</w:t>
            </w:r>
          </w:p>
        </w:tc>
        <w:tc>
          <w:tcPr>
            <w:tcW w:type="dxa" w:w="368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Govern product use and approve institutional policy.</w:t>
            </w:r>
          </w:p>
        </w:tc>
        <w:tc>
          <w:tcPr>
            <w:tcW w:type="dxa" w:w="378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Configure governance; review high-risk actions; approve integrations.</w:t>
            </w:r>
          </w:p>
        </w:tc>
      </w:tr>
      <w:tr>
        <w:trPr>
          <w:cantSplit/>
        </w:trPr>
        <w:tc>
          <w:tcPr>
            <w:tcW w:type="dxa" w:w="19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Security administrator</w:t>
            </w:r>
          </w:p>
        </w:tc>
        <w:tc>
          <w:tcPr>
            <w:tcW w:type="dxa" w:w="368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Operate the platform and maintain scanner profiles.</w:t>
            </w:r>
          </w:p>
        </w:tc>
        <w:tc>
          <w:tcPr>
            <w:tcW w:type="dxa" w:w="378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Register users; manage adapters; approve safe profiles; monitor health.</w:t>
            </w:r>
          </w:p>
        </w:tc>
      </w:tr>
      <w:tr>
        <w:trPr>
          <w:cantSplit/>
        </w:trPr>
        <w:tc>
          <w:tcPr>
            <w:tcW w:type="dxa" w:w="19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Authorized assessor</w:t>
            </w:r>
          </w:p>
        </w:tc>
        <w:tc>
          <w:tcPr>
            <w:tcW w:type="dxa" w:w="368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Plan and execute approved assessments.</w:t>
            </w:r>
          </w:p>
        </w:tc>
        <w:tc>
          <w:tcPr>
            <w:tcW w:type="dxa" w:w="378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Request scope; schedule scans; triage evidence; propose findings.</w:t>
            </w:r>
          </w:p>
        </w:tc>
      </w:tr>
      <w:tr>
        <w:trPr>
          <w:cantSplit/>
        </w:trPr>
        <w:tc>
          <w:tcPr>
            <w:tcW w:type="dxa" w:w="19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System or code owner</w:t>
            </w:r>
          </w:p>
        </w:tc>
        <w:tc>
          <w:tcPr>
            <w:tcW w:type="dxa" w:w="368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Correct findings affecting an assigned asset.</w:t>
            </w:r>
          </w:p>
        </w:tc>
        <w:tc>
          <w:tcPr>
            <w:tcW w:type="dxa" w:w="378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View evidence; update remediation; request verification.</w:t>
            </w:r>
          </w:p>
        </w:tc>
      </w:tr>
      <w:tr>
        <w:trPr>
          <w:cantSplit/>
        </w:trPr>
        <w:tc>
          <w:tcPr>
            <w:tcW w:type="dxa" w:w="19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Reviewer or auditor</w:t>
            </w:r>
          </w:p>
        </w:tc>
        <w:tc>
          <w:tcPr>
            <w:tcW w:type="dxa" w:w="368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Confirm authorization, risk decisions and closure evidence.</w:t>
            </w:r>
          </w:p>
        </w:tc>
        <w:tc>
          <w:tcPr>
            <w:tcW w:type="dxa" w:w="378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Read records; approve exceptions; validate closure.</w:t>
            </w:r>
          </w:p>
        </w:tc>
      </w:tr>
      <w:tr>
        <w:trPr>
          <w:cantSplit/>
        </w:trPr>
        <w:tc>
          <w:tcPr>
            <w:tcW w:type="dxa" w:w="19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Legal and compliance adviser</w:t>
            </w:r>
          </w:p>
        </w:tc>
        <w:tc>
          <w:tcPr>
            <w:tcW w:type="dxa" w:w="368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Determine licensing, accreditation, certification, privacy and sector obligations.</w:t>
            </w:r>
          </w:p>
        </w:tc>
        <w:tc>
          <w:tcPr>
            <w:tcW w:type="dxa" w:w="378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Issue recorded Phase 0 advice; approve no technical scan activity.</w:t>
            </w:r>
          </w:p>
        </w:tc>
      </w:tr>
      <w:tr>
        <w:trPr>
          <w:cantSplit/>
        </w:trPr>
        <w:tc>
          <w:tcPr>
            <w:tcW w:type="dxa" w:w="19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Incident coordinator</w:t>
            </w:r>
          </w:p>
        </w:tc>
        <w:tc>
          <w:tcPr>
            <w:tcW w:type="dxa" w:w="368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Own escalation when evidence suggests an active compromise.</w:t>
            </w:r>
          </w:p>
        </w:tc>
        <w:tc>
          <w:tcPr>
            <w:tcW w:type="dxa" w:w="378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Halt assessment; preserve evidence; notify agreed contacts; coordinate applicable CERT reporting.</w:t>
            </w:r>
          </w:p>
        </w:tc>
      </w:tr>
      <w:tr>
        <w:trPr>
          <w:cantSplit/>
        </w:trPr>
        <w:tc>
          <w:tcPr>
            <w:tcW w:type="dxa" w:w="19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Executive viewer</w:t>
            </w:r>
          </w:p>
        </w:tc>
        <w:tc>
          <w:tcPr>
            <w:tcW w:type="dxa" w:w="368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Understand exposure and remediation progress.</w:t>
            </w:r>
          </w:p>
        </w:tc>
        <w:tc>
          <w:tcPr>
            <w:tcW w:type="dxa" w:w="378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Read summarized dashboards and reports only.</w:t>
            </w:r>
          </w:p>
        </w:tc>
      </w:tr>
    </w:tbl>
    <w:p>
      <w:pPr>
        <w:spacing w:before="0" w:after="80"/>
      </w:pPr>
    </w:p>
    <w:p>
      <w:pPr>
        <w:pStyle w:val="Heading1"/>
        <w:keepNext/>
        <w:keepLines/>
      </w:pPr>
      <w:r>
        <w:t>6. Functional capabilities</w:t>
      </w:r>
    </w:p>
    <w:p>
      <w:pPr>
        <w:pStyle w:val="Heading2"/>
        <w:keepNext/>
        <w:keepLines/>
      </w:pPr>
      <w:r>
        <w:t>6.1 Target authorization and onboarding</w:t>
      </w:r>
    </w:p>
    <w:p>
      <w:pPr/>
      <w:r>
        <w:rPr>
          <w:rFonts w:ascii="Calibri" w:hAnsi="Calibri" w:eastAsia="Calibri"/>
          <w:color w:val="111827"/>
        </w:rPr>
        <w:t>Register each target with ownership evidence, permitted techniques, excluded paths, approved dates, emergency contacts and a responsible approver. The authorization gate rejects expired, mismatched or out-of-range jobs.</w:t>
      </w:r>
    </w:p>
    <w:p>
      <w:pPr>
        <w:pStyle w:val="Heading2"/>
        <w:keepNext/>
        <w:keepLines/>
      </w:pPr>
      <w:r>
        <w:t>6.2 Asset context</w:t>
      </w:r>
    </w:p>
    <w:p>
      <w:pPr/>
      <w:r>
        <w:rPr>
          <w:rFonts w:ascii="Calibri" w:hAnsi="Calibri" w:eastAsia="Calibri"/>
          <w:color w:val="111827"/>
        </w:rPr>
        <w:t>Record approved assets and their ownership, exposure, environment and criticality. Network discovery is deferred from the MVP and never creates permission to assess a newly observed service.</w:t>
      </w:r>
    </w:p>
    <w:p>
      <w:pPr>
        <w:pStyle w:val="Heading2"/>
        <w:keepNext/>
        <w:keepLines/>
      </w:pPr>
      <w:r>
        <w:t>6.3 Web application assessment</w:t>
      </w:r>
    </w:p>
    <w:p>
      <w:pPr/>
      <w:r>
        <w:rPr>
          <w:rFonts w:ascii="Calibri" w:hAnsi="Calibri" w:eastAsia="Calibri"/>
          <w:color w:val="111827"/>
        </w:rPr>
        <w:t>Inspect transport settings, security headers, session controls and exposed metadata. Passive checks run first. A safe-active check runs only when its class appears in the Section 4.4 allowlist, its exact profile version is approved and the target is an owned laboratory system.</w:t>
      </w:r>
    </w:p>
    <w:p>
      <w:pPr>
        <w:pStyle w:val="Heading2"/>
        <w:keepNext/>
        <w:keepLines/>
      </w:pPr>
      <w:r>
        <w:t>6.4 Source or dependency analysis</w:t>
      </w:r>
    </w:p>
    <w:p>
      <w:pPr/>
      <w:r>
        <w:rPr>
          <w:rFonts w:ascii="Calibri" w:hAnsi="Calibri" w:eastAsia="Calibri"/>
          <w:color w:val="111827"/>
        </w:rPr>
        <w:t>Analyze authorized repositories or dependency manifests using one selected MVP adapter. If Trivy is selected, the MVP profile is limited to dependency and artifact analysis; configuration scanning remains deferred. Record the exact scanner, rule set, artifact revision and profile version for reproducibility.</w:t>
      </w:r>
    </w:p>
    <w:p>
      <w:pPr>
        <w:pStyle w:val="Heading2"/>
        <w:keepNext/>
        <w:keepLines/>
      </w:pPr>
      <w:r>
        <w:t>6.5 Finding normalization</w:t>
      </w:r>
    </w:p>
    <w:p>
      <w:pPr/>
      <w:r>
        <w:rPr>
          <w:rFonts w:ascii="Calibri" w:hAnsi="Calibri" w:eastAsia="Calibri"/>
          <w:color w:val="111827"/>
        </w:rPr>
        <w:t>Convert source records into a common schema through versioned adapter fingerprints. Store the raw source identity, normalized identity and every alias or merge decision so recurrence and closure can be explained.</w:t>
      </w:r>
    </w:p>
    <w:p>
      <w:pPr>
        <w:pStyle w:val="Heading2"/>
        <w:keepNext/>
        <w:keepLines/>
      </w:pPr>
      <w:r>
        <w:t>6.6 Prioritization</w:t>
      </w:r>
    </w:p>
    <w:p>
      <w:pPr/>
      <w:r>
        <w:rPr>
          <w:rFonts w:ascii="Calibri" w:hAnsi="Calibri" w:eastAsia="Calibri"/>
          <w:color w:val="111827"/>
        </w:rPr>
        <w:t>Record CVSS environmental severity where applicable, exploitation likelihood such as EPSS for published CVEs, and an SSVC-style action decision. Evidence confidence remains separate and determines verification urgency, not lower priority.</w:t>
      </w:r>
    </w:p>
    <w:p>
      <w:pPr>
        <w:pStyle w:val="Heading2"/>
        <w:keepNext/>
        <w:keepLines/>
      </w:pPr>
      <w:r>
        <w:t>6.7 Remediation workflow</w:t>
      </w:r>
    </w:p>
    <w:p>
      <w:pPr/>
      <w:r>
        <w:rPr>
          <w:rFonts w:ascii="Calibri" w:hAnsi="Calibri" w:eastAsia="Calibri"/>
          <w:color w:val="111827"/>
        </w:rPr>
        <w:t>Assign an owner, corrective action, due date and validation requirement. Status changes are recorded with time, user and justification.</w:t>
      </w:r>
    </w:p>
    <w:p>
      <w:pPr>
        <w:pStyle w:val="Heading2"/>
        <w:keepNext/>
        <w:keepLines/>
      </w:pPr>
      <w:r>
        <w:t>6.8 Verification and closure</w:t>
      </w:r>
    </w:p>
    <w:p>
      <w:pPr/>
      <w:r>
        <w:rPr>
          <w:rFonts w:ascii="Calibri" w:hAnsi="Calibri" w:eastAsia="Calibri"/>
          <w:color w:val="111827"/>
        </w:rPr>
        <w:t>Rescan the relevant authorized target/control after remediation. U04 requires complete coverage, the repaired revision, compatible profile/rules, sanitized evidence and a reviewer independent of assessor and fixer. Failed, partial, unreachable or wrong-build results remain inconclusive. High/Critical findings finalize Closed only after a verified external receipt covers their closure-intent event; recurrence reopens a previously closed finding.</w:t>
      </w:r>
    </w:p>
    <w:p>
      <w:pPr>
        <w:pStyle w:val="Heading2"/>
        <w:keepNext/>
        <w:keepLines/>
      </w:pPr>
      <w:r>
        <w:t>6.9 Reporting and integration</w:t>
      </w:r>
    </w:p>
    <w:p>
      <w:pPr/>
      <w:r>
        <w:rPr>
          <w:rFonts w:ascii="Calibri" w:hAnsi="Calibri" w:eastAsia="Calibri"/>
          <w:color w:val="111827"/>
        </w:rPr>
        <w:t>The MVP provides technical findings, management summaries, trend views, the web dashboard and JSON/CSV export interfaces. Automated ticket creation, CI/CD enforcement checks and generated DOCX/PDF reports are post-MVP capabilities; if later approved, their integrations may not bypass scope controls.</w:t>
      </w:r>
    </w:p>
    <w:p>
      <w:pPr>
        <w:pStyle w:val="Heading2"/>
        <w:keepNext/>
        <w:keepLines/>
      </w:pPr>
      <w:r>
        <w:t>6.10 Finding identity and normalization design</w:t>
      </w:r>
    </w:p>
    <w:p>
      <w:pPr/>
      <w:r>
        <w:rPr>
          <w:rFonts w:ascii="Calibri" w:hAnsi="Calibri" w:eastAsia="Calibri"/>
          <w:color w:val="111827"/>
        </w:rPr>
        <w:t>Every adapter produces a fingerprint within an organization and target boundary. Fingerprint algorithms are versioned; a re-fingerprinting migration may create aliases but may not silently replace historical identity. Line numbers, image-layer digests and other volatile locations are retained as evidence rather than used as the sole key.</w:t>
      </w:r>
    </w:p>
    <w:tbl>
      <w:tblPr>
        <w:tblStyle w:val="TableGrid"/>
        <w:jc w:val="left"/>
        <w:tblLook w:firstColumn="1" w:firstRow="1" w:lastColumn="0" w:lastRow="0" w:noHBand="0" w:noVBand="1" w:val="04A0"/>
        <w:tblW w:w="9360" w:type="dxa"/>
        <w:tblInd w:w="120" w:type="dxa"/>
        <w:tblLayout w:type="fixed"/>
      </w:tblPr>
      <w:tblGrid>
        <w:gridCol w:w="1900"/>
        <w:gridCol w:w="3420"/>
        <w:gridCol w:w="4040"/>
      </w:tblGrid>
      <w:tr>
        <w:trPr>
          <w:cantSplit/>
          <w:tblHeader w:val="true"/>
          <w:tblHeader w:val="true"/>
        </w:trPr>
        <w:tc>
          <w:tcPr>
            <w:tcW w:type="dxa" w:w="1900"/>
            <w:vAlign w:val="center"/>
            <w:tcMar>
              <w:top w:w="100" w:type="dxa"/>
              <w:start w:w="120" w:type="dxa"/>
              <w:bottom w:w="100" w:type="dxa"/>
              <w:end w:w="120" w:type="dxa"/>
            </w:tcMar>
            <w:shd w:fill="F4F6F9"/>
          </w:tcPr>
          <w:p>
            <w:pPr>
              <w:keepLines/>
              <w:spacing w:before="0" w:after="40" w:line="264" w:lineRule="auto"/>
              <w:jc w:val="center"/>
            </w:pPr>
            <w:r>
              <w:rPr>
                <w:rFonts w:ascii="Calibri" w:hAnsi="Calibri" w:eastAsia="Calibri"/>
                <w:b/>
                <w:color w:val="0B2545"/>
                <w:sz w:val="19"/>
              </w:rPr>
              <w:t>Adapter family</w:t>
            </w:r>
          </w:p>
        </w:tc>
        <w:tc>
          <w:tcPr>
            <w:tcW w:type="dxa" w:w="3420"/>
            <w:vAlign w:val="center"/>
            <w:tcMar>
              <w:top w:w="100" w:type="dxa"/>
              <w:start w:w="120" w:type="dxa"/>
              <w:bottom w:w="100" w:type="dxa"/>
              <w:end w:w="120" w:type="dxa"/>
            </w:tcMar>
            <w:shd w:fill="F4F6F9"/>
          </w:tcPr>
          <w:p>
            <w:pPr>
              <w:keepLines/>
              <w:spacing w:before="0" w:after="40" w:line="264" w:lineRule="auto"/>
              <w:jc w:val="center"/>
            </w:pPr>
            <w:r>
              <w:rPr>
                <w:rFonts w:ascii="Calibri" w:hAnsi="Calibri" w:eastAsia="Calibri"/>
                <w:b/>
                <w:color w:val="0B2545"/>
                <w:sz w:val="19"/>
              </w:rPr>
              <w:t>Fingerprint basis</w:t>
            </w:r>
          </w:p>
        </w:tc>
        <w:tc>
          <w:tcPr>
            <w:tcW w:type="dxa" w:w="4040"/>
            <w:vAlign w:val="center"/>
            <w:tcMar>
              <w:top w:w="100" w:type="dxa"/>
              <w:start w:w="120" w:type="dxa"/>
              <w:bottom w:w="100" w:type="dxa"/>
              <w:end w:w="120" w:type="dxa"/>
            </w:tcMar>
            <w:shd w:fill="F4F6F9"/>
          </w:tcPr>
          <w:p>
            <w:pPr>
              <w:keepLines/>
              <w:spacing w:before="0" w:after="40" w:line="264" w:lineRule="auto"/>
              <w:jc w:val="left"/>
            </w:pPr>
            <w:r>
              <w:rPr>
                <w:rFonts w:ascii="Calibri" w:hAnsi="Calibri" w:eastAsia="Calibri"/>
                <w:b/>
                <w:color w:val="0B2545"/>
                <w:sz w:val="19"/>
              </w:rPr>
              <w:t>Stability and merge rule</w:t>
            </w:r>
          </w:p>
        </w:tc>
      </w:tr>
      <w:tr>
        <w:trPr>
          <w:cantSplit/>
        </w:trPr>
        <w:tc>
          <w:tcPr>
            <w:tcW w:type="dxa" w:w="19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Web / ZAP</w:t>
            </w:r>
          </w:p>
        </w:tc>
        <w:tc>
          <w:tcPr>
            <w:tcW w:type="dxa" w:w="342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organization + target + alert class + HTTP method class + normalized route template + parameter name/location</w:t>
            </w:r>
          </w:p>
        </w:tc>
        <w:tc>
          <w:tcPr>
            <w:tcW w:type="dxa" w:w="404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Ignore volatile query values and session identifiers. A route-template change creates a candidate alias requiring review; different parameters remain separate findings.</w:t>
            </w:r>
          </w:p>
        </w:tc>
      </w:tr>
      <w:tr>
        <w:trPr>
          <w:cantSplit/>
        </w:trPr>
        <w:tc>
          <w:tcPr>
            <w:tcW w:type="dxa" w:w="19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Static analysis / Semgrep</w:t>
            </w:r>
          </w:p>
        </w:tc>
        <w:tc>
          <w:tcPr>
            <w:tcW w:type="dxa" w:w="342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organization + repository + rule identifier + symbol or structural code context hash</w:t>
            </w:r>
          </w:p>
        </w:tc>
        <w:tc>
          <w:tcPr>
            <w:tcW w:type="dxa" w:w="404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File path and line number are evidence, not the primary key. A moved block may retain identity when the structural hash and repository match.</w:t>
            </w:r>
          </w:p>
        </w:tc>
      </w:tr>
      <w:tr>
        <w:trPr>
          <w:cantSplit/>
        </w:trPr>
        <w:tc>
          <w:tcPr>
            <w:tcW w:type="dxa" w:w="19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Dependency / Trivy</w:t>
            </w:r>
          </w:p>
        </w:tc>
        <w:tc>
          <w:tcPr>
            <w:tcW w:type="dxa" w:w="342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organization + logical artifact + ecosystem + package + vulnerability identifier</w:t>
            </w:r>
          </w:p>
        </w:tc>
        <w:tc>
          <w:tcPr>
            <w:tcW w:type="dxa" w:w="404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Image layer and build digest are observation evidence. The same affected package/CVE across rebuilds remains one finding; distinct deployable artifacts remain separate.</w:t>
            </w:r>
          </w:p>
        </w:tc>
      </w:tr>
      <w:tr>
        <w:trPr>
          <w:cantSplit/>
        </w:trPr>
        <w:tc>
          <w:tcPr>
            <w:tcW w:type="dxa" w:w="19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Configuration / Trivy - deferred</w:t>
            </w:r>
          </w:p>
        </w:tc>
        <w:tc>
          <w:tcPr>
            <w:tcW w:type="dxa" w:w="342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organization + repository + rule identifier + normalized resource address + attribute path</w:t>
            </w:r>
          </w:p>
        </w:tc>
        <w:tc>
          <w:tcPr>
            <w:tcW w:type="dxa" w:w="404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Not implemented in the MVP. When admitted later, resource renames create a reviewed alias and two different resources never merge only because the same rule fired.</w:t>
            </w:r>
          </w:p>
        </w:tc>
      </w:tr>
      <w:tr>
        <w:trPr>
          <w:cantSplit/>
        </w:trPr>
        <w:tc>
          <w:tcPr>
            <w:tcW w:type="dxa" w:w="19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Network - deferred</w:t>
            </w:r>
          </w:p>
        </w:tc>
        <w:tc>
          <w:tcPr>
            <w:tcW w:type="dxa" w:w="342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organization + registered target + protocol + port + finding or service class</w:t>
            </w:r>
          </w:p>
        </w:tc>
        <w:tc>
          <w:tcPr>
            <w:tcW w:type="dxa" w:w="404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A reassigned address is not treated as the same target without a new authorization record.</w:t>
            </w:r>
          </w:p>
        </w:tc>
      </w:tr>
    </w:tbl>
    <w:p>
      <w:pPr>
        <w:spacing w:before="0" w:after="80"/>
      </w:pPr>
    </w:p>
    <w:p>
      <w:pPr/>
      <w:r>
        <w:rPr>
          <w:rFonts w:ascii="Calibri" w:hAnsi="Calibri" w:eastAsia="Calibri"/>
          <w:color w:val="111827"/>
        </w:rPr>
        <w:t>The normalized state machine is New -&gt; Confirmed -&gt; Assigned -&gt; Remediating -&gt; Verification pending -&gt; Closed. A matching observation while open becomes Repeated; a matching observation after verified closure becomes Reopened; suppression requires an expiry, reviewer and reason. Automatic merges are allowed only for identical current-version fingerprints. Suggested merges, splits and aliases require a reviewer and remain reversible and audited.</w:t>
      </w:r>
    </w:p>
    <w:p>
      <w:pPr>
        <w:pStyle w:val="Heading2"/>
        <w:keepNext/>
      </w:pPr>
      <w:r>
        <w:t>6.11 Coverage, lifecycle and closure contracts</w:t>
      </w:r>
    </w:p>
    <w:p>
      <w:pPr/>
      <w:r>
        <w:t>Every job records Complete, Partial, Failed, Stopped or Not assessed, with expected/attempted/completed checks, skips, errors and truncation. Repeated is an observation event, not a replacement work state. Reopened is a transition after verified closure. Risk accepted, Suppressed and False positive are reviewed dispositions, never proof of a fix. Time-bound exceptions restore unresolved work on expiry; false-positive decisions remain reversible and require revalidation under the approved policy. Closure awaiting anchor is a verification substate, not final Closed. Use optimistic concurrency and idempotent receipt reconciliation. See U03–U05 and W02–W03.</w:t>
      </w:r>
    </w:p>
    <w:p>
      <w:pPr>
        <w:pStyle w:val="Heading1"/>
        <w:keepNext/>
        <w:keepLines/>
      </w:pPr>
      <w:r>
        <w:t>7. Operating workflow</w:t>
      </w:r>
    </w:p>
    <w:p>
      <w:pPr>
        <w:keepLines/>
        <w:numPr>
          <w:ilvl w:val="0"/>
          <w:numId w:val="12"/>
        </w:numPr>
        <w:spacing w:after="80" w:line="290" w:lineRule="auto"/>
        <w:ind w:left="540" w:hanging="279"/>
      </w:pPr>
      <w:r>
        <w:rPr>
          <w:rFonts w:ascii="Calibri" w:hAnsi="Calibri" w:eastAsia="Calibri"/>
          <w:color w:val="111827"/>
        </w:rPr>
        <w:t>Register the asset and responsible owner.</w:t>
      </w:r>
    </w:p>
    <w:p>
      <w:pPr>
        <w:keepLines/>
        <w:numPr>
          <w:ilvl w:val="0"/>
          <w:numId w:val="12"/>
        </w:numPr>
        <w:spacing w:after="80" w:line="290" w:lineRule="auto"/>
        <w:ind w:left="540" w:hanging="279"/>
      </w:pPr>
      <w:r>
        <w:rPr>
          <w:rFonts w:ascii="Calibri" w:hAnsi="Calibri" w:eastAsia="Calibri"/>
          <w:color w:val="111827"/>
        </w:rPr>
        <w:t>Capture written authorization, scope, exclusions and the approved testing window.</w:t>
      </w:r>
    </w:p>
    <w:p>
      <w:pPr>
        <w:keepLines/>
        <w:numPr>
          <w:ilvl w:val="0"/>
          <w:numId w:val="12"/>
        </w:numPr>
        <w:spacing w:after="80" w:line="290" w:lineRule="auto"/>
        <w:ind w:left="540" w:hanging="279"/>
      </w:pPr>
      <w:r>
        <w:rPr>
          <w:rFonts w:ascii="Calibri" w:hAnsi="Calibri" w:eastAsia="Calibri"/>
          <w:color w:val="111827"/>
        </w:rPr>
        <w:t>Select a predefined safe scan profile and perform a preflight health check.</w:t>
      </w:r>
    </w:p>
    <w:p>
      <w:pPr>
        <w:keepLines/>
        <w:numPr>
          <w:ilvl w:val="0"/>
          <w:numId w:val="12"/>
        </w:numPr>
        <w:spacing w:after="80" w:line="290" w:lineRule="auto"/>
        <w:ind w:left="540" w:hanging="279"/>
      </w:pPr>
      <w:r>
        <w:rPr>
          <w:rFonts w:ascii="Calibri" w:hAnsi="Calibri" w:eastAsia="Calibri"/>
          <w:color w:val="111827"/>
        </w:rPr>
        <w:t>Execute isolated scanner adapters under rate and resource limits.</w:t>
      </w:r>
    </w:p>
    <w:p>
      <w:pPr>
        <w:keepLines/>
        <w:numPr>
          <w:ilvl w:val="0"/>
          <w:numId w:val="12"/>
        </w:numPr>
        <w:spacing w:after="80" w:line="290" w:lineRule="auto"/>
        <w:ind w:left="540" w:hanging="279"/>
      </w:pPr>
      <w:r>
        <w:rPr>
          <w:rFonts w:ascii="Calibri" w:hAnsi="Calibri" w:eastAsia="Calibri"/>
          <w:color w:val="111827"/>
        </w:rPr>
        <w:t>Normalize, deduplicate and review the evidence.</w:t>
      </w:r>
    </w:p>
    <w:p>
      <w:pPr>
        <w:keepLines/>
        <w:numPr>
          <w:ilvl w:val="0"/>
          <w:numId w:val="12"/>
        </w:numPr>
        <w:spacing w:after="80" w:line="290" w:lineRule="auto"/>
        <w:ind w:left="540" w:hanging="279"/>
      </w:pPr>
      <w:r>
        <w:rPr>
          <w:rFonts w:ascii="Calibri" w:hAnsi="Calibri" w:eastAsia="Calibri"/>
          <w:color w:val="111827"/>
        </w:rPr>
        <w:t>Prioritize confirmed findings and assign corrective actions.</w:t>
      </w:r>
    </w:p>
    <w:p>
      <w:pPr>
        <w:keepLines/>
        <w:numPr>
          <w:ilvl w:val="0"/>
          <w:numId w:val="12"/>
        </w:numPr>
        <w:spacing w:after="80" w:line="290" w:lineRule="auto"/>
        <w:ind w:left="540" w:hanging="279"/>
      </w:pPr>
      <w:r>
        <w:rPr>
          <w:rFonts w:ascii="Calibri" w:hAnsi="Calibri" w:eastAsia="Calibri"/>
          <w:color w:val="111827"/>
        </w:rPr>
        <w:t>Rescan the affected component after remediation.</w:t>
      </w:r>
    </w:p>
    <w:p>
      <w:pPr>
        <w:keepLines/>
        <w:numPr>
          <w:ilvl w:val="0"/>
          <w:numId w:val="12"/>
        </w:numPr>
        <w:spacing w:after="80" w:line="290" w:lineRule="auto"/>
        <w:ind w:left="540" w:hanging="279"/>
      </w:pPr>
      <w:r>
        <w:rPr>
          <w:rFonts w:ascii="Calibri" w:hAnsi="Calibri" w:eastAsia="Calibri"/>
          <w:color w:val="111827"/>
        </w:rPr>
        <w:t>Close, reopen or accept the risk through an auditable decision.</w:t>
      </w:r>
    </w:p>
    <w:p>
      <w:pPr>
        <w:pStyle w:val="Heading1"/>
        <w:keepNext/>
        <w:keepLines/>
      </w:pPr>
      <w:r>
        <w:t>8. Proposed architecture</w:t>
      </w:r>
    </w:p>
    <w:p>
      <w:pPr/>
      <w:r>
        <w:rPr>
          <w:rFonts w:ascii="Calibri" w:hAnsi="Calibri" w:eastAsia="Calibri"/>
          <w:color w:val="111827"/>
        </w:rPr>
        <w:t>Seal uses a modular architecture that keeps governance and evidence inside the trusted core while running individual scanners in restricted worker containers. This separation limits the effect of a faulty or compromised adapter and makes every tool invocation traceable to an approved job.</w:t>
      </w:r>
    </w:p>
    <w:p>
      <w:pPr>
        <w:jc w:val="center"/>
      </w:pPr>
      <w:r>
        <w:drawing>
          <wp:inline xmlns:a="http://schemas.openxmlformats.org/drawingml/2006/main" xmlns:pic="http://schemas.openxmlformats.org/drawingml/2006/picture">
            <wp:extent cx="5715000" cy="3683000"/>
            <wp:docPr id="3" name="Picture 3" title="Seal platform architecture" descr="Flow from dashboard and API through the authorization gate and scan orchestrator to isolated network, web, and code scanners, then into risk analysis, evidence storage, remediation and verification."/>
            <wp:cNvGraphicFramePr>
              <a:graphicFrameLocks noChangeAspect="1"/>
            </wp:cNvGraphicFramePr>
            <a:graphic>
              <a:graphicData uri="http://schemas.openxmlformats.org/drawingml/2006/picture">
                <pic:pic>
                  <pic:nvPicPr>
                    <pic:cNvPr id="0" name="seal_architecture.png"/>
                    <pic:cNvPicPr/>
                  </pic:nvPicPr>
                  <pic:blipFill>
                    <a:blip r:embed="rId13"/>
                    <a:stretch>
                      <a:fillRect/>
                    </a:stretch>
                  </pic:blipFill>
                  <pic:spPr>
                    <a:xfrm>
                      <a:off x="0" y="0"/>
                      <a:ext cx="5715000" cy="3683000"/>
                    </a:xfrm>
                    <a:prstGeom prst="rect"/>
                  </pic:spPr>
                </pic:pic>
              </a:graphicData>
            </a:graphic>
          </wp:inline>
        </w:drawing>
      </w:r>
    </w:p>
    <w:p>
      <w:pPr>
        <w:pStyle w:val="Caption"/>
        <w:spacing w:before="80" w:after="160"/>
        <w:jc w:val="center"/>
      </w:pPr>
      <w:r>
        <w:rPr>
          <w:rFonts w:ascii="Calibri" w:hAnsi="Calibri" w:eastAsia="Calibri"/>
          <w:i/>
          <w:color w:val="4B5563"/>
          <w:sz w:val="18"/>
        </w:rPr>
        <w:t>Figure 1. Proposed authorization-first architecture for Seal.</w:t>
      </w:r>
    </w:p>
    <w:tbl>
      <w:tblPr>
        <w:tblStyle w:val="TableGrid"/>
        <w:jc w:val="left"/>
        <w:tblLook w:firstColumn="1" w:firstRow="1" w:lastColumn="0" w:lastRow="0" w:noHBand="0" w:noVBand="1" w:val="04A0"/>
        <w:tblW w:w="9360" w:type="dxa"/>
        <w:tblInd w:w="120" w:type="dxa"/>
        <w:tblLayout w:type="fixed"/>
      </w:tblPr>
      <w:tblGrid>
        <w:gridCol w:w="2600"/>
        <w:gridCol w:w="6760"/>
      </w:tblGrid>
      <w:tr>
        <w:trPr>
          <w:cantSplit/>
          <w:tblHeader w:val="true"/>
          <w:tblHeader w:val="true"/>
        </w:trPr>
        <w:tc>
          <w:tcPr>
            <w:tcW w:type="dxa" w:w="2600"/>
            <w:vAlign w:val="center"/>
            <w:tcMar>
              <w:top w:w="100" w:type="dxa"/>
              <w:start w:w="120" w:type="dxa"/>
              <w:bottom w:w="100" w:type="dxa"/>
              <w:end w:w="120" w:type="dxa"/>
            </w:tcMar>
            <w:shd w:fill="E8EEF5"/>
          </w:tcPr>
          <w:p>
            <w:pPr>
              <w:keepLines/>
              <w:spacing w:before="0" w:after="40" w:line="264" w:lineRule="auto"/>
              <w:jc w:val="center"/>
            </w:pPr>
            <w:r>
              <w:rPr>
                <w:rFonts w:ascii="Calibri" w:hAnsi="Calibri" w:eastAsia="Calibri"/>
                <w:b/>
                <w:color w:val="0B2545"/>
                <w:sz w:val="19"/>
              </w:rPr>
              <w:t>Layer</w:t>
            </w:r>
          </w:p>
        </w:tc>
        <w:tc>
          <w:tcPr>
            <w:tcW w:type="dxa" w:w="6760"/>
            <w:vAlign w:val="center"/>
            <w:tcMar>
              <w:top w:w="100" w:type="dxa"/>
              <w:start w:w="120" w:type="dxa"/>
              <w:bottom w:w="100" w:type="dxa"/>
              <w:end w:w="120" w:type="dxa"/>
            </w:tcMar>
            <w:shd w:fill="E8EEF5"/>
          </w:tcPr>
          <w:p>
            <w:pPr>
              <w:keepLines/>
              <w:spacing w:before="0" w:after="40" w:line="264" w:lineRule="auto"/>
              <w:jc w:val="center"/>
            </w:pPr>
            <w:r>
              <w:rPr>
                <w:rFonts w:ascii="Calibri" w:hAnsi="Calibri" w:eastAsia="Calibri"/>
                <w:b/>
                <w:color w:val="0B2545"/>
                <w:sz w:val="19"/>
              </w:rPr>
              <w:t>Responsibilities</w:t>
            </w:r>
          </w:p>
        </w:tc>
      </w:tr>
      <w:tr>
        <w:trPr>
          <w:cantSplit/>
        </w:trPr>
        <w:tc>
          <w:tcPr>
            <w:tcW w:type="dxa" w:w="26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Dashboard and API</w:t>
            </w:r>
          </w:p>
        </w:tc>
        <w:tc>
          <w:tcPr>
            <w:tcW w:type="dxa" w:w="67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User interaction, role checks, reporting and approved integration endpoints.</w:t>
            </w:r>
          </w:p>
        </w:tc>
      </w:tr>
      <w:tr>
        <w:trPr>
          <w:cantSplit/>
        </w:trPr>
        <w:tc>
          <w:tcPr>
            <w:tcW w:type="dxa" w:w="26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Authorization gate</w:t>
            </w:r>
          </w:p>
        </w:tc>
        <w:tc>
          <w:tcPr>
            <w:tcW w:type="dxa" w:w="67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Target ownership, scope, window, exclusions, approver and rules-of-engagement validation.</w:t>
            </w:r>
          </w:p>
        </w:tc>
      </w:tr>
      <w:tr>
        <w:trPr>
          <w:cantSplit/>
        </w:trPr>
        <w:tc>
          <w:tcPr>
            <w:tcW w:type="dxa" w:w="26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Orchestrator</w:t>
            </w:r>
          </w:p>
        </w:tc>
        <w:tc>
          <w:tcPr>
            <w:tcW w:type="dxa" w:w="67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Job queue, rate control, scanner selection, health monitoring, timeout and emergency stop.</w:t>
            </w:r>
          </w:p>
        </w:tc>
      </w:tr>
      <w:tr>
        <w:trPr>
          <w:cantSplit/>
        </w:trPr>
        <w:tc>
          <w:tcPr>
            <w:tcW w:type="dxa" w:w="26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Scanner adapters</w:t>
            </w:r>
          </w:p>
        </w:tc>
        <w:tc>
          <w:tcPr>
            <w:tcW w:type="dxa" w:w="67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MVP: restricted web checks and one selected source-code or dependency adapter. Network and configuration adapters are deferred.</w:t>
            </w:r>
          </w:p>
        </w:tc>
      </w:tr>
      <w:tr>
        <w:trPr>
          <w:cantSplit/>
        </w:trPr>
        <w:tc>
          <w:tcPr>
            <w:tcW w:type="dxa" w:w="26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Normalization and risk</w:t>
            </w:r>
          </w:p>
        </w:tc>
        <w:tc>
          <w:tcPr>
            <w:tcW w:type="dxa" w:w="67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Versioned adapter fingerprints, identity aliases, source-preserving normalization, CVSS/EPSS inputs, SSVC-style decisions and independent confidence.</w:t>
            </w:r>
          </w:p>
        </w:tc>
      </w:tr>
      <w:tr>
        <w:trPr>
          <w:cantSplit/>
        </w:trPr>
        <w:tc>
          <w:tcPr>
            <w:tcW w:type="dxa" w:w="26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Data and evidence</w:t>
            </w:r>
          </w:p>
        </w:tc>
        <w:tc>
          <w:tcPr>
            <w:tcW w:type="dxa" w:w="67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Encrypted tenant-scoped records, hash-chained audit events, evidence digests and an externally controlled append-only anchor.</w:t>
            </w:r>
          </w:p>
        </w:tc>
      </w:tr>
      <w:tr>
        <w:trPr>
          <w:cantSplit/>
        </w:trPr>
        <w:tc>
          <w:tcPr>
            <w:tcW w:type="dxa" w:w="26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Remediation and verification</w:t>
            </w:r>
          </w:p>
        </w:tc>
        <w:tc>
          <w:tcPr>
            <w:tcW w:type="dxa" w:w="67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Assignment, due dates, fix guidance, rescan comparison and closure decisions.</w:t>
            </w:r>
          </w:p>
        </w:tc>
      </w:tr>
    </w:tbl>
    <w:p>
      <w:pPr>
        <w:spacing w:before="0" w:after="80"/>
      </w:pPr>
    </w:p>
    <w:p>
      <w:pPr/>
      <w:r>
        <w:t>Trust boundary amendment: authenticated membership establishes tenant context; caller-supplied organization IDs are not authoritative. A policy service issues short-lived job/target/profile-bound grants, an independent egress boundary enforces them, and an admission validator treats scanner observations as untrusted. The assurance domain verifies external anchors separately from platform administration.</w:t>
      </w:r>
    </w:p>
    <w:p>
      <w:pPr>
        <w:pStyle w:val="Heading1"/>
        <w:keepNext/>
        <w:keepLines/>
      </w:pPr>
      <w:r>
        <w:t>9. Core information model</w:t>
      </w:r>
    </w:p>
    <w:tbl>
      <w:tblPr>
        <w:tblStyle w:val="TableGrid"/>
        <w:jc w:val="left"/>
        <w:tblLook w:firstColumn="1" w:firstRow="1" w:lastColumn="0" w:lastRow="0" w:noHBand="0" w:noVBand="1" w:val="04A0"/>
        <w:tblW w:w="9360" w:type="dxa"/>
        <w:tblInd w:w="120" w:type="dxa"/>
        <w:tblLayout w:type="fixed"/>
      </w:tblPr>
      <w:tblGrid>
        <w:gridCol w:w="1800"/>
        <w:gridCol w:w="3020"/>
        <w:gridCol w:w="4540"/>
      </w:tblGrid>
      <w:tr>
        <w:trPr>
          <w:cantSplit/>
          <w:tblHeader w:val="true"/>
          <w:tblHeader w:val="true"/>
        </w:trPr>
        <w:tc>
          <w:tcPr>
            <w:tcW w:type="dxa" w:w="1800"/>
            <w:vAlign w:val="center"/>
            <w:tcMar>
              <w:top w:w="100" w:type="dxa"/>
              <w:start w:w="120" w:type="dxa"/>
              <w:bottom w:w="100" w:type="dxa"/>
              <w:end w:w="120" w:type="dxa"/>
            </w:tcMar>
            <w:shd w:fill="E8EEF5"/>
          </w:tcPr>
          <w:p>
            <w:pPr>
              <w:keepLines/>
              <w:spacing w:before="0" w:after="40" w:line="264" w:lineRule="auto"/>
              <w:jc w:val="center"/>
            </w:pPr>
            <w:r>
              <w:rPr>
                <w:rFonts w:ascii="Calibri" w:hAnsi="Calibri" w:eastAsia="Calibri"/>
                <w:b/>
                <w:color w:val="0B2545"/>
                <w:sz w:val="19"/>
              </w:rPr>
              <w:t>Entity</w:t>
            </w:r>
          </w:p>
        </w:tc>
        <w:tc>
          <w:tcPr>
            <w:tcW w:type="dxa" w:w="3020"/>
            <w:vAlign w:val="center"/>
            <w:tcMar>
              <w:top w:w="100" w:type="dxa"/>
              <w:start w:w="120" w:type="dxa"/>
              <w:bottom w:w="100" w:type="dxa"/>
              <w:end w:w="120" w:type="dxa"/>
            </w:tcMar>
            <w:shd w:fill="E8EEF5"/>
          </w:tcPr>
          <w:p>
            <w:pPr>
              <w:keepLines/>
              <w:spacing w:before="0" w:after="40" w:line="264" w:lineRule="auto"/>
              <w:jc w:val="center"/>
            </w:pPr>
            <w:r>
              <w:rPr>
                <w:rFonts w:ascii="Calibri" w:hAnsi="Calibri" w:eastAsia="Calibri"/>
                <w:b/>
                <w:color w:val="0B2545"/>
                <w:sz w:val="19"/>
              </w:rPr>
              <w:t>Purpose</w:t>
            </w:r>
          </w:p>
        </w:tc>
        <w:tc>
          <w:tcPr>
            <w:tcW w:type="dxa" w:w="4540"/>
            <w:vAlign w:val="center"/>
            <w:tcMar>
              <w:top w:w="100" w:type="dxa"/>
              <w:start w:w="120" w:type="dxa"/>
              <w:bottom w:w="100" w:type="dxa"/>
              <w:end w:w="120" w:type="dxa"/>
            </w:tcMar>
            <w:shd w:fill="E8EEF5"/>
          </w:tcPr>
          <w:p>
            <w:pPr>
              <w:keepLines/>
              <w:spacing w:before="0" w:after="40" w:line="264" w:lineRule="auto"/>
              <w:jc w:val="center"/>
            </w:pPr>
            <w:r>
              <w:rPr>
                <w:rFonts w:ascii="Calibri" w:hAnsi="Calibri" w:eastAsia="Calibri"/>
                <w:b/>
                <w:color w:val="0B2545"/>
                <w:sz w:val="19"/>
              </w:rPr>
              <w:t>Important fields</w:t>
            </w:r>
          </w:p>
        </w:tc>
      </w:tr>
      <w:tr>
        <w:trPr>
          <w:cantSplit/>
        </w:trPr>
        <w:tc>
          <w:tcPr>
            <w:tcW w:type="dxa" w:w="18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Organization</w:t>
            </w:r>
          </w:p>
        </w:tc>
        <w:tc>
          <w:tcPr>
            <w:tcW w:type="dxa" w:w="302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Isolation root, including the initial single-tenant deployment.</w:t>
            </w:r>
          </w:p>
        </w:tc>
        <w:tc>
          <w:tcPr>
            <w:tcW w:type="dxa" w:w="454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organization_id, name, status, encryption context, retention policy.</w:t>
            </w:r>
          </w:p>
        </w:tc>
      </w:tr>
      <w:tr>
        <w:trPr>
          <w:cantSplit/>
        </w:trPr>
        <w:tc>
          <w:tcPr>
            <w:tcW w:type="dxa" w:w="18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Target</w:t>
            </w:r>
          </w:p>
        </w:tc>
        <w:tc>
          <w:tcPr>
            <w:tcW w:type="dxa" w:w="302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Approved asset being assessed.</w:t>
            </w:r>
          </w:p>
        </w:tc>
        <w:tc>
          <w:tcPr>
            <w:tcW w:type="dxa" w:w="454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organization_id, owner, type, identifier, environment, criticality, tags.</w:t>
            </w:r>
          </w:p>
        </w:tc>
      </w:tr>
      <w:tr>
        <w:trPr>
          <w:cantSplit/>
        </w:trPr>
        <w:tc>
          <w:tcPr>
            <w:tcW w:type="dxa" w:w="18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Authorization</w:t>
            </w:r>
          </w:p>
        </w:tc>
        <w:tc>
          <w:tcPr>
            <w:tcW w:type="dxa" w:w="302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Evidence that an assessment is permitted.</w:t>
            </w:r>
          </w:p>
        </w:tc>
        <w:tc>
          <w:tcPr>
            <w:tcW w:type="dxa" w:w="454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organization_id, scope, exclusions, techniques, dates, approver, legal-gate status.</w:t>
            </w:r>
          </w:p>
        </w:tc>
      </w:tr>
      <w:tr>
        <w:trPr>
          <w:cantSplit/>
        </w:trPr>
        <w:tc>
          <w:tcPr>
            <w:tcW w:type="dxa" w:w="18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Scan job</w:t>
            </w:r>
          </w:p>
        </w:tc>
        <w:tc>
          <w:tcPr>
            <w:tcW w:type="dxa" w:w="302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Controlled execution request.</w:t>
            </w:r>
          </w:p>
        </w:tc>
        <w:tc>
          <w:tcPr>
            <w:tcW w:type="dxa" w:w="454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organization_id, profile version, target, requester, worker, start/end, result, stop reason.</w:t>
            </w:r>
          </w:p>
        </w:tc>
      </w:tr>
      <w:tr>
        <w:trPr>
          <w:cantSplit/>
        </w:trPr>
        <w:tc>
          <w:tcPr>
            <w:tcW w:type="dxa" w:w="18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Finding</w:t>
            </w:r>
          </w:p>
        </w:tc>
        <w:tc>
          <w:tcPr>
            <w:tcW w:type="dxa" w:w="302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Normalized security observation.</w:t>
            </w:r>
          </w:p>
        </w:tc>
        <w:tc>
          <w:tcPr>
            <w:tcW w:type="dxa" w:w="454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organization_id, fingerprint/version, source identity, CVSS vector, EPSS snapshot, action outcome, confidence, state, owner.</w:t>
            </w:r>
          </w:p>
        </w:tc>
      </w:tr>
      <w:tr>
        <w:trPr>
          <w:cantSplit/>
        </w:trPr>
        <w:tc>
          <w:tcPr>
            <w:tcW w:type="dxa" w:w="18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Identity alias</w:t>
            </w:r>
          </w:p>
        </w:tc>
        <w:tc>
          <w:tcPr>
            <w:tcW w:type="dxa" w:w="302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Reviewed link across a fingerprint change.</w:t>
            </w:r>
          </w:p>
        </w:tc>
        <w:tc>
          <w:tcPr>
            <w:tcW w:type="dxa" w:w="454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organization_id, old/new fingerprint, reason, reviewer, decision, time.</w:t>
            </w:r>
          </w:p>
        </w:tc>
      </w:tr>
      <w:tr>
        <w:trPr>
          <w:cantSplit/>
        </w:trPr>
        <w:tc>
          <w:tcPr>
            <w:tcW w:type="dxa" w:w="18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Evidence</w:t>
            </w:r>
          </w:p>
        </w:tc>
        <w:tc>
          <w:tcPr>
            <w:tcW w:type="dxa" w:w="302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Supporting defensive proof.</w:t>
            </w:r>
          </w:p>
        </w:tc>
        <w:tc>
          <w:tcPr>
            <w:tcW w:type="dxa" w:w="454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organization_id, sanitized artifact reference, digest, audit-chain event, collection time.</w:t>
            </w:r>
          </w:p>
        </w:tc>
      </w:tr>
      <w:tr>
        <w:trPr>
          <w:cantSplit/>
        </w:trPr>
        <w:tc>
          <w:tcPr>
            <w:tcW w:type="dxa" w:w="18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Remediation</w:t>
            </w:r>
          </w:p>
        </w:tc>
        <w:tc>
          <w:tcPr>
            <w:tcW w:type="dxa" w:w="302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Corrective action record.</w:t>
            </w:r>
          </w:p>
        </w:tc>
        <w:tc>
          <w:tcPr>
            <w:tcW w:type="dxa" w:w="454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organization_id, action, assignee, milestones, exception, completion statement.</w:t>
            </w:r>
          </w:p>
        </w:tc>
      </w:tr>
      <w:tr>
        <w:trPr>
          <w:cantSplit/>
        </w:trPr>
        <w:tc>
          <w:tcPr>
            <w:tcW w:type="dxa" w:w="18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Verification</w:t>
            </w:r>
          </w:p>
        </w:tc>
        <w:tc>
          <w:tcPr>
            <w:tcW w:type="dxa" w:w="302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Independent closure evidence.</w:t>
            </w:r>
          </w:p>
        </w:tc>
        <w:tc>
          <w:tcPr>
            <w:tcW w:type="dxa" w:w="454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organization_id, rescan job, fingerprint comparison, reviewer, decision, time.</w:t>
            </w:r>
          </w:p>
        </w:tc>
      </w:tr>
      <w:tr>
        <w:trPr>
          <w:cantSplit/>
        </w:trPr>
        <w:tc>
          <w:tcPr>
            <w:tcW w:type="dxa" w:w="18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Incident</w:t>
            </w:r>
          </w:p>
        </w:tc>
        <w:tc>
          <w:tcPr>
            <w:tcW w:type="dxa" w:w="302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Escalation distinct from routine remediation.</w:t>
            </w:r>
          </w:p>
        </w:tc>
        <w:tc>
          <w:tcPr>
            <w:tcW w:type="dxa" w:w="454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organization_id, trigger, severity, halt time, notifications, CERT decision, evidence hold.</w:t>
            </w:r>
          </w:p>
        </w:tc>
      </w:tr>
      <w:tr>
        <w:trPr>
          <w:cantSplit/>
        </w:trPr>
        <w:tc>
          <w:tcPr>
            <w:tcW w:type="dxa" w:w="18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Audit event</w:t>
            </w:r>
          </w:p>
        </w:tc>
        <w:tc>
          <w:tcPr>
            <w:tcW w:type="dxa" w:w="302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Tamper-evident trace of significant activity.</w:t>
            </w:r>
          </w:p>
        </w:tc>
        <w:tc>
          <w:tcPr>
            <w:tcW w:type="dxa" w:w="454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organization_id, sequence, previous hash, event hash, actor, action, object, outcome, external anchor.</w:t>
            </w:r>
          </w:p>
        </w:tc>
      </w:tr>
    </w:tbl>
    <w:p>
      <w:pPr>
        <w:spacing w:before="0" w:after="80"/>
      </w:pPr>
    </w:p>
    <w:p>
      <w:pPr/>
      <w:r>
        <w:rPr>
          <w:rFonts w:ascii="Calibri" w:hAnsi="Calibri" w:eastAsia="Calibri"/>
          <w:color w:val="111827"/>
        </w:rPr>
        <w:t>Every tenant-scoped table carries organization_id from the first migration. The data-access layer requires organization context, PostgreSQL row-level security provides a second enforcement layer, exports are tenant-scoped by construction and automated negative tests attempt cross-organization access. The first release may operate one organization, but the schema and authorization boundary are not single-tenant shortcuts.</w:t>
      </w:r>
    </w:p>
    <w:p>
      <w:pPr/>
      <w:r>
        <w:rPr>
          <w:rFonts w:ascii="Calibri" w:hAnsi="Calibri" w:eastAsia="Calibri"/>
          <w:color w:val="111827"/>
        </w:rPr>
        <w:t>Sensitive evidence must be minimized and sanitized. Secrets, session tokens and unnecessary personal data are removed or masked before retention. Each artifact digest is committed into the audit hash chain rather than stored only beside the artifact.</w:t>
      </w:r>
    </w:p>
    <w:p>
      <w:pPr/>
      <w:r>
        <w:t>Additional implementation records: CoverageManifest (revision, expected/completed checks, health, versions, scope); ExecutionGrant/lease (authorization revision, destination bounds, expiry, stop state); ClosureIntent/AnchorReceipt (finding, evidence digest, chain sequence/head, signature and verified receipt); Exception (disposition, reviewer, scope, reason and expiry); VersionManifest (scanner/rules/advisory/schema/transformation digests). All tenant-scoped records carry organization_id and tenant-qualified relationships. Runtime roles may not own tenant tables or bypass RLS. Retain the source v1.3 entity definitions and their history.</w:t>
      </w:r>
    </w:p>
    <w:p>
      <w:pPr>
        <w:pStyle w:val="Heading2"/>
        <w:keepNext/>
        <w:keepLines/>
      </w:pPr>
      <w:r>
        <w:t>9.1 Audit and evidence integrity mechanism</w:t>
      </w:r>
    </w:p>
    <w:p>
      <w:pPr/>
      <w:r>
        <w:rPr>
          <w:rFonts w:ascii="Calibri" w:hAnsi="Calibri" w:eastAsia="Calibri"/>
          <w:color w:val="111827"/>
        </w:rPr>
        <w:t>PostgreSQL remains the operational store, but the ordinary application and platform-administrator roles receive INSERT and SELECT permissions only on the audit interface and no UPDATE or DELETE grants on audit tables. Security-definer procedures append events in sequence, calculate each event hash from the previous hash and the canonical event content, and reject sequence gaps. The procedures are owned by a dedicated NOLOGIN role named seal_audit_owner. It is not used for interactive, application or routine administrator access, has no issued credentials, and may be assumed only by a separately controlled break-glass migration principal under two-person approval.</w:t>
      </w:r>
    </w:p>
    <w:p>
      <w:pPr/>
      <w:r>
        <w:rPr>
          <w:rFonts w:ascii="Calibri" w:hAnsi="Calibri" w:eastAsia="Calibri"/>
          <w:color w:val="111827"/>
        </w:rPr>
        <w:t>At least every fifteen minutes and at scan completion, Seal signs the current chain head and writes it to an append-only external sink controlled by a separate assurance role. Event-triggered anchoring also occurs for authorization approval or revocation, a priority override, closure of a High or Critical finding, an incident declaration or status change, and any audit-role ownership, privilege or procedure-definition change. The sink may be object storage with retention lock or an equivalent write-once log service. Evidence digests, profile versions, authorization decisions and high-risk overrides are included in the chain. Monitoring alerts on grant changes, ownership or role assumption involving seal_audit_owner, procedure-definition changes, disabled logging, chain gaps, anchor delay or signature failure.</w:t>
      </w:r>
    </w:p>
    <w:tbl>
      <w:tblPr>
        <w:tblStyle w:val="TableGrid"/>
        <w:jc w:val="left"/>
        <w:tblLook w:firstColumn="1" w:firstRow="1" w:lastColumn="0" w:lastRow="0" w:noHBand="0" w:noVBand="1" w:val="04A0"/>
        <w:tblW w:w="9360" w:type="dxa"/>
        <w:tblInd w:w="180" w:type="dxa"/>
        <w:tblLayout w:type="fixed"/>
      </w:tblPr>
      <w:tblGrid>
        <w:gridCol w:w="9360"/>
      </w:tblGrid>
      <w:tr>
        <w:trPr>
          <w:cantSplit/>
        </w:trPr>
        <w:tc>
          <w:tcPr>
            <w:tcW w:type="dxa" w:w="9360"/>
            <w:vAlign w:val="center"/>
            <w:tcMar>
              <w:top w:w="150" w:type="dxa"/>
              <w:start w:w="180" w:type="dxa"/>
              <w:bottom w:w="150" w:type="dxa"/>
              <w:end w:w="180" w:type="dxa"/>
            </w:tcMar>
            <w:shd w:fill="F4F6F9"/>
          </w:tcPr>
          <w:p>
            <w:pPr>
              <w:keepLines/>
              <w:spacing w:after="0" w:line="288" w:lineRule="auto"/>
            </w:pPr>
            <w:r>
              <w:rPr>
                <w:rFonts w:ascii="Calibri" w:hAnsi="Calibri" w:eastAsia="Calibri"/>
                <w:b/>
                <w:color w:val="1F4D78"/>
                <w:sz w:val="21"/>
              </w:rPr>
              <w:t xml:space="preserve">Residual risk: </w:t>
            </w:r>
            <w:r>
              <w:rPr>
                <w:rFonts w:ascii="Calibri" w:hAnsi="Calibri" w:eastAsia="Calibri"/>
                <w:color w:val="111827"/>
                <w:sz w:val="21"/>
              </w:rPr>
              <w:t>A sufficiently privileged operator, misuse of the seal_audit_owner ownership path, or collusion across the operational and assurance domains could alter unanchored data or weaken the append mechanism. A NOLOGIN owner, two-person break-glass control, event-triggered and short-interval anchoring, separated credentials, independent monitoring and periodic external verification reduce but do not eliminate that risk.</w:t>
            </w:r>
          </w:p>
        </w:tc>
      </w:tr>
    </w:tbl>
    <w:p>
      <w:pPr>
        <w:spacing w:after="40"/>
      </w:pPr>
    </w:p>
    <w:p>
      <w:pPr/>
      <w:r>
        <w:t>U07 failure semantics: durably commit each accepted event and transactional anchor-outbox item before acknowledgment. Verify receipts and reconcile idempotently by sequence/head. Signature failure, chain mismatch or an overdue fifteen-minute anchor blocks new jobs and High/Critical closure, stops active assessment under C02 and alerts assurance. Pending approval anchors cannot activate scan authority. Revocation and emergency stop remain effective during sink outage. Preserve permitted evidence, stop state and restricted incident holds. Test lost receipts, replay, reordering, concurrent append and restore against the independent sink before claiming integrity.</w:t>
      </w:r>
    </w:p>
    <w:p>
      <w:pPr>
        <w:pStyle w:val="Heading1"/>
        <w:keepNext/>
        <w:keepLines/>
      </w:pPr>
      <w:r>
        <w:t>10. Risk prioritization model</w:t>
      </w:r>
    </w:p>
    <w:p>
      <w:pPr/>
      <w:r>
        <w:rPr>
          <w:rFonts w:ascii="Calibri" w:hAnsi="Calibri" w:eastAsia="Calibri"/>
          <w:color w:val="111827"/>
        </w:rPr>
        <w:t>Seal separates severity, exploitation likelihood, action priority and evidence confidence. No factor is multiplied into a single invented score. The four outputs remain visible so users can understand both the technical condition and the decision made about it.</w:t>
      </w:r>
    </w:p>
    <w:tbl>
      <w:tblPr>
        <w:tblStyle w:val="TableGrid"/>
        <w:jc w:val="left"/>
        <w:tblLook w:firstColumn="1" w:firstRow="1" w:lastColumn="0" w:lastRow="0" w:noHBand="0" w:noVBand="1" w:val="04A0"/>
        <w:tblW w:w="9360" w:type="dxa"/>
        <w:tblInd w:w="120" w:type="dxa"/>
        <w:tblLayout w:type="fixed"/>
      </w:tblPr>
      <w:tblGrid>
        <w:gridCol w:w="2100"/>
        <w:gridCol w:w="3300"/>
        <w:gridCol w:w="3960"/>
      </w:tblGrid>
      <w:tr>
        <w:trPr>
          <w:cantSplit/>
          <w:tblHeader w:val="true"/>
          <w:tblHeader w:val="true"/>
        </w:trPr>
        <w:tc>
          <w:tcPr>
            <w:tcW w:type="dxa" w:w="2100"/>
            <w:vAlign w:val="center"/>
            <w:tcMar>
              <w:top w:w="100" w:type="dxa"/>
              <w:start w:w="120" w:type="dxa"/>
              <w:bottom w:w="100" w:type="dxa"/>
              <w:end w:w="120" w:type="dxa"/>
            </w:tcMar>
            <w:shd w:fill="E8EEF5"/>
          </w:tcPr>
          <w:p>
            <w:pPr>
              <w:keepLines/>
              <w:spacing w:before="0" w:after="40" w:line="264" w:lineRule="auto"/>
              <w:jc w:val="center"/>
            </w:pPr>
            <w:r>
              <w:rPr>
                <w:rFonts w:ascii="Calibri" w:hAnsi="Calibri" w:eastAsia="Calibri"/>
                <w:b/>
                <w:color w:val="0B2545"/>
                <w:sz w:val="19"/>
              </w:rPr>
              <w:t>Dimension</w:t>
            </w:r>
          </w:p>
        </w:tc>
        <w:tc>
          <w:tcPr>
            <w:tcW w:type="dxa" w:w="3300"/>
            <w:vAlign w:val="center"/>
            <w:tcMar>
              <w:top w:w="100" w:type="dxa"/>
              <w:start w:w="120" w:type="dxa"/>
              <w:bottom w:w="100" w:type="dxa"/>
              <w:end w:w="120" w:type="dxa"/>
            </w:tcMar>
            <w:shd w:fill="E8EEF5"/>
          </w:tcPr>
          <w:p>
            <w:pPr>
              <w:keepLines/>
              <w:spacing w:before="0" w:after="40" w:line="264" w:lineRule="auto"/>
              <w:jc w:val="center"/>
            </w:pPr>
            <w:r>
              <w:rPr>
                <w:rFonts w:ascii="Calibri" w:hAnsi="Calibri" w:eastAsia="Calibri"/>
                <w:b/>
                <w:color w:val="0B2545"/>
                <w:sz w:val="19"/>
              </w:rPr>
              <w:t>Scale</w:t>
            </w:r>
          </w:p>
        </w:tc>
        <w:tc>
          <w:tcPr>
            <w:tcW w:type="dxa" w:w="3960"/>
            <w:vAlign w:val="center"/>
            <w:tcMar>
              <w:top w:w="100" w:type="dxa"/>
              <w:start w:w="120" w:type="dxa"/>
              <w:bottom w:w="100" w:type="dxa"/>
              <w:end w:w="120" w:type="dxa"/>
            </w:tcMar>
            <w:shd w:fill="E8EEF5"/>
          </w:tcPr>
          <w:p>
            <w:pPr>
              <w:keepLines/>
              <w:spacing w:before="0" w:after="40" w:line="264" w:lineRule="auto"/>
              <w:jc w:val="center"/>
            </w:pPr>
            <w:r>
              <w:rPr>
                <w:rFonts w:ascii="Calibri" w:hAnsi="Calibri" w:eastAsia="Calibri"/>
                <w:b/>
                <w:color w:val="0B2545"/>
                <w:sz w:val="19"/>
              </w:rPr>
              <w:t>Use</w:t>
            </w:r>
          </w:p>
        </w:tc>
      </w:tr>
      <w:tr>
        <w:trPr>
          <w:cantSplit/>
        </w:trPr>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Technical severity</w:t>
            </w:r>
          </w:p>
        </w:tc>
        <w:tc>
          <w:tcPr>
            <w:tcW w:type="dxa" w:w="33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CVSS v4.0 score 0.0-10.0; source-reported vector retained unchanged, with the environment-adjusted vector and score recorded as separate fields</w:t>
            </w:r>
          </w:p>
        </w:tc>
        <w:tc>
          <w:tcPr>
            <w:tcW w:type="dxa" w:w="39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Communicates intrinsic and environment-adjusted technical severity without overwriting the source observation.</w:t>
            </w:r>
          </w:p>
        </w:tc>
      </w:tr>
      <w:tr>
        <w:trPr>
          <w:cantSplit/>
        </w:trPr>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Exploitation likelihood</w:t>
            </w:r>
          </w:p>
        </w:tc>
        <w:tc>
          <w:tcPr>
            <w:tcW w:type="dxa" w:w="33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EPSS probability 0.000-1.000 and percentile 0-100 for published CVEs; Not available otherwise</w:t>
            </w:r>
          </w:p>
        </w:tc>
        <w:tc>
          <w:tcPr>
            <w:tcW w:type="dxa" w:w="39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Adds a dated, refreshable signal of likely exploitation in the next 30 days.</w:t>
            </w:r>
          </w:p>
        </w:tc>
      </w:tr>
      <w:tr>
        <w:trPr>
          <w:cantSplit/>
        </w:trPr>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Action priority</w:t>
            </w:r>
          </w:p>
        </w:tc>
        <w:tc>
          <w:tcPr>
            <w:tcW w:type="dxa" w:w="33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SSVC-style outcomes: Track, Track*, Attend or Act</w:t>
            </w:r>
          </w:p>
        </w:tc>
        <w:tc>
          <w:tcPr>
            <w:tcW w:type="dxa" w:w="39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Uses exploitation evidence, exposure, mission impact, safety impact and available mitigations to select an explainable response.</w:t>
            </w:r>
          </w:p>
        </w:tc>
      </w:tr>
      <w:tr>
        <w:trPr>
          <w:cantSplit/>
        </w:trPr>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Evidence confidence</w:t>
            </w:r>
          </w:p>
        </w:tc>
        <w:tc>
          <w:tcPr>
            <w:tcW w:type="dxa" w:w="33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Confirmed, High, Moderate or Low</w:t>
            </w:r>
          </w:p>
        </w:tc>
        <w:tc>
          <w:tcPr>
            <w:tcW w:type="dxa" w:w="39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Controls validation urgency. Low confidence never suppresses a severe issue; it routes it to rapid human verification.</w:t>
            </w:r>
          </w:p>
        </w:tc>
      </w:tr>
    </w:tbl>
    <w:p>
      <w:pPr>
        <w:spacing w:before="0" w:after="80"/>
      </w:pPr>
    </w:p>
    <w:p>
      <w:pPr/>
      <w:r>
        <w:rPr>
          <w:rFonts w:ascii="Calibri" w:hAnsi="Calibri" w:eastAsia="Calibri"/>
          <w:color w:val="111827"/>
        </w:rPr>
        <w:t>A high or critical severity finding with Low confidence enters the urgent validation queue rather than being deprioritized. Findings involving known exploitation or serious mission or safety impact cannot be reduced below Attend without an approved exception. The original scanner score, source evidence and imported threat signals remain unchanged. Every business-context override records the old and new outcome, named reviewer, reason, expiry and supporting evidence.</w:t>
      </w:r>
    </w:p>
    <w:p>
      <w:pPr/>
      <w:r>
        <w:t>U06 policy control: the candidate ordered tree, EPSS 0.10 threshold, 48-hour freshness and acknowledgment targets remain pending D10 approval, not silent operating defaults. Missing/future-dated/stale signals cannot justify the lowest-priority branch. Preserve four separate dimensions and the Attend floor. The tree is Seal-specific and SSVC-style, not an implementation claim for the official CISA tree. Appendix D records the candidate policy and W01 its required tests.</w:t>
      </w:r>
    </w:p>
    <w:p>
      <w:pPr>
        <w:pStyle w:val="Heading1"/>
        <w:keepNext/>
        <w:keepLines/>
      </w:pPr>
      <w:r>
        <w:t>11. Security, safety and privacy requirements</w:t>
      </w:r>
    </w:p>
    <w:tbl>
      <w:tblPr>
        <w:tblStyle w:val="TableGrid"/>
        <w:jc w:val="left"/>
        <w:tblLook w:firstColumn="1" w:firstRow="1" w:lastColumn="0" w:lastRow="0" w:noHBand="0" w:noVBand="1" w:val="04A0"/>
        <w:tblW w:w="9360" w:type="dxa"/>
        <w:tblInd w:w="120" w:type="dxa"/>
        <w:tblLayout w:type="fixed"/>
      </w:tblPr>
      <w:tblGrid>
        <w:gridCol w:w="2800"/>
        <w:gridCol w:w="6560"/>
      </w:tblGrid>
      <w:tr>
        <w:trPr>
          <w:cantSplit/>
          <w:tblHeader w:val="true"/>
          <w:tblHeader w:val="true"/>
        </w:trPr>
        <w:tc>
          <w:tcPr>
            <w:tcW w:type="dxa" w:w="2800"/>
            <w:vAlign w:val="center"/>
            <w:tcMar>
              <w:top w:w="100" w:type="dxa"/>
              <w:start w:w="120" w:type="dxa"/>
              <w:bottom w:w="100" w:type="dxa"/>
              <w:end w:w="120" w:type="dxa"/>
            </w:tcMar>
            <w:shd w:fill="EAF4F4"/>
          </w:tcPr>
          <w:p>
            <w:pPr>
              <w:keepLines/>
              <w:spacing w:before="0" w:after="40" w:line="264" w:lineRule="auto"/>
              <w:jc w:val="center"/>
            </w:pPr>
            <w:r>
              <w:rPr>
                <w:rFonts w:ascii="Calibri" w:hAnsi="Calibri" w:eastAsia="Calibri"/>
                <w:b/>
                <w:color w:val="0B2545"/>
                <w:sz w:val="19"/>
              </w:rPr>
              <w:t>Control</w:t>
            </w:r>
          </w:p>
        </w:tc>
        <w:tc>
          <w:tcPr>
            <w:tcW w:type="dxa" w:w="6560"/>
            <w:vAlign w:val="center"/>
            <w:tcMar>
              <w:top w:w="100" w:type="dxa"/>
              <w:start w:w="120" w:type="dxa"/>
              <w:bottom w:w="100" w:type="dxa"/>
              <w:end w:w="120" w:type="dxa"/>
            </w:tcMar>
            <w:shd w:fill="EAF4F4"/>
          </w:tcPr>
          <w:p>
            <w:pPr>
              <w:keepLines/>
              <w:spacing w:before="0" w:after="40" w:line="264" w:lineRule="auto"/>
              <w:jc w:val="center"/>
            </w:pPr>
            <w:r>
              <w:rPr>
                <w:rFonts w:ascii="Calibri" w:hAnsi="Calibri" w:eastAsia="Calibri"/>
                <w:b/>
                <w:color w:val="0B2545"/>
                <w:sz w:val="19"/>
              </w:rPr>
              <w:t>Required behavior</w:t>
            </w:r>
          </w:p>
        </w:tc>
      </w:tr>
      <w:tr>
        <w:trPr>
          <w:cantSplit/>
        </w:trPr>
        <w:tc>
          <w:tcPr>
            <w:tcW w:type="dxa" w:w="28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Authorization enforcement</w:t>
            </w:r>
          </w:p>
        </w:tc>
        <w:tc>
          <w:tcPr>
            <w:tcW w:type="dxa" w:w="65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Deny by default. Resolve the target at execution time and compare it with the approved scope.</w:t>
            </w:r>
          </w:p>
        </w:tc>
      </w:tr>
      <w:tr>
        <w:trPr>
          <w:cantSplit/>
        </w:trPr>
        <w:tc>
          <w:tcPr>
            <w:tcW w:type="dxa" w:w="28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Strong identity</w:t>
            </w:r>
          </w:p>
        </w:tc>
        <w:tc>
          <w:tcPr>
            <w:tcW w:type="dxa" w:w="65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Use multi-factor authentication for privileged roles and short-lived sessions for workers.</w:t>
            </w:r>
          </w:p>
        </w:tc>
      </w:tr>
      <w:tr>
        <w:trPr>
          <w:cantSplit/>
        </w:trPr>
        <w:tc>
          <w:tcPr>
            <w:tcW w:type="dxa" w:w="28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Least privilege</w:t>
            </w:r>
          </w:p>
        </w:tc>
        <w:tc>
          <w:tcPr>
            <w:tcW w:type="dxa" w:w="65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Separate administration, assessment, remediation and approval permissions.</w:t>
            </w:r>
          </w:p>
        </w:tc>
      </w:tr>
      <w:tr>
        <w:trPr>
          <w:cantSplit/>
        </w:trPr>
        <w:tc>
          <w:tcPr>
            <w:tcW w:type="dxa" w:w="28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Worker isolation</w:t>
            </w:r>
          </w:p>
        </w:tc>
        <w:tc>
          <w:tcPr>
            <w:tcW w:type="dxa" w:w="65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Run scanner adapters in disposable containers with restricted network routes, files and capabilities.</w:t>
            </w:r>
          </w:p>
        </w:tc>
      </w:tr>
      <w:tr>
        <w:trPr>
          <w:cantSplit/>
        </w:trPr>
        <w:tc>
          <w:tcPr>
            <w:tcW w:type="dxa" w:w="28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Safe profiles</w:t>
            </w:r>
          </w:p>
        </w:tc>
        <w:tc>
          <w:tcPr>
            <w:tcW w:type="dxa" w:w="65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Default to passive checks. Safe-active execution is limited to the Section 4.4 allowlist, owned laboratory targets, exact profile versions and formal change control.</w:t>
            </w:r>
          </w:p>
        </w:tc>
      </w:tr>
      <w:tr>
        <w:trPr>
          <w:cantSplit/>
        </w:trPr>
        <w:tc>
          <w:tcPr>
            <w:tcW w:type="dxa" w:w="28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Operational limits</w:t>
            </w:r>
          </w:p>
        </w:tc>
        <w:tc>
          <w:tcPr>
            <w:tcW w:type="dxa" w:w="65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Apply concurrency, request-rate, bandwidth, timeout and target-health limits.</w:t>
            </w:r>
          </w:p>
        </w:tc>
      </w:tr>
      <w:tr>
        <w:trPr>
          <w:cantSplit/>
        </w:trPr>
        <w:tc>
          <w:tcPr>
            <w:tcW w:type="dxa" w:w="28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Emergency stop</w:t>
            </w:r>
          </w:p>
        </w:tc>
        <w:tc>
          <w:tcPr>
            <w:tcW w:type="dxa" w:w="65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Allow authorized users and automated health controls to stop a scan immediately.</w:t>
            </w:r>
          </w:p>
        </w:tc>
      </w:tr>
      <w:tr>
        <w:trPr>
          <w:cantSplit/>
        </w:trPr>
        <w:tc>
          <w:tcPr>
            <w:tcW w:type="dxa" w:w="28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Evidence protection</w:t>
            </w:r>
          </w:p>
        </w:tc>
        <w:tc>
          <w:tcPr>
            <w:tcW w:type="dxa" w:w="65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Encrypt data in transit and at rest, mask secrets, restrict downloads and define retention.</w:t>
            </w:r>
          </w:p>
        </w:tc>
      </w:tr>
      <w:tr>
        <w:trPr>
          <w:cantSplit/>
        </w:trPr>
        <w:tc>
          <w:tcPr>
            <w:tcW w:type="dxa" w:w="28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Audit integrity</w:t>
            </w:r>
          </w:p>
        </w:tc>
        <w:tc>
          <w:tcPr>
            <w:tcW w:type="dxa" w:w="65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Use insert-only application permissions, a NOLOGIN procedure-owning role, a cryptographic hash chain, evidence digests, interval and high-risk-event anchoring to a separately controlled append-only sink, and ownership, role-use and grant-change monitoring.</w:t>
            </w:r>
          </w:p>
        </w:tc>
      </w:tr>
      <w:tr>
        <w:trPr>
          <w:cantSplit/>
        </w:trPr>
        <w:tc>
          <w:tcPr>
            <w:tcW w:type="dxa" w:w="28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Tenant isolation</w:t>
            </w:r>
          </w:p>
        </w:tc>
        <w:tc>
          <w:tcPr>
            <w:tcW w:type="dxa" w:w="65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Require organization_id on every scoped entity, enforce tenant context in the data-access layer and PostgreSQL row-level security, and test every query and export for cross-tenant leakage.</w:t>
            </w:r>
          </w:p>
        </w:tc>
      </w:tr>
      <w:tr>
        <w:trPr>
          <w:cantSplit/>
        </w:trPr>
        <w:tc>
          <w:tcPr>
            <w:tcW w:type="dxa" w:w="28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Supply-chain control</w:t>
            </w:r>
          </w:p>
        </w:tc>
        <w:tc>
          <w:tcPr>
            <w:tcW w:type="dxa" w:w="65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Pin, verify and review scanner images, rules and vulnerability data before deployment.</w:t>
            </w:r>
          </w:p>
        </w:tc>
      </w:tr>
      <w:tr>
        <w:trPr>
          <w:cantSplit/>
        </w:trPr>
        <w:tc>
          <w:tcPr>
            <w:tcW w:type="dxa" w:w="28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Secure updates</w:t>
            </w:r>
          </w:p>
        </w:tc>
        <w:tc>
          <w:tcPr>
            <w:tcW w:type="dxa" w:w="65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Use signed releases, staged rollout and rollback for platform and scanner updates.</w:t>
            </w:r>
          </w:p>
        </w:tc>
      </w:tr>
      <w:tr>
        <w:trPr>
          <w:cantSplit/>
        </w:trPr>
        <w:tc>
          <w:tcPr>
            <w:tcW w:type="dxa" w:w="28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Privacy minimization</w:t>
            </w:r>
          </w:p>
        </w:tc>
        <w:tc>
          <w:tcPr>
            <w:tcW w:type="dxa" w:w="65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Collect only evidence required to establish and remediate the finding.</w:t>
            </w:r>
          </w:p>
        </w:tc>
      </w:tr>
    </w:tbl>
    <w:p>
      <w:pPr>
        <w:spacing w:before="0" w:after="80"/>
      </w:pPr>
    </w:p>
    <w:p>
      <w:pPr>
        <w:pStyle w:val="Heading2"/>
        <w:keepNext/>
        <w:keepLines/>
      </w:pPr>
      <w:r>
        <w:t>11.1 Seal privacy impact assessment and retention</w:t>
      </w:r>
    </w:p>
    <w:p>
      <w:pPr/>
      <w:r>
        <w:rPr>
          <w:rFonts w:ascii="Calibri" w:hAnsi="Calibri" w:eastAsia="Calibri"/>
          <w:color w:val="111827"/>
        </w:rPr>
        <w:t>Seal's privacy duty is separate from the target organization's obligations. Before any real personal data or externally sourced assessment evidence enters the platform, Phase 0 must complete and approve a privacy impact assessment for Seal's own processing and assess the applicable duties under Ghana's Data Protection Act, 2012 (Act 843). Until then, development and testing use owned laboratory targets and synthetic or properly de-identified data only.</w:t>
      </w:r>
    </w:p>
    <w:p>
      <w:pPr/>
      <w:r>
        <w:rPr>
          <w:rFonts w:ascii="Calibri" w:hAnsi="Calibri" w:eastAsia="Calibri"/>
          <w:color w:val="111827"/>
        </w:rPr>
        <w:t>The assessment must record the controller/processor position, lawful and approved purposes, data subjects, evidence and audit categories, sources, recipients, access roles, storage locations, transfers, minimization and sanitization controls, data-subject handling, deletion method, breach response and residual risk. It must specifically cover response metadata, repository excerpts, dependency manifests, actor audit records, incident evidence and chain-of-custody records. A material change in evidence collection, tenancy, external hosting, automated decision support or target class requires reassessment.</w:t>
      </w:r>
    </w:p>
    <w:p>
      <w:pPr/>
      <w:r>
        <w:rPr>
          <w:rFonts w:ascii="Calibri" w:hAnsi="Calibri" w:eastAsia="Calibri"/>
          <w:color w:val="111827"/>
        </w:rPr>
        <w:t>Seal adopts the minimum schedule in Appendix J of the KenAddme IT Links Project Management Framework v1.0. A longer legal, contractual, client, audit, dispute or incident hold overrides these periods; unnecessary personal data must not be retained merely because another project record remains in scope.</w:t>
      </w:r>
    </w:p>
    <w:tbl>
      <w:tblPr>
        <w:tblStyle w:val="TableGrid"/>
        <w:jc w:val="left"/>
        <w:tblLook w:firstColumn="1" w:firstRow="1" w:lastColumn="0" w:lastRow="0" w:noHBand="0" w:noVBand="1" w:val="04A0"/>
        <w:tblW w:w="9360" w:type="dxa"/>
        <w:tblInd w:w="120" w:type="dxa"/>
        <w:tblLayout w:type="fixed"/>
      </w:tblPr>
      <w:tblGrid>
        <w:gridCol w:w="2700"/>
        <w:gridCol w:w="4520"/>
        <w:gridCol w:w="2140"/>
      </w:tblGrid>
      <w:tr>
        <w:trPr>
          <w:cantSplit/>
          <w:tblHeader w:val="true"/>
          <w:tblHeader w:val="true"/>
        </w:trPr>
        <w:tc>
          <w:tcPr>
            <w:tcW w:type="dxa" w:w="2700"/>
            <w:vAlign w:val="center"/>
            <w:tcMar>
              <w:top w:w="100" w:type="dxa"/>
              <w:start w:w="120" w:type="dxa"/>
              <w:bottom w:w="100" w:type="dxa"/>
              <w:end w:w="120" w:type="dxa"/>
            </w:tcMar>
            <w:shd w:fill="E8EEF5"/>
          </w:tcPr>
          <w:p>
            <w:pPr>
              <w:keepLines/>
              <w:spacing w:before="0" w:after="40" w:line="264" w:lineRule="auto"/>
              <w:jc w:val="left"/>
            </w:pPr>
            <w:r>
              <w:rPr>
                <w:rFonts w:ascii="Calibri" w:hAnsi="Calibri" w:eastAsia="Calibri"/>
                <w:b/>
                <w:color w:val="0B2545"/>
                <w:sz w:val="19"/>
              </w:rPr>
              <w:t>Seal record category</w:t>
            </w:r>
          </w:p>
        </w:tc>
        <w:tc>
          <w:tcPr>
            <w:tcW w:type="dxa" w:w="4520"/>
            <w:vAlign w:val="center"/>
            <w:tcMar>
              <w:top w:w="100" w:type="dxa"/>
              <w:start w:w="120" w:type="dxa"/>
              <w:bottom w:w="100" w:type="dxa"/>
              <w:end w:w="120" w:type="dxa"/>
            </w:tcMar>
            <w:shd w:fill="E8EEF5"/>
          </w:tcPr>
          <w:p>
            <w:pPr>
              <w:keepLines/>
              <w:spacing w:before="0" w:after="40" w:line="264" w:lineRule="auto"/>
              <w:jc w:val="left"/>
            </w:pPr>
            <w:r>
              <w:rPr>
                <w:rFonts w:ascii="Calibri" w:hAnsi="Calibri" w:eastAsia="Calibri"/>
                <w:b/>
                <w:color w:val="0B2545"/>
                <w:sz w:val="19"/>
              </w:rPr>
              <w:t>Minimum retention / disposal rule</w:t>
            </w:r>
          </w:p>
        </w:tc>
        <w:tc>
          <w:tcPr>
            <w:tcW w:type="dxa" w:w="2140"/>
            <w:vAlign w:val="center"/>
            <w:tcMar>
              <w:top w:w="100" w:type="dxa"/>
              <w:start w:w="120" w:type="dxa"/>
              <w:bottom w:w="100" w:type="dxa"/>
              <w:end w:w="120" w:type="dxa"/>
            </w:tcMar>
            <w:shd w:fill="E8EEF5"/>
          </w:tcPr>
          <w:p>
            <w:pPr>
              <w:keepLines/>
              <w:spacing w:before="0" w:after="40" w:line="264" w:lineRule="auto"/>
              <w:jc w:val="center"/>
            </w:pPr>
            <w:r>
              <w:rPr>
                <w:rFonts w:ascii="Calibri" w:hAnsi="Calibri" w:eastAsia="Calibri"/>
                <w:b/>
                <w:color w:val="0B2545"/>
                <w:sz w:val="19"/>
              </w:rPr>
              <w:t>Owner</w:t>
            </w:r>
          </w:p>
        </w:tc>
      </w:tr>
      <w:tr>
        <w:trPr>
          <w:cantSplit/>
        </w:trPr>
        <w:tc>
          <w:tcPr>
            <w:tcW w:type="dxa" w:w="27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Charter, classification, gate decisions, exceptions and closure</w:t>
            </w:r>
          </w:p>
        </w:tc>
        <w:tc>
          <w:tcPr>
            <w:tcW w:type="dxa" w:w="452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Seven years after PM Gate 6.</w:t>
            </w:r>
          </w:p>
        </w:tc>
        <w:tc>
          <w:tcPr>
            <w:tcW w:type="dxa" w:w="214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Project manager / records custodian</w:t>
            </w:r>
          </w:p>
        </w:tc>
      </w:tr>
      <w:tr>
        <w:trPr>
          <w:cantSplit/>
        </w:trPr>
        <w:tc>
          <w:tcPr>
            <w:tcW w:type="dxa" w:w="27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Requirements, designs, configuration, release and operational handover</w:t>
            </w:r>
          </w:p>
        </w:tc>
        <w:tc>
          <w:tcPr>
            <w:tcW w:type="dxa" w:w="452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Life of the product or service plus three years, and never less than seven years after PM Gate 6.</w:t>
            </w:r>
          </w:p>
        </w:tc>
        <w:tc>
          <w:tcPr>
            <w:tcW w:type="dxa" w:w="214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Technical and service owners</w:t>
            </w:r>
          </w:p>
        </w:tc>
      </w:tr>
      <w:tr>
        <w:trPr>
          <w:cantSplit/>
        </w:trPr>
        <w:tc>
          <w:tcPr>
            <w:tcW w:type="dxa" w:w="27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Risk, change, test, assurance, security, privacy, authorization, sanitized finding and audit-chain records</w:t>
            </w:r>
          </w:p>
        </w:tc>
        <w:tc>
          <w:tcPr>
            <w:tcW w:type="dxa" w:w="452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Seven years after PM Gate 6 or final resolution, whichever is later; preserve any legal or incident hold.</w:t>
            </w:r>
          </w:p>
        </w:tc>
        <w:tc>
          <w:tcPr>
            <w:tcW w:type="dxa" w:w="214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Project manager and relevant control owner</w:t>
            </w:r>
          </w:p>
        </w:tc>
      </w:tr>
      <w:tr>
        <w:trPr>
          <w:cantSplit/>
        </w:trPr>
        <w:tc>
          <w:tcPr>
            <w:tcW w:type="dxa" w:w="27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Raw or temporary evidence containing personal data</w:t>
            </w:r>
          </w:p>
        </w:tc>
        <w:tc>
          <w:tcPr>
            <w:tcW w:type="dxa" w:w="452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Only while necessary for the approved assessment and verification purpose; review at assessment closure, PM Gate 6 and at least annually, then securely delete or anonymize and record the action.</w:t>
            </w:r>
          </w:p>
        </w:tc>
        <w:tc>
          <w:tcPr>
            <w:tcW w:type="dxa" w:w="214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Data owner / evidence custodian</w:t>
            </w:r>
          </w:p>
        </w:tc>
      </w:tr>
      <w:tr>
        <w:trPr>
          <w:cantSplit/>
        </w:trPr>
        <w:tc>
          <w:tcPr>
            <w:tcW w:type="dxa" w:w="27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Benefits and post-implementation evidence</w:t>
            </w:r>
          </w:p>
        </w:tc>
        <w:tc>
          <w:tcPr>
            <w:tcW w:type="dxa" w:w="452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Seven years after PM Gate 7.</w:t>
            </w:r>
          </w:p>
        </w:tc>
        <w:tc>
          <w:tcPr>
            <w:tcW w:type="dxa" w:w="214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Sponsor and service owner</w:t>
            </w:r>
          </w:p>
        </w:tc>
      </w:tr>
    </w:tbl>
    <w:p>
      <w:pPr>
        <w:spacing w:before="0" w:after="80"/>
      </w:pPr>
    </w:p>
    <w:tbl>
      <w:tblPr>
        <w:tblStyle w:val="TableGrid"/>
        <w:jc w:val="left"/>
        <w:tblLook w:firstColumn="1" w:firstRow="1" w:lastColumn="0" w:lastRow="0" w:noHBand="0" w:noVBand="1" w:val="04A0"/>
        <w:tblW w:w="9360" w:type="dxa"/>
        <w:tblInd w:w="180" w:type="dxa"/>
        <w:tblLayout w:type="fixed"/>
      </w:tblPr>
      <w:tblGrid>
        <w:gridCol w:w="9360"/>
      </w:tblGrid>
      <w:tr>
        <w:trPr>
          <w:cantSplit/>
        </w:trPr>
        <w:tc>
          <w:tcPr>
            <w:tcW w:type="dxa" w:w="9360"/>
            <w:vAlign w:val="center"/>
            <w:tcMar>
              <w:top w:w="150" w:type="dxa"/>
              <w:start w:w="180" w:type="dxa"/>
              <w:bottom w:w="150" w:type="dxa"/>
              <w:end w:w="180" w:type="dxa"/>
            </w:tcMar>
            <w:shd w:fill="FBECEC"/>
          </w:tcPr>
          <w:p>
            <w:pPr>
              <w:keepLines/>
              <w:spacing w:after="0" w:line="288" w:lineRule="auto"/>
            </w:pPr>
            <w:r>
              <w:rPr>
                <w:rFonts w:ascii="Calibri" w:hAnsi="Calibri" w:eastAsia="Calibri"/>
                <w:b/>
                <w:color w:val="9B1C1C"/>
                <w:sz w:val="21"/>
              </w:rPr>
              <w:t xml:space="preserve">Privacy gate: </w:t>
            </w:r>
            <w:r>
              <w:rPr>
                <w:rFonts w:ascii="Calibri" w:hAnsi="Calibri" w:eastAsia="Calibri"/>
                <w:color w:val="111827"/>
                <w:sz w:val="21"/>
              </w:rPr>
              <w:t>The approved privacy impact assessment, data inventory and retention/disposal map are required in the combined PM Gate 3 / software G2 readiness pack. They are also standing gates on external assessment and on the admission of real personal data.</w:t>
            </w:r>
          </w:p>
        </w:tc>
      </w:tr>
    </w:tbl>
    <w:p>
      <w:pPr>
        <w:spacing w:after="40"/>
      </w:pPr>
    </w:p>
    <w:p>
      <w:pPr>
        <w:pStyle w:val="Heading1"/>
        <w:keepNext/>
        <w:keepLines/>
      </w:pPr>
      <w:r>
        <w:t>12. Ethical, legal and governance conditions</w:t>
      </w:r>
    </w:p>
    <w:p>
      <w:pPr/>
      <w:r>
        <w:rPr>
          <w:rFonts w:ascii="Calibri" w:hAnsi="Calibri" w:eastAsia="Calibri"/>
          <w:color w:val="111827"/>
        </w:rPr>
        <w:t>Written authorization and a clear rules-of-engagement record are mandatory before any target is assessed. The record should identify the owner, target boundaries, allowed techniques, testing window, emergency contacts, data-handling conditions and incident process. Permission to assess one asset never extends automatically to connected or discovered systems.</w:t>
      </w:r>
    </w:p>
    <w:p>
      <w:pPr>
        <w:pStyle w:val="Heading2"/>
        <w:keepNext/>
        <w:keepLines/>
      </w:pPr>
      <w:r>
        <w:t>12.1 Phase 0 Ghana regulatory gate</w:t>
      </w:r>
    </w:p>
    <w:p>
      <w:pPr/>
      <w:r>
        <w:rPr>
          <w:rFonts w:ascii="Calibri" w:hAnsi="Calibri" w:eastAsia="Calibri"/>
          <w:color w:val="111827"/>
        </w:rPr>
        <w:t>No assessment may be conducted against a system not owned by the project until qualified Ghanaian legal counsel has issued a recorded opinion and, where uncertainty remains, the project has obtained written clarification from the Cyber Security Authority. This gate applies before any external pilot, not only before production release.</w:t>
      </w:r>
    </w:p>
    <w:p>
      <w:pPr/>
      <w:r>
        <w:rPr>
          <w:rFonts w:ascii="Calibri" w:hAnsi="Calibri" w:eastAsia="Calibri"/>
          <w:color w:val="111827"/>
        </w:rPr>
        <w:t>The determination must answer four separate questions: whether operating Seal for another organization is a cybersecurity service for reward requiring a Cybersecurity Service Provider licence under section 49 of the Cybersecurity Act, 2020 (Act 1038); whether a Seal-operated facility or managed-service arrangement constitutes a Cybersecurity Establishment requiring accreditation; whether the people conducting an assessment require accreditation as Cybersecurity Professionals; and whether Seal is subject to the Act's cybersecurity-product or technology-solution certification provisions. The record must also identify privacy, cybercrime, electronic-transactions, contractual, sector and public-procurement obligations applicable to the proposed target.</w:t>
      </w:r>
    </w:p>
    <w:p>
      <w:pPr/>
      <w:r>
        <w:rPr>
          <w:rFonts w:ascii="Calibri" w:hAnsi="Calibri" w:eastAsia="Calibri"/>
          <w:color w:val="111827"/>
        </w:rPr>
        <w:t>The regulatory regime is treated as active enforcement, not a future commencement assumption. Before engaging a third-party assessor, establishment or service provider, the project must use the CSA certificate-verification hub, retain the certificate number, verification result and verification date, and resolve any inconsistency directly with the Authority before work begins.</w:t>
      </w:r>
    </w:p>
    <w:tbl>
      <w:tblPr>
        <w:tblStyle w:val="TableGrid"/>
        <w:jc w:val="left"/>
        <w:tblLook w:firstColumn="1" w:firstRow="1" w:lastColumn="0" w:lastRow="0" w:noHBand="0" w:noVBand="1" w:val="04A0"/>
        <w:tblW w:w="9360" w:type="dxa"/>
        <w:tblInd w:w="180" w:type="dxa"/>
        <w:tblLayout w:type="fixed"/>
      </w:tblPr>
      <w:tblGrid>
        <w:gridCol w:w="9360"/>
      </w:tblGrid>
      <w:tr>
        <w:trPr>
          <w:cantSplit/>
        </w:trPr>
        <w:tc>
          <w:tcPr>
            <w:tcW w:type="dxa" w:w="9360"/>
            <w:vAlign w:val="center"/>
            <w:tcMar>
              <w:top w:w="150" w:type="dxa"/>
              <w:start w:w="180" w:type="dxa"/>
              <w:bottom w:w="150" w:type="dxa"/>
              <w:end w:w="180" w:type="dxa"/>
            </w:tcMar>
            <w:shd w:fill="FBECEC"/>
          </w:tcPr>
          <w:p>
            <w:pPr>
              <w:keepLines/>
              <w:spacing w:after="0" w:line="288" w:lineRule="auto"/>
            </w:pPr>
            <w:r>
              <w:rPr>
                <w:rFonts w:ascii="Calibri" w:hAnsi="Calibri" w:eastAsia="Calibri"/>
                <w:b/>
                <w:color w:val="9B1C1C"/>
                <w:sz w:val="21"/>
              </w:rPr>
              <w:t xml:space="preserve">Regulatory dependency: </w:t>
            </w:r>
            <w:r>
              <w:rPr>
                <w:rFonts w:ascii="Calibri" w:hAnsi="Calibri" w:eastAsia="Calibri"/>
                <w:color w:val="111827"/>
                <w:sz w:val="21"/>
              </w:rPr>
              <w:t>The CSA licensing and accreditation regime is already in force and reported strict enforcement commenced on 31 January 2026. Licensing, CE and professional accreditation, product certification or written regulatory clarification may still take longer than the engineering schedule. The project manager must maintain a lead-time assumption, submission owner, evidence register and decision date. Schedule pressure cannot waive this gate.</w:t>
            </w:r>
          </w:p>
        </w:tc>
      </w:tr>
    </w:tbl>
    <w:p>
      <w:pPr>
        <w:spacing w:after="40"/>
      </w:pPr>
    </w:p>
    <w:p>
      <w:pPr>
        <w:pStyle w:val="Heading2"/>
        <w:keepNext/>
        <w:keepLines/>
      </w:pPr>
      <w:r>
        <w:t>12.2 Discovery outside approved scope</w:t>
      </w:r>
    </w:p>
    <w:p>
      <w:pPr/>
      <w:r>
        <w:rPr>
          <w:rFonts w:ascii="Calibri" w:hAnsi="Calibri" w:eastAsia="Calibri"/>
          <w:color w:val="111827"/>
        </w:rPr>
        <w:t>If Seal encounters an unexpected vulnerability outside the approved scope, it must stop interaction with that target, preserve only the minimum safe record and route the matter through an approved responsible-disclosure process.</w:t>
      </w:r>
    </w:p>
    <w:p>
      <w:pPr>
        <w:pStyle w:val="Heading2"/>
        <w:keepNext/>
        <w:keepLines/>
      </w:pPr>
      <w:r>
        <w:t>12.3 Active-compromise escalation within scope</w:t>
      </w:r>
    </w:p>
    <w:p>
      <w:pPr/>
      <w:r>
        <w:rPr>
          <w:rFonts w:ascii="Calibri" w:hAnsi="Calibri" w:eastAsia="Calibri"/>
          <w:color w:val="111827"/>
        </w:rPr>
        <w:t>Evidence suggesting an active compromise - such as a webshell, ongoing unauthorized data access or external command-and-control traffic - is an incident trigger, not an ordinary finding. Seal immediately halts the assessment, preserves the minimum necessary evidence and chain-of-custody record, restricts access, and alerts the named incident coordinator and target owner through the rules-of-engagement contacts.</w:t>
      </w:r>
    </w:p>
    <w:p>
      <w:pPr/>
      <w:r>
        <w:rPr>
          <w:rFonts w:ascii="Calibri" w:hAnsi="Calibri" w:eastAsia="Calibri"/>
          <w:color w:val="111827"/>
        </w:rPr>
        <w:t>The incident coordinator decides containment and notification with the target owner, legal adviser and relevant response team. The rules of engagement must identify the applicable Sectoral CERT or CERT-GH path and recognize the potential statutory requirement under Act 1038 to report a cybersecurity incident within twenty-four hours of detection. Seal records the detection and notification clock but does not make an external report autonomously unless the authorization record expressly delegates that action.</w:t>
      </w:r>
    </w:p>
    <w:p>
      <w:pPr/>
      <w:r>
        <w:t>U11–U12 implementation amendment: persist incident stop/hold, detection and acknowledgment clocks and the human notification decision. Retry and recovery revalidate authorization revision, revocation, profile, remaining budget and lease generation; do not blindly replay a prior outbound request. Restore in isolation and reconcile evidence digests and external anchors before reopening work. No automated notification or regulatory filing is authorized merely by this document.</w:t>
      </w:r>
    </w:p>
    <w:p>
      <w:pPr>
        <w:pStyle w:val="Heading2"/>
        <w:keepNext/>
        <w:keepLines/>
      </w:pPr>
      <w:r>
        <w:t>12.4 Institutional governance alignment</w:t>
      </w:r>
    </w:p>
    <w:p>
      <w:pPr/>
      <w:r>
        <w:rPr>
          <w:rFonts w:ascii="Calibri" w:hAnsi="Calibri" w:eastAsia="Calibri"/>
          <w:color w:val="111827"/>
        </w:rPr>
        <w:t>Seal is governed by the KenAddme IT Links Project Management Framework v1.0 and Software Development and Engineering Framework v1.1. Both were approved on 2 September 2026 and take effect on 31 October 2026. Because Seal remains active across that date and presents major cybersecurity, legal, privacy and reputational exposure with multiple specialist contributors, it adopts the governing controls immediately as a Project Class A / Software Class 3 initiative.</w:t>
      </w:r>
    </w:p>
    <w:p>
      <w:pPr/>
      <w:r>
        <w:rPr>
          <w:rFonts w:ascii="Calibri" w:hAnsi="Calibri" w:eastAsia="Calibri"/>
          <w:color w:val="111827"/>
        </w:rPr>
        <w:t>Software Class 3 governs the owned-laboratory and normal high-risk service design. Before Seal is used for safety-significant or mission-critical services, critical infrastructure, or large-scale restricted data, the Project Authority must review the classification and apply Software Class 4 where its conditions are met. The higher classification, stronger control and more senior approver govern whenever the frameworks differ.</w:t>
      </w:r>
    </w:p>
    <w:tbl>
      <w:tblPr>
        <w:tblStyle w:val="TableGrid"/>
        <w:jc w:val="left"/>
        <w:tblLook w:firstColumn="1" w:firstRow="1" w:lastColumn="0" w:lastRow="0" w:noHBand="0" w:noVBand="1" w:val="04A0"/>
        <w:tblW w:w="9360" w:type="dxa"/>
        <w:tblInd w:w="120" w:type="dxa"/>
        <w:tblLayout w:type="fixed"/>
      </w:tblPr>
      <w:tblGrid>
        <w:gridCol w:w="2100"/>
        <w:gridCol w:w="2500"/>
        <w:gridCol w:w="4760"/>
      </w:tblGrid>
      <w:tr>
        <w:trPr>
          <w:cantSplit/>
          <w:tblHeader w:val="true"/>
          <w:tblHeader w:val="true"/>
        </w:trPr>
        <w:tc>
          <w:tcPr>
            <w:tcW w:type="dxa" w:w="2100"/>
            <w:vAlign w:val="center"/>
            <w:tcMar>
              <w:top w:w="100" w:type="dxa"/>
              <w:start w:w="120" w:type="dxa"/>
              <w:bottom w:w="100" w:type="dxa"/>
              <w:end w:w="120" w:type="dxa"/>
            </w:tcMar>
            <w:shd w:fill="EAF4F4"/>
          </w:tcPr>
          <w:p>
            <w:pPr>
              <w:keepLines/>
              <w:spacing w:before="0" w:after="40" w:line="264" w:lineRule="auto"/>
              <w:jc w:val="center"/>
            </w:pPr>
            <w:r>
              <w:rPr>
                <w:rFonts w:ascii="Calibri" w:hAnsi="Calibri" w:eastAsia="Calibri"/>
                <w:b/>
                <w:color w:val="0B2545"/>
                <w:sz w:val="19"/>
              </w:rPr>
              <w:t>Seal stage</w:t>
            </w:r>
          </w:p>
        </w:tc>
        <w:tc>
          <w:tcPr>
            <w:tcW w:type="dxa" w:w="2500"/>
            <w:vAlign w:val="center"/>
            <w:tcMar>
              <w:top w:w="100" w:type="dxa"/>
              <w:start w:w="120" w:type="dxa"/>
              <w:bottom w:w="100" w:type="dxa"/>
              <w:end w:w="120" w:type="dxa"/>
            </w:tcMar>
            <w:shd w:fill="EAF4F4"/>
          </w:tcPr>
          <w:p>
            <w:pPr>
              <w:keepLines/>
              <w:spacing w:before="0" w:after="40" w:line="264" w:lineRule="auto"/>
              <w:jc w:val="left"/>
            </w:pPr>
            <w:r>
              <w:rPr>
                <w:rFonts w:ascii="Calibri" w:hAnsi="Calibri" w:eastAsia="Calibri"/>
                <w:b/>
                <w:color w:val="0B2545"/>
                <w:sz w:val="19"/>
              </w:rPr>
              <w:t>Aligned institutional decision</w:t>
            </w:r>
          </w:p>
        </w:tc>
        <w:tc>
          <w:tcPr>
            <w:tcW w:type="dxa" w:w="4760"/>
            <w:vAlign w:val="center"/>
            <w:tcMar>
              <w:top w:w="100" w:type="dxa"/>
              <w:start w:w="120" w:type="dxa"/>
              <w:bottom w:w="100" w:type="dxa"/>
              <w:end w:w="120" w:type="dxa"/>
            </w:tcMar>
            <w:shd w:fill="EAF4F4"/>
          </w:tcPr>
          <w:p>
            <w:pPr>
              <w:keepLines/>
              <w:spacing w:before="0" w:after="40" w:line="264" w:lineRule="auto"/>
              <w:jc w:val="left"/>
            </w:pPr>
            <w:r>
              <w:rPr>
                <w:rFonts w:ascii="Calibri" w:hAnsi="Calibri" w:eastAsia="Calibri"/>
                <w:b/>
                <w:color w:val="0B2545"/>
                <w:sz w:val="19"/>
              </w:rPr>
              <w:t>Single evidence pack / rule</w:t>
            </w:r>
          </w:p>
        </w:tc>
      </w:tr>
      <w:tr>
        <w:trPr>
          <w:cantSplit/>
        </w:trPr>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Phase 0 - decisions and governance</w:t>
            </w:r>
          </w:p>
        </w:tc>
        <w:tc>
          <w:tcPr>
            <w:tcW w:type="dxa" w:w="25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PM Gate 1 / software G0, followed by PM Gate 2 / software G1</w:t>
            </w:r>
          </w:p>
        </w:tc>
        <w:tc>
          <w:tcPr>
            <w:tcW w:type="dxa" w:w="47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One intake, charter, Class A / Class 3 decision, sponsor, scope and feasibility record; add approved requirements, acceptance criteria, data classification, privacy triggers and traceability for the combined baseline authorization.</w:t>
            </w:r>
          </w:p>
        </w:tc>
      </w:tr>
      <w:tr>
        <w:trPr>
          <w:cantSplit/>
        </w:trPr>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Phase 1 - platform foundation</w:t>
            </w:r>
          </w:p>
        </w:tc>
        <w:tc>
          <w:tcPr>
            <w:tcW w:type="dxa" w:w="25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PM Gate 3 / software G2</w:t>
            </w:r>
          </w:p>
        </w:tc>
        <w:tc>
          <w:tcPr>
            <w:tcW w:type="dxa" w:w="47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One integrated readiness pack covering the schedule and cost baselines, resources, architecture, threat model, Seal privacy impact assessment, test/deployment plans, operational design and a distinct assurance schedule and budget line.</w:t>
            </w:r>
          </w:p>
        </w:tc>
      </w:tr>
      <w:tr>
        <w:trPr>
          <w:cantSplit/>
        </w:trPr>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Phase 2 - laboratory detection MVP</w:t>
            </w:r>
          </w:p>
        </w:tc>
        <w:tc>
          <w:tcPr>
            <w:tcW w:type="dxa" w:w="25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Software G3 prerequisite; PM Gate 5 when a continuation, exception or rebaseline decision is triggered</w:t>
            </w:r>
          </w:p>
        </w:tc>
        <w:tc>
          <w:tcPr>
            <w:tcW w:type="dxa" w:w="47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Code review, build, unit/integration evidence, component inventory and known-defect record support formal testing; no production or external-target authority is created.</w:t>
            </w:r>
          </w:p>
        </w:tc>
      </w:tr>
      <w:tr>
        <w:trPr>
          <w:cantSplit/>
        </w:trPr>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Phase 3 - find-fix-prove workflow</w:t>
            </w:r>
          </w:p>
        </w:tc>
        <w:tc>
          <w:tcPr>
            <w:tcW w:type="dxa" w:w="25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Builds PM Gate 4 / software G4 evidence; PM Gate 5 remains recurring</w:t>
            </w:r>
          </w:p>
        </w:tc>
        <w:tc>
          <w:tcPr>
            <w:tcW w:type="dxa" w:w="47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Acceptance, security/privacy, recovery, release, rollback and operational evidence are accumulated once. Laboratory completion is not production release authorization.</w:t>
            </w:r>
          </w:p>
        </w:tc>
      </w:tr>
      <w:tr>
        <w:trPr>
          <w:cantSplit/>
        </w:trPr>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Phase 4 - hardening and pilot readiness</w:t>
            </w:r>
          </w:p>
        </w:tc>
        <w:tc>
          <w:tcPr>
            <w:tcW w:type="dxa" w:w="25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Combined PM Gate 4 / software G4 decision, with G3 evidence complete</w:t>
            </w:r>
          </w:p>
        </w:tc>
        <w:tc>
          <w:tcPr>
            <w:tcW w:type="dxa" w:w="47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The stricter Class A approver set decides pilot or release readiness. External assessment also requires the separate Ghana regulatory and target-authorization gates.</w:t>
            </w:r>
          </w:p>
        </w:tc>
      </w:tr>
      <w:tr>
        <w:trPr>
          <w:cantSplit/>
        </w:trPr>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Post-pilot handover, closure and benefits</w:t>
            </w:r>
          </w:p>
        </w:tc>
        <w:tc>
          <w:tcPr>
            <w:tcW w:type="dxa" w:w="25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PM Gate 6 with software G5/G6 as applicable; PM Gate 7 for benefits</w:t>
            </w:r>
          </w:p>
        </w:tc>
        <w:tc>
          <w:tcPr>
            <w:tcW w:type="dxa" w:w="47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Use one handover/closure record where scope matches, retain evidence under the institutional schedule and use service measures for the single benefits decision.</w:t>
            </w:r>
          </w:p>
        </w:tc>
      </w:tr>
    </w:tbl>
    <w:p>
      <w:pPr>
        <w:spacing w:before="0" w:after="80"/>
      </w:pPr>
    </w:p>
    <w:p>
      <w:pPr/>
      <w:r>
        <w:rPr>
          <w:rFonts w:ascii="Calibri" w:hAnsi="Calibri" w:eastAsia="Calibri"/>
          <w:color w:val="111827"/>
        </w:rPr>
        <w:t>PM Gate 5 continuation and exception governance may be invoked at any phase when forecast, risk, scope, legal position, resources or tolerances change. Evidence is created once and referenced by Seal and both frameworks; duplicate gates are not created merely because their numbering differs.</w:t>
      </w:r>
    </w:p>
    <w:tbl>
      <w:tblPr>
        <w:tblStyle w:val="TableGrid"/>
        <w:jc w:val="left"/>
        <w:tblLook w:firstColumn="1" w:firstRow="1" w:lastColumn="0" w:lastRow="0" w:noHBand="0" w:noVBand="1" w:val="04A0"/>
        <w:tblW w:w="9360" w:type="dxa"/>
        <w:tblInd w:w="180" w:type="dxa"/>
        <w:tblLayout w:type="fixed"/>
      </w:tblPr>
      <w:tblGrid>
        <w:gridCol w:w="9360"/>
      </w:tblGrid>
      <w:tr>
        <w:trPr>
          <w:cantSplit/>
        </w:trPr>
        <w:tc>
          <w:tcPr>
            <w:tcW w:type="dxa" w:w="9360"/>
            <w:vAlign w:val="center"/>
            <w:tcMar>
              <w:top w:w="150" w:type="dxa"/>
              <w:start w:w="180" w:type="dxa"/>
              <w:bottom w:w="150" w:type="dxa"/>
              <w:end w:w="180" w:type="dxa"/>
            </w:tcMar>
            <w:shd w:fill="F4F6F9"/>
          </w:tcPr>
          <w:p>
            <w:pPr>
              <w:keepLines/>
              <w:spacing w:after="0" w:line="288" w:lineRule="auto"/>
            </w:pPr>
            <w:r>
              <w:rPr>
                <w:rFonts w:ascii="Calibri" w:hAnsi="Calibri" w:eastAsia="Calibri"/>
                <w:b/>
                <w:color w:val="1F4D78"/>
                <w:sz w:val="21"/>
              </w:rPr>
              <w:t xml:space="preserve">Approval separation: </w:t>
            </w:r>
            <w:r>
              <w:rPr>
                <w:rFonts w:ascii="Calibri" w:hAnsi="Calibri" w:eastAsia="Calibri"/>
                <w:color w:val="111827"/>
                <w:sz w:val="21"/>
              </w:rPr>
              <w:t>Freston Kenny Adedeme owns and issues the concept but may not self-approve the Class A charter or formal baseline. The KenAddme IT Links Project Authority must confirm the class and approve the combined Gate 2 / G1 baseline. A named independent technical/control reviewer must be entered before Phase 0 exit. If staffing prevents normal separation, only the frameworks' time-bound compensating-assurance route may be used, with Executive Authority approval for this Class A project.</w:t>
            </w:r>
          </w:p>
        </w:tc>
      </w:tr>
    </w:tbl>
    <w:p>
      <w:pPr>
        <w:spacing w:after="40"/>
      </w:pPr>
    </w:p>
    <w:p>
      <w:pPr>
        <w:pStyle w:val="Heading1"/>
        <w:keepNext/>
        <w:keepLines/>
      </w:pPr>
      <w:r>
        <w:t>13. Non-functional requirements</w:t>
      </w:r>
    </w:p>
    <w:tbl>
      <w:tblPr>
        <w:tblStyle w:val="TableGrid"/>
        <w:jc w:val="left"/>
        <w:tblLook w:firstColumn="1" w:firstRow="1" w:lastColumn="0" w:lastRow="0" w:noHBand="0" w:noVBand="1" w:val="04A0"/>
        <w:tblW w:w="9360" w:type="dxa"/>
        <w:tblInd w:w="120" w:type="dxa"/>
        <w:tblLayout w:type="fixed"/>
      </w:tblPr>
      <w:tblGrid>
        <w:gridCol w:w="2100"/>
        <w:gridCol w:w="7260"/>
      </w:tblGrid>
      <w:tr>
        <w:trPr>
          <w:cantSplit/>
          <w:tblHeader w:val="true"/>
          <w:tblHeader w:val="true"/>
        </w:trPr>
        <w:tc>
          <w:tcPr>
            <w:tcW w:type="dxa" w:w="2100"/>
            <w:vAlign w:val="center"/>
            <w:tcMar>
              <w:top w:w="100" w:type="dxa"/>
              <w:start w:w="120" w:type="dxa"/>
              <w:bottom w:w="100" w:type="dxa"/>
              <w:end w:w="120" w:type="dxa"/>
            </w:tcMar>
            <w:shd w:fill="E8EEF5"/>
          </w:tcPr>
          <w:p>
            <w:pPr>
              <w:keepLines/>
              <w:spacing w:before="0" w:after="40" w:line="264" w:lineRule="auto"/>
              <w:jc w:val="center"/>
            </w:pPr>
            <w:r>
              <w:rPr>
                <w:rFonts w:ascii="Calibri" w:hAnsi="Calibri" w:eastAsia="Calibri"/>
                <w:b/>
                <w:color w:val="0B2545"/>
                <w:sz w:val="19"/>
              </w:rPr>
              <w:t>Quality</w:t>
            </w:r>
          </w:p>
        </w:tc>
        <w:tc>
          <w:tcPr>
            <w:tcW w:type="dxa" w:w="7260"/>
            <w:vAlign w:val="center"/>
            <w:tcMar>
              <w:top w:w="100" w:type="dxa"/>
              <w:start w:w="120" w:type="dxa"/>
              <w:bottom w:w="100" w:type="dxa"/>
              <w:end w:w="120" w:type="dxa"/>
            </w:tcMar>
            <w:shd w:fill="E8EEF5"/>
          </w:tcPr>
          <w:p>
            <w:pPr>
              <w:keepLines/>
              <w:spacing w:before="0" w:after="40" w:line="264" w:lineRule="auto"/>
              <w:jc w:val="center"/>
            </w:pPr>
            <w:r>
              <w:rPr>
                <w:rFonts w:ascii="Calibri" w:hAnsi="Calibri" w:eastAsia="Calibri"/>
                <w:b/>
                <w:color w:val="0B2545"/>
                <w:sz w:val="19"/>
              </w:rPr>
              <w:t>Requirement</w:t>
            </w:r>
          </w:p>
        </w:tc>
      </w:tr>
      <w:tr>
        <w:trPr>
          <w:cantSplit/>
        </w:trPr>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Security</w:t>
            </w:r>
          </w:p>
        </w:tc>
        <w:tc>
          <w:tcPr>
            <w:tcW w:type="dxa" w:w="72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No scan execution without scope authorization; privileged actions require strong identity and audit.</w:t>
            </w:r>
          </w:p>
        </w:tc>
      </w:tr>
      <w:tr>
        <w:trPr>
          <w:cantSplit/>
        </w:trPr>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Reliability</w:t>
            </w:r>
          </w:p>
        </w:tc>
        <w:tc>
          <w:tcPr>
            <w:tcW w:type="dxa" w:w="72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During approved pilot windows, the control plane target is 99.5% availability. A failed worker is detected within 30 seconds and its job is safely failed or resumed without duplicate requests within 5 minutes.</w:t>
            </w:r>
          </w:p>
        </w:tc>
      </w:tr>
      <w:tr>
        <w:trPr>
          <w:cantSplit/>
        </w:trPr>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Performance</w:t>
            </w:r>
          </w:p>
        </w:tc>
        <w:tc>
          <w:tcPr>
            <w:tcW w:type="dxa" w:w="72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At 10 concurrent laboratory jobs, queue dispatch p95 is at most 30 seconds. Dashboard/API response p95 is at most 2 seconds for 25 concurrent viewers and 100,000 findings.</w:t>
            </w:r>
          </w:p>
        </w:tc>
      </w:tr>
      <w:tr>
        <w:trPr>
          <w:cantSplit/>
        </w:trPr>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Scan limits</w:t>
            </w:r>
          </w:p>
        </w:tc>
        <w:tc>
          <w:tcPr>
            <w:tcW w:type="dxa" w:w="72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Passive web profiles stop at 60 minutes, source analysis at 45 minutes and dependency analysis at 30 minutes unless a separately approved profile sets a lower limit. New outbound requests stop within 5 seconds of emergency stop and workers terminate within 30 seconds.</w:t>
            </w:r>
          </w:p>
        </w:tc>
      </w:tr>
      <w:tr>
        <w:trPr>
          <w:cantSplit/>
        </w:trPr>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Scalability</w:t>
            </w:r>
          </w:p>
        </w:tc>
        <w:tc>
          <w:tcPr>
            <w:tcW w:type="dxa" w:w="72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The laboratory baseline supports 10 concurrent jobs and 100,000 findings while preserving tenant and authorization checks; workers may scale horizontally without administrative authority.</w:t>
            </w:r>
          </w:p>
        </w:tc>
      </w:tr>
      <w:tr>
        <w:trPr>
          <w:cantSplit/>
        </w:trPr>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Recovery</w:t>
            </w:r>
          </w:p>
        </w:tc>
        <w:tc>
          <w:tcPr>
            <w:tcW w:type="dxa" w:w="72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Queue or worker-service recovery target is 15 minutes. Accepted audit events have zero-event loss after acknowledgement; interrupted scans never restart automatically without a renewed scope check.</w:t>
            </w:r>
          </w:p>
        </w:tc>
      </w:tr>
      <w:tr>
        <w:trPr>
          <w:cantSplit/>
        </w:trPr>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Maintainability</w:t>
            </w:r>
          </w:p>
        </w:tc>
        <w:tc>
          <w:tcPr>
            <w:tcW w:type="dxa" w:w="72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Adapters use stable interfaces, versioned schemas, automated tests and clear ownership.</w:t>
            </w:r>
          </w:p>
        </w:tc>
      </w:tr>
      <w:tr>
        <w:trPr>
          <w:cantSplit/>
        </w:trPr>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Usability</w:t>
            </w:r>
          </w:p>
        </w:tc>
        <w:tc>
          <w:tcPr>
            <w:tcW w:type="dxa" w:w="72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Findings explain impact, evidence, correction and verification in language appropriate to the role.</w:t>
            </w:r>
          </w:p>
        </w:tc>
      </w:tr>
      <w:tr>
        <w:trPr>
          <w:cantSplit/>
        </w:trPr>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Accessibility</w:t>
            </w:r>
          </w:p>
        </w:tc>
        <w:tc>
          <w:tcPr>
            <w:tcW w:type="dxa" w:w="72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The dashboard and reports use keyboard-accessible controls, readable contrast and structured headings.</w:t>
            </w:r>
          </w:p>
        </w:tc>
      </w:tr>
      <w:tr>
        <w:trPr>
          <w:cantSplit/>
        </w:trPr>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Interoperability</w:t>
            </w:r>
          </w:p>
        </w:tc>
        <w:tc>
          <w:tcPr>
            <w:tcW w:type="dxa" w:w="72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Import and export use documented formats and preserve source-tool identity.</w:t>
            </w:r>
          </w:p>
        </w:tc>
      </w:tr>
      <w:tr>
        <w:trPr>
          <w:cantSplit/>
        </w:trPr>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Explainability</w:t>
            </w:r>
          </w:p>
        </w:tc>
        <w:tc>
          <w:tcPr>
            <w:tcW w:type="dxa" w:w="72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Every priority and status transition shows its contributing factors and decision history.</w:t>
            </w:r>
          </w:p>
        </w:tc>
      </w:tr>
    </w:tbl>
    <w:p>
      <w:pPr>
        <w:spacing w:before="0" w:after="80"/>
      </w:pPr>
    </w:p>
    <w:p>
      <w:pPr>
        <w:pStyle w:val="Heading1"/>
        <w:keepNext/>
        <w:keepLines/>
      </w:pPr>
      <w:r>
        <w:t>14. Proposed technology foundation</w:t>
      </w:r>
    </w:p>
    <w:p>
      <w:pPr/>
      <w:r>
        <w:rPr>
          <w:rFonts w:ascii="Calibri" w:hAnsi="Calibri" w:eastAsia="Calibri"/>
          <w:color w:val="111827"/>
        </w:rPr>
        <w:t>The following technologies provide a practical starting point. Exact versions and licenses must be pinned and reviewed during implementation.</w:t>
      </w:r>
    </w:p>
    <w:tbl>
      <w:tblPr>
        <w:tblStyle w:val="TableGrid"/>
        <w:jc w:val="left"/>
        <w:tblLook w:firstColumn="1" w:firstRow="1" w:lastColumn="0" w:lastRow="0" w:noHBand="0" w:noVBand="1" w:val="04A0"/>
        <w:tblW w:w="9360" w:type="dxa"/>
        <w:tblInd w:w="120" w:type="dxa"/>
        <w:tblLayout w:type="fixed"/>
      </w:tblPr>
      <w:tblGrid>
        <w:gridCol w:w="1800"/>
        <w:gridCol w:w="2600"/>
        <w:gridCol w:w="4960"/>
      </w:tblGrid>
      <w:tr>
        <w:trPr>
          <w:cantSplit/>
          <w:tblHeader w:val="true"/>
          <w:tblHeader w:val="true"/>
        </w:trPr>
        <w:tc>
          <w:tcPr>
            <w:tcW w:type="dxa" w:w="1800"/>
            <w:vAlign w:val="center"/>
            <w:tcMar>
              <w:top w:w="100" w:type="dxa"/>
              <w:start w:w="120" w:type="dxa"/>
              <w:bottom w:w="100" w:type="dxa"/>
              <w:end w:w="120" w:type="dxa"/>
            </w:tcMar>
            <w:shd w:fill="E8EEF5"/>
          </w:tcPr>
          <w:p>
            <w:pPr>
              <w:keepLines/>
              <w:spacing w:before="0" w:after="40" w:line="264" w:lineRule="auto"/>
              <w:jc w:val="center"/>
            </w:pPr>
            <w:r>
              <w:rPr>
                <w:rFonts w:ascii="Calibri" w:hAnsi="Calibri" w:eastAsia="Calibri"/>
                <w:b/>
                <w:color w:val="0B2545"/>
                <w:sz w:val="19"/>
              </w:rPr>
              <w:t>Area</w:t>
            </w:r>
          </w:p>
        </w:tc>
        <w:tc>
          <w:tcPr>
            <w:tcW w:type="dxa" w:w="2600"/>
            <w:vAlign w:val="center"/>
            <w:tcMar>
              <w:top w:w="100" w:type="dxa"/>
              <w:start w:w="120" w:type="dxa"/>
              <w:bottom w:w="100" w:type="dxa"/>
              <w:end w:w="120" w:type="dxa"/>
            </w:tcMar>
            <w:shd w:fill="E8EEF5"/>
          </w:tcPr>
          <w:p>
            <w:pPr>
              <w:keepLines/>
              <w:spacing w:before="0" w:after="40" w:line="264" w:lineRule="auto"/>
              <w:jc w:val="left"/>
            </w:pPr>
            <w:r>
              <w:rPr>
                <w:rFonts w:ascii="Calibri" w:hAnsi="Calibri" w:eastAsia="Calibri"/>
                <w:b/>
                <w:color w:val="0B2545"/>
                <w:sz w:val="19"/>
              </w:rPr>
              <w:t>Proposed technology</w:t>
            </w:r>
          </w:p>
        </w:tc>
        <w:tc>
          <w:tcPr>
            <w:tcW w:type="dxa" w:w="4960"/>
            <w:vAlign w:val="center"/>
            <w:tcMar>
              <w:top w:w="100" w:type="dxa"/>
              <w:start w:w="120" w:type="dxa"/>
              <w:bottom w:w="100" w:type="dxa"/>
              <w:end w:w="120" w:type="dxa"/>
            </w:tcMar>
            <w:shd w:fill="E8EEF5"/>
          </w:tcPr>
          <w:p>
            <w:pPr>
              <w:keepLines/>
              <w:spacing w:before="0" w:after="40" w:line="264" w:lineRule="auto"/>
              <w:jc w:val="center"/>
            </w:pPr>
            <w:r>
              <w:rPr>
                <w:rFonts w:ascii="Calibri" w:hAnsi="Calibri" w:eastAsia="Calibri"/>
                <w:b/>
                <w:color w:val="0B2545"/>
                <w:sz w:val="19"/>
              </w:rPr>
              <w:t>Purpose</w:t>
            </w:r>
          </w:p>
        </w:tc>
      </w:tr>
      <w:tr>
        <w:trPr>
          <w:cantSplit/>
        </w:trPr>
        <w:tc>
          <w:tcPr>
            <w:tcW w:type="dxa" w:w="18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Backend</w:t>
            </w:r>
          </w:p>
        </w:tc>
        <w:tc>
          <w:tcPr>
            <w:tcW w:type="dxa" w:w="26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Python with FastAPI</w:t>
            </w:r>
          </w:p>
        </w:tc>
        <w:tc>
          <w:tcPr>
            <w:tcW w:type="dxa" w:w="49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API, authorization logic, orchestration and integrations.</w:t>
            </w:r>
          </w:p>
        </w:tc>
      </w:tr>
      <w:tr>
        <w:trPr>
          <w:cantSplit/>
        </w:trPr>
        <w:tc>
          <w:tcPr>
            <w:tcW w:type="dxa" w:w="18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Dashboard</w:t>
            </w:r>
          </w:p>
        </w:tc>
        <w:tc>
          <w:tcPr>
            <w:tcW w:type="dxa" w:w="26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React</w:t>
            </w:r>
          </w:p>
        </w:tc>
        <w:tc>
          <w:tcPr>
            <w:tcW w:type="dxa" w:w="49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Role-based user interface and reporting.</w:t>
            </w:r>
          </w:p>
        </w:tc>
      </w:tr>
      <w:tr>
        <w:trPr>
          <w:cantSplit/>
        </w:trPr>
        <w:tc>
          <w:tcPr>
            <w:tcW w:type="dxa" w:w="18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Database</w:t>
            </w:r>
          </w:p>
        </w:tc>
        <w:tc>
          <w:tcPr>
            <w:tcW w:type="dxa" w:w="26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PostgreSQL with row-level security</w:t>
            </w:r>
          </w:p>
        </w:tc>
        <w:tc>
          <w:tcPr>
            <w:tcW w:type="dxa" w:w="49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Organization-scoped targets, authorizations, findings, remediation and operational audit-chain records.</w:t>
            </w:r>
          </w:p>
        </w:tc>
      </w:tr>
      <w:tr>
        <w:trPr>
          <w:cantSplit/>
        </w:trPr>
        <w:tc>
          <w:tcPr>
            <w:tcW w:type="dxa" w:w="18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Queue</w:t>
            </w:r>
          </w:p>
        </w:tc>
        <w:tc>
          <w:tcPr>
            <w:tcW w:type="dxa" w:w="26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Redis with Celery</w:t>
            </w:r>
          </w:p>
        </w:tc>
        <w:tc>
          <w:tcPr>
            <w:tcW w:type="dxa" w:w="49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Controlled asynchronous scan jobs and worker coordination.</w:t>
            </w:r>
          </w:p>
        </w:tc>
      </w:tr>
      <w:tr>
        <w:trPr>
          <w:cantSplit/>
        </w:trPr>
        <w:tc>
          <w:tcPr>
            <w:tcW w:type="dxa" w:w="18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Isolation</w:t>
            </w:r>
          </w:p>
        </w:tc>
        <w:tc>
          <w:tcPr>
            <w:tcW w:type="dxa" w:w="26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Docker</w:t>
            </w:r>
          </w:p>
        </w:tc>
        <w:tc>
          <w:tcPr>
            <w:tcW w:type="dxa" w:w="49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Disposable scanner adapters with restricted resources and routes.</w:t>
            </w:r>
          </w:p>
        </w:tc>
      </w:tr>
      <w:tr>
        <w:trPr>
          <w:cantSplit/>
        </w:trPr>
        <w:tc>
          <w:tcPr>
            <w:tcW w:type="dxa" w:w="18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Integrity anchor</w:t>
            </w:r>
          </w:p>
        </w:tc>
        <w:tc>
          <w:tcPr>
            <w:tcW w:type="dxa" w:w="26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Retention-locked object storage or equivalent append-only log</w:t>
            </w:r>
          </w:p>
        </w:tc>
        <w:tc>
          <w:tcPr>
            <w:tcW w:type="dxa" w:w="49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Separately controlled signed audit-chain heads and evidence digests.</w:t>
            </w:r>
          </w:p>
        </w:tc>
      </w:tr>
      <w:tr>
        <w:trPr>
          <w:cantSplit/>
        </w:trPr>
        <w:tc>
          <w:tcPr>
            <w:tcW w:type="dxa" w:w="18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Web assessment</w:t>
            </w:r>
          </w:p>
        </w:tc>
        <w:tc>
          <w:tcPr>
            <w:tcW w:type="dxa" w:w="26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OWASP ZAP adapter</w:t>
            </w:r>
          </w:p>
        </w:tc>
        <w:tc>
          <w:tcPr>
            <w:tcW w:type="dxa" w:w="49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Passive and allowlisted safe-active checks against owned laboratory targets.</w:t>
            </w:r>
          </w:p>
        </w:tc>
      </w:tr>
      <w:tr>
        <w:trPr>
          <w:cantSplit/>
        </w:trPr>
        <w:tc>
          <w:tcPr>
            <w:tcW w:type="dxa" w:w="18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Software analysis</w:t>
            </w:r>
          </w:p>
        </w:tc>
        <w:tc>
          <w:tcPr>
            <w:tcW w:type="dxa" w:w="26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One of Semgrep or Trivy for the MVP</w:t>
            </w:r>
          </w:p>
        </w:tc>
        <w:tc>
          <w:tcPr>
            <w:tcW w:type="dxa" w:w="49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Selected source-code or dependency coverage with stable adapter fingerprints.</w:t>
            </w:r>
          </w:p>
        </w:tc>
      </w:tr>
      <w:tr>
        <w:trPr>
          <w:cantSplit/>
        </w:trPr>
        <w:tc>
          <w:tcPr>
            <w:tcW w:type="dxa" w:w="18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Reports</w:t>
            </w:r>
          </w:p>
        </w:tc>
        <w:tc>
          <w:tcPr>
            <w:tcW w:type="dxa" w:w="26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Web dashboard plus JSON/CSV export</w:t>
            </w:r>
          </w:p>
        </w:tc>
        <w:tc>
          <w:tcPr>
            <w:tcW w:type="dxa" w:w="49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MVP technical, management and assurance evidence; DOCX/PDF generation is deferred.</w:t>
            </w:r>
          </w:p>
        </w:tc>
      </w:tr>
    </w:tbl>
    <w:p>
      <w:pPr>
        <w:spacing w:before="0" w:after="80"/>
      </w:pPr>
    </w:p>
    <w:p>
      <w:pPr/>
      <w:r>
        <w:rPr>
          <w:rFonts w:ascii="Calibri" w:hAnsi="Calibri" w:eastAsia="Calibri"/>
          <w:color w:val="111827"/>
        </w:rPr>
        <w:t>ZAP provides the initial web adapter. The Phase 0 capacity decision selects either Semgrep for static source-code analysis or Trivy for dependency and artifact analysis as the second MVP adapter. Nmap, the unselected software adapter, CI/CD hooks and generated office reports remain post-MVP candidates. Every tool is integrated as a restricted adapter rather than exposed directly to users.</w:t>
      </w:r>
    </w:p>
    <w:p>
      <w:pPr>
        <w:pStyle w:val="Heading1"/>
        <w:keepNext/>
        <w:keepLines/>
      </w:pPr>
      <w:r>
        <w:t>15. Implementation plan</w:t>
      </w:r>
    </w:p>
    <w:p>
      <w:pPr/>
      <w:r>
        <w:rPr>
          <w:rFonts w:ascii="Calibri" w:hAnsi="Calibri" w:eastAsia="Calibri"/>
          <w:color w:val="111827"/>
        </w:rPr>
        <w:t>The planning baseline assumes approximately 4.0 engineering FTE plus part-time legal and independent-assurance support. This is a required capacity scenario, not a claim that personnel are already assigned. Phase 0 must record the named sponsor, project manager, acceptance authority, technical/control reviewer and delivery team, their committed weekly allocations, and the approved schedule of record. If confirmed capacity is lower, the twenty-eight-week dates are superseded by an approved reduced-capacity rebaseline; a single-developer planning range is forty-four to fifty-two weeks with phases running mostly in sequence.</w:t>
      </w:r>
    </w:p>
    <w:p>
      <w:pPr/>
      <w:r>
        <w:rPr>
          <w:rFonts w:ascii="Calibri" w:hAnsi="Calibri" w:eastAsia="Calibri"/>
          <w:color w:val="111827"/>
        </w:rPr>
        <w:t>In the integrated PM Gate 3 / software G2 delivery plan, QA, security, privacy, accessibility, recovery, legal/compliance and independent assessment effort must be estimated, scheduled and funded as a distinct assurance line item rather than absorbed into general engineering capacity. The line records effort, cost, owner, timing and any Class 3 client-proposal disclosure.</w:t>
      </w:r>
    </w:p>
    <w:p>
      <w:pPr/>
      <w:r>
        <w:t>Implementation amendment: estimate the additional U01–U14 work before claiming that the original 28-week scenario remains feasible. Appendix E carries the dependency-ordered work and evidence. The synchronized Stage Implementation Plan v1.2 preserves the latest readiness summary and distinguishes controlled lab integration from pilot acceptance; no appointment or completion status is inferred from the merge.</w:t>
      </w:r>
    </w:p>
    <w:p>
      <w:pPr>
        <w:pStyle w:val="Heading2"/>
        <w:keepNext/>
        <w:keepLines/>
      </w:pPr>
      <w:r>
        <w:t>15.1 Baseline resourcing</w:t>
      </w:r>
    </w:p>
    <w:tbl>
      <w:tblPr>
        <w:tblStyle w:val="TableGrid"/>
        <w:jc w:val="left"/>
        <w:tblLook w:firstColumn="1" w:firstRow="1" w:lastColumn="0" w:lastRow="0" w:noHBand="0" w:noVBand="1" w:val="04A0"/>
        <w:tblW w:w="9360" w:type="dxa"/>
        <w:tblInd w:w="120" w:type="dxa"/>
        <w:tblLayout w:type="fixed"/>
      </w:tblPr>
      <w:tblGrid>
        <w:gridCol w:w="2700"/>
        <w:gridCol w:w="1350"/>
        <w:gridCol w:w="5310"/>
      </w:tblGrid>
      <w:tr>
        <w:trPr>
          <w:cantSplit/>
          <w:tblHeader w:val="true"/>
          <w:tblHeader w:val="true"/>
        </w:trPr>
        <w:tc>
          <w:tcPr>
            <w:tcW w:type="dxa" w:w="2700"/>
            <w:vAlign w:val="center"/>
            <w:tcMar>
              <w:top w:w="100" w:type="dxa"/>
              <w:start w:w="120" w:type="dxa"/>
              <w:bottom w:w="100" w:type="dxa"/>
              <w:end w:w="120" w:type="dxa"/>
            </w:tcMar>
            <w:shd w:fill="F4F6F9"/>
          </w:tcPr>
          <w:p>
            <w:pPr>
              <w:keepLines/>
              <w:spacing w:before="0" w:after="40" w:line="264" w:lineRule="auto"/>
              <w:jc w:val="center"/>
            </w:pPr>
            <w:r>
              <w:rPr>
                <w:rFonts w:ascii="Calibri" w:hAnsi="Calibri" w:eastAsia="Calibri"/>
                <w:b/>
                <w:color w:val="0B2545"/>
                <w:sz w:val="19"/>
              </w:rPr>
              <w:t>Role</w:t>
            </w:r>
          </w:p>
        </w:tc>
        <w:tc>
          <w:tcPr>
            <w:tcW w:type="dxa" w:w="1350"/>
            <w:vAlign w:val="center"/>
            <w:tcMar>
              <w:top w:w="100" w:type="dxa"/>
              <w:start w:w="120" w:type="dxa"/>
              <w:bottom w:w="100" w:type="dxa"/>
              <w:end w:w="120" w:type="dxa"/>
            </w:tcMar>
            <w:shd w:fill="F4F6F9"/>
          </w:tcPr>
          <w:p>
            <w:pPr>
              <w:keepLines/>
              <w:spacing w:before="0" w:after="40" w:line="264" w:lineRule="auto"/>
              <w:jc w:val="center"/>
            </w:pPr>
            <w:r>
              <w:rPr>
                <w:rFonts w:ascii="Calibri" w:hAnsi="Calibri" w:eastAsia="Calibri"/>
                <w:b/>
                <w:color w:val="0B2545"/>
                <w:sz w:val="19"/>
              </w:rPr>
              <w:t>Availability</w:t>
            </w:r>
          </w:p>
        </w:tc>
        <w:tc>
          <w:tcPr>
            <w:tcW w:type="dxa" w:w="5310"/>
            <w:vAlign w:val="center"/>
            <w:tcMar>
              <w:top w:w="100" w:type="dxa"/>
              <w:start w:w="120" w:type="dxa"/>
              <w:bottom w:w="100" w:type="dxa"/>
              <w:end w:w="120" w:type="dxa"/>
            </w:tcMar>
            <w:shd w:fill="F4F6F9"/>
          </w:tcPr>
          <w:p>
            <w:pPr>
              <w:keepLines/>
              <w:spacing w:before="0" w:after="40" w:line="264" w:lineRule="auto"/>
              <w:jc w:val="left"/>
            </w:pPr>
            <w:r>
              <w:rPr>
                <w:rFonts w:ascii="Calibri" w:hAnsi="Calibri" w:eastAsia="Calibri"/>
                <w:b/>
                <w:color w:val="0B2545"/>
                <w:sz w:val="19"/>
              </w:rPr>
              <w:t>Primary accountability</w:t>
            </w:r>
          </w:p>
        </w:tc>
      </w:tr>
      <w:tr>
        <w:trPr>
          <w:cantSplit/>
        </w:trPr>
        <w:tc>
          <w:tcPr>
            <w:tcW w:type="dxa" w:w="27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Product and security lead</w:t>
            </w:r>
          </w:p>
        </w:tc>
        <w:tc>
          <w:tcPr>
            <w:tcW w:type="dxa" w:w="135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0.5 FTE</w:t>
            </w:r>
          </w:p>
        </w:tc>
        <w:tc>
          <w:tcPr>
            <w:tcW w:type="dxa" w:w="531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Requirements, threat model, scope policy, safe-active allowlist and risk acceptance.</w:t>
            </w:r>
          </w:p>
        </w:tc>
      </w:tr>
      <w:tr>
        <w:trPr>
          <w:cantSplit/>
        </w:trPr>
        <w:tc>
          <w:tcPr>
            <w:tcW w:type="dxa" w:w="27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Backend / platform engineer</w:t>
            </w:r>
          </w:p>
        </w:tc>
        <w:tc>
          <w:tcPr>
            <w:tcW w:type="dxa" w:w="135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1.0 FTE</w:t>
            </w:r>
          </w:p>
        </w:tc>
        <w:tc>
          <w:tcPr>
            <w:tcW w:type="dxa" w:w="531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Authorization gate, tenant-aware data layer, orchestration, audit chain and APIs.</w:t>
            </w:r>
          </w:p>
        </w:tc>
      </w:tr>
      <w:tr>
        <w:trPr>
          <w:cantSplit/>
        </w:trPr>
        <w:tc>
          <w:tcPr>
            <w:tcW w:type="dxa" w:w="27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Security integration engineer</w:t>
            </w:r>
          </w:p>
        </w:tc>
        <w:tc>
          <w:tcPr>
            <w:tcW w:type="dxa" w:w="135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1.0 FTE</w:t>
            </w:r>
          </w:p>
        </w:tc>
        <w:tc>
          <w:tcPr>
            <w:tcW w:type="dxa" w:w="531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Restricted ZAP adapter, selected code/dependency adapter, fingerprinting and scanner tests.</w:t>
            </w:r>
          </w:p>
        </w:tc>
      </w:tr>
      <w:tr>
        <w:trPr>
          <w:cantSplit/>
        </w:trPr>
        <w:tc>
          <w:tcPr>
            <w:tcW w:type="dxa" w:w="27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Frontend engineer</w:t>
            </w:r>
          </w:p>
        </w:tc>
        <w:tc>
          <w:tcPr>
            <w:tcW w:type="dxa" w:w="135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0.75 FTE</w:t>
            </w:r>
          </w:p>
        </w:tc>
        <w:tc>
          <w:tcPr>
            <w:tcW w:type="dxa" w:w="531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Role-based dashboard, triage, remediation, verification and structured export.</w:t>
            </w:r>
          </w:p>
        </w:tc>
      </w:tr>
      <w:tr>
        <w:trPr>
          <w:cantSplit/>
        </w:trPr>
        <w:tc>
          <w:tcPr>
            <w:tcW w:type="dxa" w:w="27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QA / DevSecOps engineer</w:t>
            </w:r>
          </w:p>
        </w:tc>
        <w:tc>
          <w:tcPr>
            <w:tcW w:type="dxa" w:w="135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0.75 FTE</w:t>
            </w:r>
          </w:p>
        </w:tc>
        <w:tc>
          <w:tcPr>
            <w:tcW w:type="dxa" w:w="531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CI, test automation, isolation, performance, recovery and release evidence.</w:t>
            </w:r>
          </w:p>
        </w:tc>
      </w:tr>
      <w:tr>
        <w:trPr>
          <w:cantSplit/>
        </w:trPr>
        <w:tc>
          <w:tcPr>
            <w:tcW w:type="dxa" w:w="27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Ghana legal / compliance adviser</w:t>
            </w:r>
          </w:p>
        </w:tc>
        <w:tc>
          <w:tcPr>
            <w:tcW w:type="dxa" w:w="135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Milestone basis</w:t>
            </w:r>
          </w:p>
        </w:tc>
        <w:tc>
          <w:tcPr>
            <w:tcW w:type="dxa" w:w="531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Act 1038, accreditation, certification, privacy, sector and contract determinations.</w:t>
            </w:r>
          </w:p>
        </w:tc>
      </w:tr>
      <w:tr>
        <w:trPr>
          <w:cantSplit/>
        </w:trPr>
        <w:tc>
          <w:tcPr>
            <w:tcW w:type="dxa" w:w="27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Independent security reviewer</w:t>
            </w:r>
          </w:p>
        </w:tc>
        <w:tc>
          <w:tcPr>
            <w:tcW w:type="dxa" w:w="135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Milestone basis</w:t>
            </w:r>
          </w:p>
        </w:tc>
        <w:tc>
          <w:tcPr>
            <w:tcW w:type="dxa" w:w="531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Threat-model review, control testing and pilot-readiness decision.</w:t>
            </w:r>
          </w:p>
        </w:tc>
      </w:tr>
    </w:tbl>
    <w:p>
      <w:pPr>
        <w:spacing w:before="0" w:after="80"/>
      </w:pPr>
    </w:p>
    <w:p>
      <w:pPr>
        <w:pStyle w:val="Heading2"/>
        <w:keepNext/>
        <w:keepLines/>
      </w:pPr>
      <w:r>
        <w:t>15.2 Twenty-eight-week baseline</w:t>
      </w:r>
    </w:p>
    <w:tbl>
      <w:tblPr>
        <w:tblStyle w:val="TableGrid"/>
        <w:jc w:val="left"/>
        <w:tblLook w:firstColumn="1" w:firstRow="1" w:lastColumn="0" w:lastRow="0" w:noHBand="0" w:noVBand="1" w:val="04A0"/>
        <w:tblW w:w="9360" w:type="dxa"/>
        <w:tblInd w:w="120" w:type="dxa"/>
        <w:tblLayout w:type="fixed"/>
      </w:tblPr>
      <w:tblGrid>
        <w:gridCol w:w="1700"/>
        <w:gridCol w:w="900"/>
        <w:gridCol w:w="3560"/>
        <w:gridCol w:w="3200"/>
      </w:tblGrid>
      <w:tr>
        <w:trPr>
          <w:cantSplit/>
          <w:tblHeader w:val="true"/>
          <w:tblHeader w:val="true"/>
        </w:trPr>
        <w:tc>
          <w:tcPr>
            <w:tcW w:type="dxa" w:w="1700"/>
            <w:vAlign w:val="center"/>
            <w:tcMar>
              <w:top w:w="100" w:type="dxa"/>
              <w:start w:w="120" w:type="dxa"/>
              <w:bottom w:w="100" w:type="dxa"/>
              <w:end w:w="120" w:type="dxa"/>
            </w:tcMar>
            <w:shd w:fill="E8EEF5"/>
          </w:tcPr>
          <w:p>
            <w:pPr>
              <w:keepLines/>
              <w:spacing w:before="0" w:after="40" w:line="264" w:lineRule="auto"/>
              <w:jc w:val="center"/>
            </w:pPr>
            <w:r>
              <w:rPr>
                <w:rFonts w:ascii="Calibri" w:hAnsi="Calibri" w:eastAsia="Calibri"/>
                <w:b/>
                <w:color w:val="0B2545"/>
                <w:sz w:val="19"/>
              </w:rPr>
              <w:t>Phase</w:t>
            </w:r>
          </w:p>
        </w:tc>
        <w:tc>
          <w:tcPr>
            <w:tcW w:type="dxa" w:w="900"/>
            <w:vAlign w:val="center"/>
            <w:tcMar>
              <w:top w:w="100" w:type="dxa"/>
              <w:start w:w="120" w:type="dxa"/>
              <w:bottom w:w="100" w:type="dxa"/>
              <w:end w:w="120" w:type="dxa"/>
            </w:tcMar>
            <w:shd w:fill="E8EEF5"/>
          </w:tcPr>
          <w:p>
            <w:pPr>
              <w:keepLines/>
              <w:spacing w:before="0" w:after="40" w:line="264" w:lineRule="auto"/>
              <w:jc w:val="center"/>
            </w:pPr>
            <w:r>
              <w:rPr>
                <w:rFonts w:ascii="Calibri" w:hAnsi="Calibri" w:eastAsia="Calibri"/>
                <w:b/>
                <w:color w:val="0B2545"/>
                <w:sz w:val="19"/>
              </w:rPr>
              <w:t>Weeks</w:t>
            </w:r>
          </w:p>
        </w:tc>
        <w:tc>
          <w:tcPr>
            <w:tcW w:type="dxa" w:w="3560"/>
            <w:vAlign w:val="center"/>
            <w:tcMar>
              <w:top w:w="100" w:type="dxa"/>
              <w:start w:w="120" w:type="dxa"/>
              <w:bottom w:w="100" w:type="dxa"/>
              <w:end w:w="120" w:type="dxa"/>
            </w:tcMar>
            <w:shd w:fill="E8EEF5"/>
          </w:tcPr>
          <w:p>
            <w:pPr>
              <w:keepLines/>
              <w:spacing w:before="0" w:after="40" w:line="264" w:lineRule="auto"/>
              <w:jc w:val="center"/>
            </w:pPr>
            <w:r>
              <w:rPr>
                <w:rFonts w:ascii="Calibri" w:hAnsi="Calibri" w:eastAsia="Calibri"/>
                <w:b/>
                <w:color w:val="0B2545"/>
                <w:sz w:val="19"/>
              </w:rPr>
              <w:t>Primary outcome</w:t>
            </w:r>
          </w:p>
        </w:tc>
        <w:tc>
          <w:tcPr>
            <w:tcW w:type="dxa" w:w="3200"/>
            <w:vAlign w:val="center"/>
            <w:tcMar>
              <w:top w:w="100" w:type="dxa"/>
              <w:start w:w="120" w:type="dxa"/>
              <w:bottom w:w="100" w:type="dxa"/>
              <w:end w:w="120" w:type="dxa"/>
            </w:tcMar>
            <w:shd w:fill="E8EEF5"/>
          </w:tcPr>
          <w:p>
            <w:pPr>
              <w:keepLines/>
              <w:spacing w:before="0" w:after="40" w:line="264" w:lineRule="auto"/>
              <w:jc w:val="center"/>
            </w:pPr>
            <w:r>
              <w:rPr>
                <w:rFonts w:ascii="Calibri" w:hAnsi="Calibri" w:eastAsia="Calibri"/>
                <w:b/>
                <w:color w:val="0B2545"/>
                <w:sz w:val="19"/>
              </w:rPr>
              <w:t>Exit evidence</w:t>
            </w:r>
          </w:p>
        </w:tc>
      </w:tr>
      <w:tr>
        <w:trPr>
          <w:cantSplit/>
        </w:trPr>
        <w:tc>
          <w:tcPr>
            <w:tcW w:type="dxa" w:w="17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0. Decisions and governance</w:t>
            </w:r>
          </w:p>
        </w:tc>
        <w:tc>
          <w:tcPr>
            <w:tcW w:type="dxa" w:w="9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1-4</w:t>
            </w:r>
          </w:p>
        </w:tc>
        <w:tc>
          <w:tcPr>
            <w:tcW w:type="dxa" w:w="35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Regulatory instruction issued, qualified counsel engaged, legal workstream and evidence register owned; Class A / Class 3 governance, staffing, requirements, threat model, Seal privacy impact assessment, fingerprint specification, priority decision tree, safe-active allowlist, incident route and threshold baseline.</w:t>
            </w:r>
          </w:p>
        </w:tc>
        <w:tc>
          <w:tcPr>
            <w:tcW w:type="dxa" w:w="32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Project Authority confirms classification and approves the combined PM Gate 2 / software G1 baseline; named independent reviewer recorded; no unresolved S2 design decision; named staff and weekly allocations confirmed; capacity-matched schedule of record approved; Gate 3 / G2 assurance line item prepared.</w:t>
            </w:r>
          </w:p>
        </w:tc>
      </w:tr>
      <w:tr>
        <w:trPr>
          <w:cantSplit/>
        </w:trPr>
        <w:tc>
          <w:tcPr>
            <w:tcW w:type="dxa" w:w="17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1. Platform foundation</w:t>
            </w:r>
          </w:p>
        </w:tc>
        <w:tc>
          <w:tcPr>
            <w:tcW w:type="dxa" w:w="9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5-10</w:t>
            </w:r>
          </w:p>
        </w:tc>
        <w:tc>
          <w:tcPr>
            <w:tcW w:type="dxa" w:w="35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Identity, roles, organization key, target registry, execution-time authorization, orchestration, hash-chained audit and external anchor.</w:t>
            </w:r>
          </w:p>
        </w:tc>
        <w:tc>
          <w:tcPr>
            <w:tcW w:type="dxa" w:w="32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Tenant-isolation, scope-bypass, access-control, chain-integrity and emergency-stop tests pass.</w:t>
            </w:r>
          </w:p>
        </w:tc>
      </w:tr>
      <w:tr>
        <w:trPr>
          <w:cantSplit/>
        </w:trPr>
        <w:tc>
          <w:tcPr>
            <w:tcW w:type="dxa" w:w="17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2. Laboratory detection MVP</w:t>
            </w:r>
          </w:p>
        </w:tc>
        <w:tc>
          <w:tcPr>
            <w:tcW w:type="dxa" w:w="9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11-18</w:t>
            </w:r>
          </w:p>
        </w:tc>
        <w:tc>
          <w:tcPr>
            <w:tcW w:type="dxa" w:w="35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Restricted ZAP adapter, one selected software adapter, normalized findings, fingerprints, source preservation and confidence workflow.</w:t>
            </w:r>
          </w:p>
        </w:tc>
        <w:tc>
          <w:tcPr>
            <w:tcW w:type="dxa" w:w="32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Known laboratory findings are detected, deduplicated and correctly repeated or reopened across controlled changes.</w:t>
            </w:r>
          </w:p>
        </w:tc>
      </w:tr>
      <w:tr>
        <w:trPr>
          <w:cantSplit/>
        </w:trPr>
        <w:tc>
          <w:tcPr>
            <w:tcW w:type="dxa" w:w="17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3. Find-fix-prove workflow</w:t>
            </w:r>
          </w:p>
        </w:tc>
        <w:tc>
          <w:tcPr>
            <w:tcW w:type="dxa" w:w="9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19-23</w:t>
            </w:r>
          </w:p>
        </w:tc>
        <w:tc>
          <w:tcPr>
            <w:tcW w:type="dxa" w:w="35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Triage, SSVC-style decision, assignment, exception, remediation, rescan comparison, dashboard and JSON/CSV export.</w:t>
            </w:r>
          </w:p>
        </w:tc>
        <w:tc>
          <w:tcPr>
            <w:tcW w:type="dxa" w:w="32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A seeded finding completes the full lifecycle with an audited override and verified closure.</w:t>
            </w:r>
          </w:p>
        </w:tc>
      </w:tr>
      <w:tr>
        <w:trPr>
          <w:cantSplit/>
        </w:trPr>
        <w:tc>
          <w:tcPr>
            <w:tcW w:type="dxa" w:w="17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4. Hardening and pilot readiness</w:t>
            </w:r>
          </w:p>
        </w:tc>
        <w:tc>
          <w:tcPr>
            <w:tcW w:type="dxa" w:w="9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24-28</w:t>
            </w:r>
          </w:p>
        </w:tc>
        <w:tc>
          <w:tcPr>
            <w:tcW w:type="dxa" w:w="35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Security, performance, recovery, incident tabletop, documentation and independent review.</w:t>
            </w:r>
          </w:p>
        </w:tc>
        <w:tc>
          <w:tcPr>
            <w:tcW w:type="dxa" w:w="32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Pilot-readiness decision issued. An external pilot occurs only if legal, regulatory and target authorization gates are already passed.</w:t>
            </w:r>
          </w:p>
        </w:tc>
      </w:tr>
    </w:tbl>
    <w:p>
      <w:pPr>
        <w:spacing w:before="0" w:after="80"/>
      </w:pPr>
    </w:p>
    <w:tbl>
      <w:tblPr>
        <w:tblStyle w:val="TableGrid"/>
        <w:jc w:val="left"/>
        <w:tblLook w:firstColumn="1" w:firstRow="1" w:lastColumn="0" w:lastRow="0" w:noHBand="0" w:noVBand="1" w:val="04A0"/>
        <w:tblW w:w="9360" w:type="dxa"/>
        <w:tblInd w:w="180" w:type="dxa"/>
        <w:tblLayout w:type="fixed"/>
      </w:tblPr>
      <w:tblGrid>
        <w:gridCol w:w="9360"/>
      </w:tblGrid>
      <w:tr>
        <w:trPr>
          <w:cantSplit/>
        </w:trPr>
        <w:tc>
          <w:tcPr>
            <w:tcW w:type="dxa" w:w="9360"/>
            <w:vAlign w:val="center"/>
            <w:tcMar>
              <w:top w:w="150" w:type="dxa"/>
              <w:start w:w="180" w:type="dxa"/>
              <w:bottom w:w="150" w:type="dxa"/>
              <w:end w:w="180" w:type="dxa"/>
            </w:tcMar>
            <w:shd w:fill="FBECEC"/>
          </w:tcPr>
          <w:p>
            <w:pPr>
              <w:keepLines/>
              <w:spacing w:after="0" w:line="288" w:lineRule="auto"/>
            </w:pPr>
            <w:r>
              <w:rPr>
                <w:rFonts w:ascii="Calibri" w:hAnsi="Calibri" w:eastAsia="Calibri"/>
                <w:b/>
                <w:color w:val="9B1C1C"/>
                <w:sz w:val="21"/>
              </w:rPr>
              <w:t xml:space="preserve">Standing external-assessment gate: </w:t>
            </w:r>
            <w:r>
              <w:rPr>
                <w:rFonts w:ascii="Calibri" w:hAnsi="Calibri" w:eastAsia="Calibri"/>
                <w:color w:val="111827"/>
                <w:sz w:val="21"/>
              </w:rPr>
              <w:t>The recorded Ghana regulatory determination or required regulator clarification is not a four-week Phase 0 completion promise. Phase 0 must issue the instruction, engage counsel and assign the workstream. The resulting determination remains a standing gate on every external target and pilot; delay postpones the pilot without shortening engineering, testing or independent review. The engineering schedule adopted at Phase 0 exit must match confirmed capacity.</w:t>
            </w:r>
          </w:p>
        </w:tc>
      </w:tr>
    </w:tbl>
    <w:p>
      <w:pPr>
        <w:spacing w:after="40"/>
      </w:pPr>
    </w:p>
    <w:p>
      <w:pPr>
        <w:pStyle w:val="Heading2"/>
        <w:keepNext/>
      </w:pPr>
      <w:r>
        <w:t>15.3 Implementable stage handoff</w:t>
      </w:r>
    </w:p>
    <w:p>
      <w:pPr/>
      <w:r>
        <w:t>Phase 0 completes D01–D11 at their stated gates. Phase 1 delivers F01–F08 and G2 readiness. Only after foundation controls and specific owned-lab authorization may Phase 2 execute bounded integration runs to create L01–L05 and G3 evidence. Phase 3 creates W01–W05; Phase 4 evaluates H01–H05 for combined Gate 4/G4. Handover, closure and benefits use O01–O04. Later acceptance evidence is not a prerequisite for the controlled integration runs that create it. It is mandatory before the corresponding pilot/acceptance decision. See Appendix E for assignable records.</w:t>
      </w:r>
    </w:p>
    <w:p>
      <w:pPr>
        <w:pStyle w:val="Heading1"/>
        <w:keepNext/>
        <w:keepLines/>
      </w:pPr>
      <w:r>
        <w:t>16. Testing and validation</w:t>
      </w:r>
    </w:p>
    <w:p>
      <w:pPr>
        <w:keepLines/>
        <w:numPr>
          <w:ilvl w:val="0"/>
          <w:numId w:val="10"/>
        </w:numPr>
        <w:spacing w:after="80" w:line="290" w:lineRule="auto"/>
        <w:ind w:left="540" w:hanging="279"/>
      </w:pPr>
      <w:r>
        <w:rPr>
          <w:rFonts w:ascii="Calibri" w:hAnsi="Calibri" w:eastAsia="Calibri"/>
          <w:color w:val="111827"/>
        </w:rPr>
        <w:t>Unit testing: authorization matching, risk calculation, state transitions, sanitization and adapters.</w:t>
      </w:r>
    </w:p>
    <w:p>
      <w:pPr>
        <w:keepLines/>
        <w:numPr>
          <w:ilvl w:val="0"/>
          <w:numId w:val="10"/>
        </w:numPr>
        <w:spacing w:after="80" w:line="290" w:lineRule="auto"/>
        <w:ind w:left="540" w:hanging="279"/>
      </w:pPr>
      <w:r>
        <w:rPr>
          <w:rFonts w:ascii="Calibri" w:hAnsi="Calibri" w:eastAsia="Calibri"/>
          <w:color w:val="111827"/>
        </w:rPr>
        <w:t>Integration testing: queue, workers, database, evidence store, web reporting and structured export interfaces.</w:t>
      </w:r>
    </w:p>
    <w:p>
      <w:pPr>
        <w:keepLines/>
        <w:numPr>
          <w:ilvl w:val="0"/>
          <w:numId w:val="10"/>
        </w:numPr>
        <w:spacing w:after="80" w:line="290" w:lineRule="auto"/>
        <w:ind w:left="540" w:hanging="279"/>
      </w:pPr>
      <w:r>
        <w:rPr>
          <w:rFonts w:ascii="Calibri" w:hAnsi="Calibri" w:eastAsia="Calibri"/>
          <w:color w:val="111827"/>
        </w:rPr>
        <w:t>Detection testing: compare results with deliberately seeded, known weaknesses in an isolated laboratory.</w:t>
      </w:r>
    </w:p>
    <w:p>
      <w:pPr>
        <w:keepLines/>
        <w:numPr>
          <w:ilvl w:val="0"/>
          <w:numId w:val="10"/>
        </w:numPr>
        <w:spacing w:after="80" w:line="290" w:lineRule="auto"/>
        <w:ind w:left="540" w:hanging="279"/>
      </w:pPr>
      <w:r>
        <w:rPr>
          <w:rFonts w:ascii="Calibri" w:hAnsi="Calibri" w:eastAsia="Calibri"/>
          <w:color w:val="111827"/>
        </w:rPr>
        <w:t>Safety testing: attempt out-of-scope, expired, redirected and high-rate jobs and verify they are blocked or stopped.</w:t>
      </w:r>
    </w:p>
    <w:p>
      <w:pPr>
        <w:keepLines/>
        <w:numPr>
          <w:ilvl w:val="0"/>
          <w:numId w:val="10"/>
        </w:numPr>
        <w:spacing w:after="80" w:line="290" w:lineRule="auto"/>
        <w:ind w:left="540" w:hanging="279"/>
      </w:pPr>
      <w:r>
        <w:rPr>
          <w:rFonts w:ascii="Calibri" w:hAnsi="Calibri" w:eastAsia="Calibri"/>
          <w:color w:val="111827"/>
        </w:rPr>
        <w:t>Safe-active testing: prove that every allowlisted request class stays read-only and bounded, and that prohibited methods, authentication attempts, uploads, writes, redirects and load patterns are denied.</w:t>
      </w:r>
    </w:p>
    <w:p>
      <w:pPr>
        <w:keepLines/>
        <w:numPr>
          <w:ilvl w:val="0"/>
          <w:numId w:val="10"/>
        </w:numPr>
        <w:spacing w:after="80" w:line="290" w:lineRule="auto"/>
        <w:ind w:left="540" w:hanging="279"/>
      </w:pPr>
      <w:r>
        <w:rPr>
          <w:rFonts w:ascii="Calibri" w:hAnsi="Calibri" w:eastAsia="Calibri"/>
          <w:color w:val="111827"/>
        </w:rPr>
        <w:t>Normalization testing: move code, change line numbers, rebuild images, vary URLs and rename resources to measure duplicate, alias, split and reopen behavior against expected fingerprints.</w:t>
      </w:r>
    </w:p>
    <w:p>
      <w:pPr>
        <w:keepLines/>
        <w:numPr>
          <w:ilvl w:val="0"/>
          <w:numId w:val="10"/>
        </w:numPr>
        <w:spacing w:after="80" w:line="290" w:lineRule="auto"/>
        <w:ind w:left="540" w:hanging="279"/>
      </w:pPr>
      <w:r>
        <w:rPr>
          <w:rFonts w:ascii="Calibri" w:hAnsi="Calibri" w:eastAsia="Calibri"/>
          <w:color w:val="111827"/>
        </w:rPr>
        <w:t>Tenant-isolation testing: attempt cross-organization reads, writes, jobs, exports and cache access through every API and background worker path.</w:t>
      </w:r>
    </w:p>
    <w:p>
      <w:pPr>
        <w:keepLines/>
        <w:numPr>
          <w:ilvl w:val="0"/>
          <w:numId w:val="10"/>
        </w:numPr>
        <w:spacing w:after="80" w:line="290" w:lineRule="auto"/>
        <w:ind w:left="540" w:hanging="279"/>
      </w:pPr>
      <w:r>
        <w:rPr>
          <w:rFonts w:ascii="Calibri" w:hAnsi="Calibri" w:eastAsia="Calibri"/>
          <w:color w:val="111827"/>
        </w:rPr>
        <w:t>Integrity testing: alter audit rows, evidence objects, chain order, grants and anchor delivery; verify that tampering or control disablement is detected.</w:t>
      </w:r>
    </w:p>
    <w:p>
      <w:pPr>
        <w:keepLines/>
        <w:numPr>
          <w:ilvl w:val="0"/>
          <w:numId w:val="10"/>
        </w:numPr>
        <w:spacing w:after="80" w:line="290" w:lineRule="auto"/>
        <w:ind w:left="540" w:hanging="279"/>
      </w:pPr>
      <w:r>
        <w:rPr>
          <w:rFonts w:ascii="Calibri" w:hAnsi="Calibri" w:eastAsia="Calibri"/>
          <w:color w:val="111827"/>
        </w:rPr>
        <w:t>Security testing: assess Seal itself for authentication, authorization, injection, secret handling and supply-chain weaknesses.</w:t>
      </w:r>
    </w:p>
    <w:p>
      <w:pPr>
        <w:keepLines/>
        <w:numPr>
          <w:ilvl w:val="0"/>
          <w:numId w:val="10"/>
        </w:numPr>
        <w:spacing w:after="80" w:line="290" w:lineRule="auto"/>
        <w:ind w:left="540" w:hanging="279"/>
      </w:pPr>
      <w:r>
        <w:rPr>
          <w:rFonts w:ascii="Calibri" w:hAnsi="Calibri" w:eastAsia="Calibri"/>
          <w:color w:val="111827"/>
        </w:rPr>
        <w:t>Performance testing: measure queue delay, scan duration, worker resource use and dashboard responsiveness.</w:t>
      </w:r>
    </w:p>
    <w:p>
      <w:pPr>
        <w:keepLines/>
        <w:numPr>
          <w:ilvl w:val="0"/>
          <w:numId w:val="10"/>
        </w:numPr>
        <w:spacing w:after="80" w:line="290" w:lineRule="auto"/>
        <w:ind w:left="540" w:hanging="279"/>
      </w:pPr>
      <w:r>
        <w:rPr>
          <w:rFonts w:ascii="Calibri" w:hAnsi="Calibri" w:eastAsia="Calibri"/>
          <w:color w:val="111827"/>
        </w:rPr>
        <w:t>Recovery testing: interrupt workers, databases and queues and confirm safe recovery without duplicate or uncontrolled actions.</w:t>
      </w:r>
    </w:p>
    <w:p>
      <w:pPr>
        <w:keepLines/>
        <w:numPr>
          <w:ilvl w:val="0"/>
          <w:numId w:val="10"/>
        </w:numPr>
        <w:spacing w:after="80" w:line="290" w:lineRule="auto"/>
        <w:ind w:left="540" w:hanging="279"/>
      </w:pPr>
      <w:r>
        <w:rPr>
          <w:rFonts w:ascii="Calibri" w:hAnsi="Calibri" w:eastAsia="Calibri"/>
          <w:color w:val="111827"/>
        </w:rPr>
        <w:t>User acceptance testing: confirm that assessors, developers, reviewers and managers can complete their assigned work.</w:t>
      </w:r>
    </w:p>
    <w:p>
      <w:pPr>
        <w:keepLines/>
        <w:numPr>
          <w:ilvl w:val="0"/>
          <w:numId w:val="10"/>
        </w:numPr>
        <w:spacing w:after="80" w:line="290" w:lineRule="auto"/>
        <w:ind w:left="540" w:hanging="279"/>
      </w:pPr>
      <w:r>
        <w:rPr>
          <w:rFonts w:ascii="Calibri" w:hAnsi="Calibri" w:eastAsia="Calibri"/>
          <w:color w:val="111827"/>
        </w:rPr>
        <w:t>Incident exercise: simulate an in-scope active compromise, halt the scan, preserve evidence, notify rules-of-engagement contacts and test the legal/CERT decision clock.</w:t>
      </w:r>
    </w:p>
    <w:p>
      <w:pPr/>
      <w:r>
        <w:rPr>
          <w:rFonts w:ascii="Calibri" w:hAnsi="Calibri" w:eastAsia="Calibri"/>
          <w:color w:val="111827"/>
        </w:rPr>
        <w:t>OWASP Juice Shop is suitable as one laboratory target because OWASP maintains it as an intentionally insecure application for training and security-tool testing. Laboratory results must not be represented as proof of effectiveness against every real-world environment.</w:t>
      </w:r>
    </w:p>
    <w:p>
      <w:pPr/>
      <w:r>
        <w:t>Additional U01–U14 cases: stale/revoked grants, DNS and redirect escape, direct worker egress, skipped checks, wrong repaired build, expired exceptions, future-dated intelligence, pooled tenant context, unavailable/lost/replayed anchor receipts, crash recovery and incident stop persistence. Passing offline decision models is not acceptance of real MFA, RLS, scanners, isolation or a signed external sink. The v1.4 proposal reports 31 historical synthetic tests; this document revision has not rerun or independently accepted that package.</w:t>
      </w:r>
    </w:p>
    <w:p>
      <w:pPr>
        <w:pStyle w:val="Heading1"/>
        <w:keepNext/>
        <w:keepLines/>
      </w:pPr>
      <w:r>
        <w:t>17. Proposed success measures</w:t>
      </w:r>
    </w:p>
    <w:tbl>
      <w:tblPr>
        <w:tblStyle w:val="TableGrid"/>
        <w:jc w:val="left"/>
        <w:tblLook w:firstColumn="1" w:firstRow="1" w:lastColumn="0" w:lastRow="0" w:noHBand="0" w:noVBand="1" w:val="04A0"/>
        <w:tblW w:w="9360" w:type="dxa"/>
        <w:tblInd w:w="120" w:type="dxa"/>
        <w:tblLayout w:type="fixed"/>
      </w:tblPr>
      <w:tblGrid>
        <w:gridCol w:w="2500"/>
        <w:gridCol w:w="3940"/>
        <w:gridCol w:w="2920"/>
      </w:tblGrid>
      <w:tr>
        <w:trPr>
          <w:cantSplit/>
          <w:tblHeader w:val="true"/>
          <w:tblHeader w:val="true"/>
        </w:trPr>
        <w:tc>
          <w:tcPr>
            <w:tcW w:type="dxa" w:w="2500"/>
            <w:vAlign w:val="center"/>
            <w:tcMar>
              <w:top w:w="100" w:type="dxa"/>
              <w:start w:w="120" w:type="dxa"/>
              <w:bottom w:w="100" w:type="dxa"/>
              <w:end w:w="120" w:type="dxa"/>
            </w:tcMar>
            <w:shd w:fill="E8EEF5"/>
          </w:tcPr>
          <w:p>
            <w:pPr>
              <w:keepLines/>
              <w:spacing w:before="0" w:after="40" w:line="264" w:lineRule="auto"/>
              <w:jc w:val="center"/>
            </w:pPr>
            <w:r>
              <w:rPr>
                <w:rFonts w:ascii="Calibri" w:hAnsi="Calibri" w:eastAsia="Calibri"/>
                <w:b/>
                <w:color w:val="0B2545"/>
                <w:sz w:val="19"/>
              </w:rPr>
              <w:t>Measure</w:t>
            </w:r>
          </w:p>
        </w:tc>
        <w:tc>
          <w:tcPr>
            <w:tcW w:type="dxa" w:w="3940"/>
            <w:vAlign w:val="center"/>
            <w:tcMar>
              <w:top w:w="100" w:type="dxa"/>
              <w:start w:w="120" w:type="dxa"/>
              <w:bottom w:w="100" w:type="dxa"/>
              <w:end w:w="120" w:type="dxa"/>
            </w:tcMar>
            <w:shd w:fill="E8EEF5"/>
          </w:tcPr>
          <w:p>
            <w:pPr>
              <w:keepLines/>
              <w:spacing w:before="0" w:after="40" w:line="264" w:lineRule="auto"/>
              <w:jc w:val="center"/>
            </w:pPr>
            <w:r>
              <w:rPr>
                <w:rFonts w:ascii="Calibri" w:hAnsi="Calibri" w:eastAsia="Calibri"/>
                <w:b/>
                <w:color w:val="0B2545"/>
                <w:sz w:val="19"/>
              </w:rPr>
              <w:t>Initial target</w:t>
            </w:r>
          </w:p>
        </w:tc>
        <w:tc>
          <w:tcPr>
            <w:tcW w:type="dxa" w:w="2920"/>
            <w:vAlign w:val="center"/>
            <w:tcMar>
              <w:top w:w="100" w:type="dxa"/>
              <w:start w:w="120" w:type="dxa"/>
              <w:bottom w:w="100" w:type="dxa"/>
              <w:end w:w="120" w:type="dxa"/>
            </w:tcMar>
            <w:shd w:fill="E8EEF5"/>
          </w:tcPr>
          <w:p>
            <w:pPr>
              <w:keepLines/>
              <w:spacing w:before="0" w:after="40" w:line="264" w:lineRule="auto"/>
              <w:jc w:val="center"/>
            </w:pPr>
            <w:r>
              <w:rPr>
                <w:rFonts w:ascii="Calibri" w:hAnsi="Calibri" w:eastAsia="Calibri"/>
                <w:b/>
                <w:color w:val="0B2545"/>
                <w:sz w:val="19"/>
              </w:rPr>
              <w:t>Evidence</w:t>
            </w:r>
          </w:p>
        </w:tc>
      </w:tr>
      <w:tr>
        <w:trPr>
          <w:cantSplit/>
        </w:trPr>
        <w:tc>
          <w:tcPr>
            <w:tcW w:type="dxa" w:w="25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Authorization coverage</w:t>
            </w:r>
          </w:p>
        </w:tc>
        <w:tc>
          <w:tcPr>
            <w:tcW w:type="dxa" w:w="394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100% of executed jobs linked to a valid scope record.</w:t>
            </w:r>
          </w:p>
        </w:tc>
        <w:tc>
          <w:tcPr>
            <w:tcW w:type="dxa" w:w="292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Job and authorization audit.</w:t>
            </w:r>
          </w:p>
        </w:tc>
      </w:tr>
      <w:tr>
        <w:trPr>
          <w:cantSplit/>
        </w:trPr>
        <w:tc>
          <w:tcPr>
            <w:tcW w:type="dxa" w:w="25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Scope-control effectiveness</w:t>
            </w:r>
          </w:p>
        </w:tc>
        <w:tc>
          <w:tcPr>
            <w:tcW w:type="dxa" w:w="394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Zero successful out-of-scope jobs in release testing.</w:t>
            </w:r>
          </w:p>
        </w:tc>
        <w:tc>
          <w:tcPr>
            <w:tcW w:type="dxa" w:w="292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Negative safety test report.</w:t>
            </w:r>
          </w:p>
        </w:tc>
      </w:tr>
      <w:tr>
        <w:trPr>
          <w:cantSplit/>
        </w:trPr>
        <w:tc>
          <w:tcPr>
            <w:tcW w:type="dxa" w:w="25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Laboratory detection</w:t>
            </w:r>
          </w:p>
        </w:tc>
        <w:tc>
          <w:tcPr>
            <w:tcW w:type="dxa" w:w="394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At least 90% of selected seeded baseline findings detected.</w:t>
            </w:r>
          </w:p>
        </w:tc>
        <w:tc>
          <w:tcPr>
            <w:tcW w:type="dxa" w:w="292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Versioned benchmark results.</w:t>
            </w:r>
          </w:p>
        </w:tc>
      </w:tr>
      <w:tr>
        <w:trPr>
          <w:cantSplit/>
        </w:trPr>
        <w:tc>
          <w:tcPr>
            <w:tcW w:type="dxa" w:w="25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Assigned-finding validity</w:t>
            </w:r>
          </w:p>
        </w:tc>
        <w:tc>
          <w:tcPr>
            <w:tcW w:type="dxa" w:w="394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No more than 5% of findings assigned to asset owners are later invalidated as false positives.</w:t>
            </w:r>
          </w:p>
        </w:tc>
        <w:tc>
          <w:tcPr>
            <w:tcW w:type="dxa" w:w="292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Assignment reversal and reason audit.</w:t>
            </w:r>
          </w:p>
        </w:tc>
      </w:tr>
      <w:tr>
        <w:trPr>
          <w:cantSplit/>
        </w:trPr>
        <w:tc>
          <w:tcPr>
            <w:tcW w:type="dxa" w:w="25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Closure evidence</w:t>
            </w:r>
          </w:p>
        </w:tc>
        <w:tc>
          <w:tcPr>
            <w:tcW w:type="dxa" w:w="394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100% of closed high-risk findings contain verification evidence.</w:t>
            </w:r>
          </w:p>
        </w:tc>
        <w:tc>
          <w:tcPr>
            <w:tcW w:type="dxa" w:w="292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Finding-state audit.</w:t>
            </w:r>
          </w:p>
        </w:tc>
      </w:tr>
      <w:tr>
        <w:trPr>
          <w:cantSplit/>
        </w:trPr>
        <w:tc>
          <w:tcPr>
            <w:tcW w:type="dxa" w:w="25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Audit completeness</w:t>
            </w:r>
          </w:p>
        </w:tc>
        <w:tc>
          <w:tcPr>
            <w:tcW w:type="dxa" w:w="394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100% of defined security-significant events recorded.</w:t>
            </w:r>
          </w:p>
        </w:tc>
        <w:tc>
          <w:tcPr>
            <w:tcW w:type="dxa" w:w="292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Audit coverage test.</w:t>
            </w:r>
          </w:p>
        </w:tc>
      </w:tr>
      <w:tr>
        <w:trPr>
          <w:cantSplit/>
        </w:trPr>
        <w:tc>
          <w:tcPr>
            <w:tcW w:type="dxa" w:w="25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Operational safety</w:t>
            </w:r>
          </w:p>
        </w:tc>
        <w:tc>
          <w:tcPr>
            <w:tcW w:type="dxa" w:w="394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100% of emergency-stop tests halt new outbound requests within 5 seconds and terminate affected workers within 30 seconds.</w:t>
            </w:r>
          </w:p>
        </w:tc>
        <w:tc>
          <w:tcPr>
            <w:tcW w:type="dxa" w:w="292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Safety test evidence.</w:t>
            </w:r>
          </w:p>
        </w:tc>
      </w:tr>
      <w:tr>
        <w:trPr>
          <w:cantSplit/>
        </w:trPr>
        <w:tc>
          <w:tcPr>
            <w:tcW w:type="dxa" w:w="25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Fingerprint stability</w:t>
            </w:r>
          </w:p>
        </w:tc>
        <w:tc>
          <w:tcPr>
            <w:tcW w:type="dxa" w:w="394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At least 95% of seeded same-finding mutations retain or correctly alias identity; zero seeded distinct findings are silently merged.</w:t>
            </w:r>
          </w:p>
        </w:tc>
        <w:tc>
          <w:tcPr>
            <w:tcW w:type="dxa" w:w="292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Versioned normalization benchmark.</w:t>
            </w:r>
          </w:p>
        </w:tc>
      </w:tr>
      <w:tr>
        <w:trPr>
          <w:cantSplit/>
        </w:trPr>
        <w:tc>
          <w:tcPr>
            <w:tcW w:type="dxa" w:w="25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Tenant isolation</w:t>
            </w:r>
          </w:p>
        </w:tc>
        <w:tc>
          <w:tcPr>
            <w:tcW w:type="dxa" w:w="394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Zero successful cross-organization access attempts across the release test suite.</w:t>
            </w:r>
          </w:p>
        </w:tc>
        <w:tc>
          <w:tcPr>
            <w:tcW w:type="dxa" w:w="292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Negative authorization test report.</w:t>
            </w:r>
          </w:p>
        </w:tc>
      </w:tr>
    </w:tbl>
    <w:p>
      <w:pPr>
        <w:spacing w:before="0" w:after="80"/>
      </w:pPr>
    </w:p>
    <w:p>
      <w:pPr/>
      <w:r>
        <w:rPr>
          <w:rFonts w:ascii="Calibri" w:hAnsi="Calibri" w:eastAsia="Calibri"/>
          <w:color w:val="111827"/>
        </w:rPr>
        <w:t>Targets are proposed acceptance criteria for the MVP, not claims about an existing product. They should be revised using pilot evidence.</w:t>
      </w:r>
    </w:p>
    <w:p>
      <w:pPr/>
      <w:r>
        <w:t>U13 measurement rules: show coverage, scope, revision, observation date and health beside every finding total. Verified closure rate retains accepted/suppressed risks in its denominator, never its numerator; report median/p90 time to verified closure alongside unresolved age. Reopen rate uses closures eligible for follow-up and a stated window. Display denominators, sample sizes and missing data. A zero denominator is Not available; a skipped check is never passed. No findings does not mean no vulnerabilities.</w:t>
      </w:r>
    </w:p>
    <w:p>
      <w:pPr>
        <w:pStyle w:val="Heading1"/>
        <w:keepNext/>
        <w:keepLines/>
      </w:pPr>
      <w:r>
        <w:t>18. Principal risks and mitigations</w:t>
      </w:r>
    </w:p>
    <w:tbl>
      <w:tblPr>
        <w:tblStyle w:val="TableGrid"/>
        <w:jc w:val="left"/>
        <w:tblLook w:firstColumn="1" w:firstRow="1" w:lastColumn="0" w:lastRow="0" w:noHBand="0" w:noVBand="1" w:val="04A0"/>
        <w:tblW w:w="9360" w:type="dxa"/>
        <w:tblInd w:w="120" w:type="dxa"/>
        <w:tblLayout w:type="fixed"/>
      </w:tblPr>
      <w:tblGrid>
        <w:gridCol w:w="2100"/>
        <w:gridCol w:w="3000"/>
        <w:gridCol w:w="4260"/>
      </w:tblGrid>
      <w:tr>
        <w:trPr>
          <w:cantSplit/>
          <w:tblHeader w:val="true"/>
          <w:tblHeader w:val="true"/>
        </w:trPr>
        <w:tc>
          <w:tcPr>
            <w:tcW w:type="dxa" w:w="2100"/>
            <w:vAlign w:val="center"/>
            <w:tcMar>
              <w:top w:w="100" w:type="dxa"/>
              <w:start w:w="120" w:type="dxa"/>
              <w:bottom w:w="100" w:type="dxa"/>
              <w:end w:w="120" w:type="dxa"/>
            </w:tcMar>
            <w:shd w:fill="E8EEF5"/>
          </w:tcPr>
          <w:p>
            <w:pPr>
              <w:keepLines/>
              <w:spacing w:before="0" w:after="40" w:line="264" w:lineRule="auto"/>
              <w:jc w:val="center"/>
            </w:pPr>
            <w:r>
              <w:rPr>
                <w:rFonts w:ascii="Calibri" w:hAnsi="Calibri" w:eastAsia="Calibri"/>
                <w:b/>
                <w:color w:val="0B2545"/>
                <w:sz w:val="19"/>
              </w:rPr>
              <w:t>Risk</w:t>
            </w:r>
          </w:p>
        </w:tc>
        <w:tc>
          <w:tcPr>
            <w:tcW w:type="dxa" w:w="3000"/>
            <w:vAlign w:val="center"/>
            <w:tcMar>
              <w:top w:w="100" w:type="dxa"/>
              <w:start w:w="120" w:type="dxa"/>
              <w:bottom w:w="100" w:type="dxa"/>
              <w:end w:w="120" w:type="dxa"/>
            </w:tcMar>
            <w:shd w:fill="E8EEF5"/>
          </w:tcPr>
          <w:p>
            <w:pPr>
              <w:keepLines/>
              <w:spacing w:before="0" w:after="40" w:line="264" w:lineRule="auto"/>
              <w:jc w:val="center"/>
            </w:pPr>
            <w:r>
              <w:rPr>
                <w:rFonts w:ascii="Calibri" w:hAnsi="Calibri" w:eastAsia="Calibri"/>
                <w:b/>
                <w:color w:val="0B2545"/>
                <w:sz w:val="19"/>
              </w:rPr>
              <w:t>Potential effect</w:t>
            </w:r>
          </w:p>
        </w:tc>
        <w:tc>
          <w:tcPr>
            <w:tcW w:type="dxa" w:w="4260"/>
            <w:vAlign w:val="center"/>
            <w:tcMar>
              <w:top w:w="100" w:type="dxa"/>
              <w:start w:w="120" w:type="dxa"/>
              <w:bottom w:w="100" w:type="dxa"/>
              <w:end w:w="120" w:type="dxa"/>
            </w:tcMar>
            <w:shd w:fill="E8EEF5"/>
          </w:tcPr>
          <w:p>
            <w:pPr>
              <w:keepLines/>
              <w:spacing w:before="0" w:after="40" w:line="264" w:lineRule="auto"/>
              <w:jc w:val="left"/>
            </w:pPr>
            <w:r>
              <w:rPr>
                <w:rFonts w:ascii="Calibri" w:hAnsi="Calibri" w:eastAsia="Calibri"/>
                <w:b/>
                <w:color w:val="0B2545"/>
                <w:sz w:val="19"/>
              </w:rPr>
              <w:t>Primary mitigation</w:t>
            </w:r>
          </w:p>
        </w:tc>
      </w:tr>
      <w:tr>
        <w:trPr>
          <w:cantSplit/>
        </w:trPr>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Unauthorized use</w:t>
            </w:r>
          </w:p>
        </w:tc>
        <w:tc>
          <w:tcPr>
            <w:tcW w:type="dxa" w:w="30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Legal, ethical and operational harm.</w:t>
            </w:r>
          </w:p>
        </w:tc>
        <w:tc>
          <w:tcPr>
            <w:tcW w:type="dxa" w:w="42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Verified scope, strong identity, approval workflow and deny-by-default execution.</w:t>
            </w:r>
          </w:p>
        </w:tc>
      </w:tr>
      <w:tr>
        <w:trPr>
          <w:cantSplit/>
        </w:trPr>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Service disruption</w:t>
            </w:r>
          </w:p>
        </w:tc>
        <w:tc>
          <w:tcPr>
            <w:tcW w:type="dxa" w:w="30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Target slowdown or outage.</w:t>
            </w:r>
          </w:p>
        </w:tc>
        <w:tc>
          <w:tcPr>
            <w:tcW w:type="dxa" w:w="42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Passive defaults, rate limits, health checks, maintenance windows and emergency stop.</w:t>
            </w:r>
          </w:p>
        </w:tc>
      </w:tr>
      <w:tr>
        <w:trPr>
          <w:cantSplit/>
        </w:trPr>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False positive</w:t>
            </w:r>
          </w:p>
        </w:tc>
        <w:tc>
          <w:tcPr>
            <w:tcW w:type="dxa" w:w="30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Wasted effort and reduced trust.</w:t>
            </w:r>
          </w:p>
        </w:tc>
        <w:tc>
          <w:tcPr>
            <w:tcW w:type="dxa" w:w="42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Evidence confidence, duplicate control, human triage and verification.</w:t>
            </w:r>
          </w:p>
        </w:tc>
      </w:tr>
      <w:tr>
        <w:trPr>
          <w:cantSplit/>
        </w:trPr>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False negative</w:t>
            </w:r>
          </w:p>
        </w:tc>
        <w:tc>
          <w:tcPr>
            <w:tcW w:type="dxa" w:w="30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Unknown exposure remains.</w:t>
            </w:r>
          </w:p>
        </w:tc>
        <w:tc>
          <w:tcPr>
            <w:tcW w:type="dxa" w:w="42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Layered tools, seeded benchmarks, rule updates and clear coverage statements.</w:t>
            </w:r>
          </w:p>
        </w:tc>
      </w:tr>
      <w:tr>
        <w:trPr>
          <w:cantSplit/>
        </w:trPr>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Evidence leakage</w:t>
            </w:r>
          </w:p>
        </w:tc>
        <w:tc>
          <w:tcPr>
            <w:tcW w:type="dxa" w:w="30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Exposure of secrets or personal information.</w:t>
            </w:r>
          </w:p>
        </w:tc>
        <w:tc>
          <w:tcPr>
            <w:tcW w:type="dxa" w:w="42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Sanitization, encryption, access control, retention and download restrictions.</w:t>
            </w:r>
          </w:p>
        </w:tc>
      </w:tr>
      <w:tr>
        <w:trPr>
          <w:cantSplit/>
        </w:trPr>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Scanner compromise</w:t>
            </w:r>
          </w:p>
        </w:tc>
        <w:tc>
          <w:tcPr>
            <w:tcW w:type="dxa" w:w="30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Worker or supply-chain abuse.</w:t>
            </w:r>
          </w:p>
        </w:tc>
        <w:tc>
          <w:tcPr>
            <w:tcW w:type="dxa" w:w="42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Pinned images, signature checks, restricted containers and staged updates.</w:t>
            </w:r>
          </w:p>
        </w:tc>
      </w:tr>
      <w:tr>
        <w:trPr>
          <w:cantSplit/>
        </w:trPr>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Scope growth</w:t>
            </w:r>
          </w:p>
        </w:tc>
        <w:tc>
          <w:tcPr>
            <w:tcW w:type="dxa" w:w="30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Delayed or unsafe delivery.</w:t>
            </w:r>
          </w:p>
        </w:tc>
        <w:tc>
          <w:tcPr>
            <w:tcW w:type="dxa" w:w="42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Web/code MVP boundary and formal change control for new scanner classes.</w:t>
            </w:r>
          </w:p>
        </w:tc>
      </w:tr>
      <w:tr>
        <w:trPr>
          <w:cantSplit/>
        </w:trPr>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Misleading automation</w:t>
            </w:r>
          </w:p>
        </w:tc>
        <w:tc>
          <w:tcPr>
            <w:tcW w:type="dxa" w:w="30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Users accept weak findings or fixes blindly.</w:t>
            </w:r>
          </w:p>
        </w:tc>
        <w:tc>
          <w:tcPr>
            <w:tcW w:type="dxa" w:w="42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Explainable priority, confidence labels and qualified review.</w:t>
            </w:r>
          </w:p>
        </w:tc>
      </w:tr>
      <w:tr>
        <w:trPr>
          <w:cantSplit/>
        </w:trPr>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Regulatory authorization delay</w:t>
            </w:r>
          </w:p>
        </w:tc>
        <w:tc>
          <w:tcPr>
            <w:tcW w:type="dxa" w:w="30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External pilot is unlawful, delayed or requires redesign.</w:t>
            </w:r>
          </w:p>
        </w:tc>
        <w:tc>
          <w:tcPr>
            <w:tcW w:type="dxa" w:w="42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Week-1 legal workstream, CSA clarification where needed, named submission owner and external-pilot hold point.</w:t>
            </w:r>
          </w:p>
        </w:tc>
      </w:tr>
      <w:tr>
        <w:trPr>
          <w:cantSplit/>
        </w:trPr>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Insufficient delivery capacity</w:t>
            </w:r>
          </w:p>
        </w:tc>
        <w:tc>
          <w:tcPr>
            <w:tcW w:type="dxa" w:w="30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Schedule slips or safety controls are cut.</w:t>
            </w:r>
          </w:p>
        </w:tc>
        <w:tc>
          <w:tcPr>
            <w:tcW w:type="dxa" w:w="42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4.0-FTE baseline, reduced MVP, explicit solo schedule and change-controlled capacity review.</w:t>
            </w:r>
          </w:p>
        </w:tc>
      </w:tr>
      <w:tr>
        <w:trPr>
          <w:cantSplit/>
        </w:trPr>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Unstable finding identity</w:t>
            </w:r>
          </w:p>
        </w:tc>
        <w:tc>
          <w:tcPr>
            <w:tcW w:type="dxa" w:w="30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Duplicate floods or silent merging destroy trust.</w:t>
            </w:r>
          </w:p>
        </w:tc>
        <w:tc>
          <w:tcPr>
            <w:tcW w:type="dxa" w:w="42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Versioned per-adapter fingerprints, mutation benchmarks, reviewed aliases and reversible merge/split decisions.</w:t>
            </w:r>
          </w:p>
        </w:tc>
      </w:tr>
      <w:tr>
        <w:trPr>
          <w:cantSplit/>
        </w:trPr>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Integrity-control failure</w:t>
            </w:r>
          </w:p>
        </w:tc>
        <w:tc>
          <w:tcPr>
            <w:tcW w:type="dxa" w:w="30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Evidence cannot support audit, client or regulatory reliance.</w:t>
            </w:r>
          </w:p>
        </w:tc>
        <w:tc>
          <w:tcPr>
            <w:tcW w:type="dxa" w:w="42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Hash chain, separated append-only anchor, grant monitoring, external verification and documented residual risk.</w:t>
            </w:r>
          </w:p>
        </w:tc>
      </w:tr>
      <w:tr>
        <w:trPr>
          <w:cantSplit/>
        </w:trPr>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Active compromise discovered</w:t>
            </w:r>
          </w:p>
        </w:tc>
        <w:tc>
          <w:tcPr>
            <w:tcW w:type="dxa" w:w="30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Continuing the assessment worsens harm or loses evidence.</w:t>
            </w:r>
          </w:p>
        </w:tc>
        <w:tc>
          <w:tcPr>
            <w:tcW w:type="dxa" w:w="42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Immediate halt, evidence hold, incident coordinator, owner notification and pre-agreed CERT decision route.</w:t>
            </w:r>
          </w:p>
        </w:tc>
      </w:tr>
    </w:tbl>
    <w:p>
      <w:pPr>
        <w:spacing w:before="0" w:after="80"/>
      </w:pPr>
    </w:p>
    <w:p>
      <w:pPr>
        <w:pStyle w:val="Heading1"/>
        <w:keepNext/>
        <w:keepLines/>
      </w:pPr>
      <w:r>
        <w:t>19. Future development</w:t>
      </w:r>
    </w:p>
    <w:p>
      <w:pPr>
        <w:keepLines/>
        <w:numPr>
          <w:ilvl w:val="0"/>
          <w:numId w:val="10"/>
        </w:numPr>
        <w:spacing w:after="80" w:line="290" w:lineRule="auto"/>
        <w:ind w:left="540" w:hanging="279"/>
      </w:pPr>
      <w:r>
        <w:rPr>
          <w:rFonts w:ascii="Calibri" w:hAnsi="Calibri" w:eastAsia="Calibri"/>
          <w:color w:val="111827"/>
        </w:rPr>
        <w:t>Cloud-account and Kubernetes configuration assessment using read-only, least-privilege connectors.</w:t>
      </w:r>
    </w:p>
    <w:p>
      <w:pPr>
        <w:keepLines/>
        <w:numPr>
          <w:ilvl w:val="0"/>
          <w:numId w:val="10"/>
        </w:numPr>
        <w:spacing w:after="80" w:line="290" w:lineRule="auto"/>
        <w:ind w:left="540" w:hanging="279"/>
      </w:pPr>
      <w:r>
        <w:rPr>
          <w:rFonts w:ascii="Calibri" w:hAnsi="Calibri" w:eastAsia="Calibri"/>
          <w:color w:val="111827"/>
        </w:rPr>
        <w:t>Software bill of materials and vulnerability-exchange support.</w:t>
      </w:r>
    </w:p>
    <w:p>
      <w:pPr>
        <w:keepLines/>
        <w:numPr>
          <w:ilvl w:val="0"/>
          <w:numId w:val="10"/>
        </w:numPr>
        <w:spacing w:after="80" w:line="290" w:lineRule="auto"/>
        <w:ind w:left="540" w:hanging="279"/>
      </w:pPr>
      <w:r>
        <w:rPr>
          <w:rFonts w:ascii="Calibri" w:hAnsi="Calibri" w:eastAsia="Calibri"/>
          <w:color w:val="111827"/>
        </w:rPr>
        <w:t>Network inventory and service-version discovery after authorization and isolation controls are independently proven.</w:t>
      </w:r>
    </w:p>
    <w:p>
      <w:pPr>
        <w:keepLines/>
        <w:numPr>
          <w:ilvl w:val="0"/>
          <w:numId w:val="10"/>
        </w:numPr>
        <w:spacing w:after="80" w:line="290" w:lineRule="auto"/>
        <w:ind w:left="540" w:hanging="279"/>
      </w:pPr>
      <w:r>
        <w:rPr>
          <w:rFonts w:ascii="Calibri" w:hAnsi="Calibri" w:eastAsia="Calibri"/>
          <w:color w:val="111827"/>
        </w:rPr>
        <w:t>CI/CD security gates with project-specific policies and documented overrides.</w:t>
      </w:r>
    </w:p>
    <w:p>
      <w:pPr>
        <w:keepLines/>
        <w:numPr>
          <w:ilvl w:val="0"/>
          <w:numId w:val="10"/>
        </w:numPr>
        <w:spacing w:after="80" w:line="290" w:lineRule="auto"/>
        <w:ind w:left="540" w:hanging="279"/>
      </w:pPr>
      <w:r>
        <w:rPr>
          <w:rFonts w:ascii="Calibri" w:hAnsi="Calibri" w:eastAsia="Calibri"/>
          <w:color w:val="111827"/>
        </w:rPr>
        <w:t>Generated DOCX/PDF reports after the structured export model stabilizes.</w:t>
      </w:r>
    </w:p>
    <w:p>
      <w:pPr>
        <w:keepLines/>
        <w:numPr>
          <w:ilvl w:val="0"/>
          <w:numId w:val="10"/>
        </w:numPr>
        <w:spacing w:after="80" w:line="290" w:lineRule="auto"/>
        <w:ind w:left="540" w:hanging="279"/>
      </w:pPr>
      <w:r>
        <w:rPr>
          <w:rFonts w:ascii="Calibri" w:hAnsi="Calibri" w:eastAsia="Calibri"/>
          <w:color w:val="111827"/>
        </w:rPr>
        <w:t>Endpoint inventory through a separately governed, read-only agent.</w:t>
      </w:r>
    </w:p>
    <w:p>
      <w:pPr>
        <w:keepLines/>
        <w:numPr>
          <w:ilvl w:val="0"/>
          <w:numId w:val="10"/>
        </w:numPr>
        <w:spacing w:after="80" w:line="290" w:lineRule="auto"/>
        <w:ind w:left="540" w:hanging="279"/>
      </w:pPr>
      <w:r>
        <w:rPr>
          <w:rFonts w:ascii="Calibri" w:hAnsi="Calibri" w:eastAsia="Calibri"/>
          <w:color w:val="111827"/>
        </w:rPr>
        <w:t>Multi-organization production operation with per-organization encryption keys; organization_id and query isolation are already mandatory in the MVP schema.</w:t>
      </w:r>
    </w:p>
    <w:p>
      <w:pPr>
        <w:keepLines/>
        <w:numPr>
          <w:ilvl w:val="0"/>
          <w:numId w:val="10"/>
        </w:numPr>
        <w:spacing w:after="80" w:line="290" w:lineRule="auto"/>
        <w:ind w:left="540" w:hanging="279"/>
      </w:pPr>
      <w:r>
        <w:rPr>
          <w:rFonts w:ascii="Calibri" w:hAnsi="Calibri" w:eastAsia="Calibri"/>
          <w:color w:val="111827"/>
        </w:rPr>
        <w:t>Assisted finding summaries and fix explanations, with no autonomous exploitation or unreviewed code changes.</w:t>
      </w:r>
    </w:p>
    <w:p>
      <w:pPr>
        <w:keepLines/>
        <w:numPr>
          <w:ilvl w:val="0"/>
          <w:numId w:val="10"/>
        </w:numPr>
        <w:spacing w:after="80" w:line="290" w:lineRule="auto"/>
        <w:ind w:left="540" w:hanging="279"/>
      </w:pPr>
      <w:r>
        <w:rPr>
          <w:rFonts w:ascii="Calibri" w:hAnsi="Calibri" w:eastAsia="Calibri"/>
          <w:color w:val="111827"/>
        </w:rPr>
        <w:t>Trend analysis that distinguishes newly introduced, recurring and long-standing weaknesses.</w:t>
      </w:r>
    </w:p>
    <w:p>
      <w:pPr>
        <w:pStyle w:val="Heading1"/>
        <w:keepNext/>
        <w:keepLines/>
      </w:pPr>
      <w:r>
        <w:t>20. Project deliverables</w:t>
      </w:r>
    </w:p>
    <w:p>
      <w:pPr>
        <w:keepLines/>
        <w:numPr>
          <w:ilvl w:val="0"/>
          <w:numId w:val="10"/>
        </w:numPr>
        <w:spacing w:after="80" w:line="290" w:lineRule="auto"/>
        <w:ind w:left="540" w:hanging="279"/>
      </w:pPr>
      <w:r>
        <w:rPr>
          <w:rFonts w:ascii="Calibri" w:hAnsi="Calibri" w:eastAsia="Calibri"/>
          <w:color w:val="111827"/>
        </w:rPr>
        <w:t>Approved Class A project charter and Class 3 software classification, combined PM Gate 2 / software G1 baseline record and named independent reviewer.</w:t>
      </w:r>
    </w:p>
    <w:p>
      <w:pPr>
        <w:keepLines/>
        <w:numPr>
          <w:ilvl w:val="0"/>
          <w:numId w:val="10"/>
        </w:numPr>
        <w:spacing w:after="80" w:line="290" w:lineRule="auto"/>
        <w:ind w:left="540" w:hanging="279"/>
      </w:pPr>
      <w:r>
        <w:rPr>
          <w:rFonts w:ascii="Calibri" w:hAnsi="Calibri" w:eastAsia="Calibri"/>
          <w:color w:val="111827"/>
        </w:rPr>
        <w:t>Approved product requirements and prohibited-capability specification.</w:t>
      </w:r>
    </w:p>
    <w:p>
      <w:pPr>
        <w:keepLines/>
        <w:numPr>
          <w:ilvl w:val="0"/>
          <w:numId w:val="10"/>
        </w:numPr>
        <w:spacing w:after="80" w:line="290" w:lineRule="auto"/>
        <w:ind w:left="540" w:hanging="279"/>
      </w:pPr>
      <w:r>
        <w:rPr>
          <w:rFonts w:ascii="Calibri" w:hAnsi="Calibri" w:eastAsia="Calibri"/>
          <w:color w:val="111827"/>
        </w:rPr>
        <w:t>Architecture, threat model, safe-active allowlist, incident plan, Seal privacy impact assessment, data inventory and retention/disposal map.</w:t>
      </w:r>
    </w:p>
    <w:p>
      <w:pPr>
        <w:keepLines/>
        <w:numPr>
          <w:ilvl w:val="0"/>
          <w:numId w:val="10"/>
        </w:numPr>
        <w:spacing w:after="80" w:line="290" w:lineRule="auto"/>
        <w:ind w:left="540" w:hanging="279"/>
      </w:pPr>
      <w:r>
        <w:rPr>
          <w:rFonts w:ascii="Calibri" w:hAnsi="Calibri" w:eastAsia="Calibri"/>
          <w:color w:val="111827"/>
        </w:rPr>
        <w:t>Integrated PM Gate 3 / software G2 readiness pack with a distinct assurance effort, schedule and budget line.</w:t>
      </w:r>
    </w:p>
    <w:p>
      <w:pPr>
        <w:keepLines/>
        <w:numPr>
          <w:ilvl w:val="0"/>
          <w:numId w:val="10"/>
        </w:numPr>
        <w:spacing w:after="80" w:line="290" w:lineRule="auto"/>
        <w:ind w:left="540" w:hanging="279"/>
      </w:pPr>
      <w:r>
        <w:rPr>
          <w:rFonts w:ascii="Calibri" w:hAnsi="Calibri" w:eastAsia="Calibri"/>
          <w:color w:val="111827"/>
        </w:rPr>
        <w:t>Act 1038 CSP licensing, Cybersecurity Establishment accreditation, professional accreditation and product-certification determination with recorded advice, verification evidence and lead-time plan.</w:t>
      </w:r>
    </w:p>
    <w:p>
      <w:pPr>
        <w:keepLines/>
        <w:numPr>
          <w:ilvl w:val="0"/>
          <w:numId w:val="10"/>
        </w:numPr>
        <w:spacing w:after="80" w:line="290" w:lineRule="auto"/>
        <w:ind w:left="540" w:hanging="279"/>
      </w:pPr>
      <w:r>
        <w:rPr>
          <w:rFonts w:ascii="Calibri" w:hAnsi="Calibri" w:eastAsia="Calibri"/>
          <w:color w:val="111827"/>
        </w:rPr>
        <w:t>Versioned adapter fingerprint specification with merge, split, alias, repeat and reopen rules.</w:t>
      </w:r>
    </w:p>
    <w:p>
      <w:pPr>
        <w:keepLines/>
        <w:numPr>
          <w:ilvl w:val="0"/>
          <w:numId w:val="10"/>
        </w:numPr>
        <w:spacing w:after="80" w:line="290" w:lineRule="auto"/>
        <w:ind w:left="540" w:hanging="279"/>
      </w:pPr>
      <w:r>
        <w:rPr>
          <w:rFonts w:ascii="Calibri" w:hAnsi="Calibri" w:eastAsia="Calibri"/>
          <w:color w:val="111827"/>
        </w:rPr>
        <w:t>CVSS/EPSS/SSVC-based prioritization specification with independent confidence and audited override rules.</w:t>
      </w:r>
    </w:p>
    <w:p>
      <w:pPr>
        <w:keepLines/>
        <w:numPr>
          <w:ilvl w:val="0"/>
          <w:numId w:val="10"/>
        </w:numPr>
        <w:spacing w:after="80" w:line="290" w:lineRule="auto"/>
        <w:ind w:left="540" w:hanging="279"/>
      </w:pPr>
      <w:r>
        <w:rPr>
          <w:rFonts w:ascii="Calibri" w:hAnsi="Calibri" w:eastAsia="Calibri"/>
          <w:color w:val="111827"/>
        </w:rPr>
        <w:t>MVP source code, database migrations and deployment configuration.</w:t>
      </w:r>
    </w:p>
    <w:p>
      <w:pPr>
        <w:keepLines/>
        <w:numPr>
          <w:ilvl w:val="0"/>
          <w:numId w:val="10"/>
        </w:numPr>
        <w:spacing w:after="80" w:line="290" w:lineRule="auto"/>
        <w:ind w:left="540" w:hanging="279"/>
      </w:pPr>
      <w:r>
        <w:rPr>
          <w:rFonts w:ascii="Calibri" w:hAnsi="Calibri" w:eastAsia="Calibri"/>
          <w:color w:val="111827"/>
        </w:rPr>
        <w:t>Authorization gate, tenant isolation, hash-chained audit with external anchor and isolated scanner adapters.</w:t>
      </w:r>
    </w:p>
    <w:p>
      <w:pPr>
        <w:keepLines/>
        <w:numPr>
          <w:ilvl w:val="0"/>
          <w:numId w:val="10"/>
        </w:numPr>
        <w:spacing w:after="80" w:line="290" w:lineRule="auto"/>
        <w:ind w:left="540" w:hanging="279"/>
      </w:pPr>
      <w:r>
        <w:rPr>
          <w:rFonts w:ascii="Calibri" w:hAnsi="Calibri" w:eastAsia="Calibri"/>
          <w:color w:val="111827"/>
        </w:rPr>
        <w:t>Automated test suite, seeded laboratory and benchmark report.</w:t>
      </w:r>
    </w:p>
    <w:p>
      <w:pPr>
        <w:keepLines/>
        <w:numPr>
          <w:ilvl w:val="0"/>
          <w:numId w:val="10"/>
        </w:numPr>
        <w:spacing w:after="80" w:line="290" w:lineRule="auto"/>
        <w:ind w:left="540" w:hanging="279"/>
      </w:pPr>
      <w:r>
        <w:rPr>
          <w:rFonts w:ascii="Calibri" w:hAnsi="Calibri" w:eastAsia="Calibri"/>
          <w:color w:val="111827"/>
        </w:rPr>
        <w:t>Administrator, assessor, remediation-owner and reviewer guides.</w:t>
      </w:r>
    </w:p>
    <w:p>
      <w:pPr>
        <w:keepLines/>
        <w:numPr>
          <w:ilvl w:val="0"/>
          <w:numId w:val="10"/>
        </w:numPr>
        <w:spacing w:after="80" w:line="290" w:lineRule="auto"/>
        <w:ind w:left="540" w:hanging="279"/>
      </w:pPr>
      <w:r>
        <w:rPr>
          <w:rFonts w:ascii="Calibri" w:hAnsi="Calibri" w:eastAsia="Calibri"/>
          <w:color w:val="111827"/>
        </w:rPr>
        <w:t>Pilot report, known limitations and production-readiness decision record.</w:t>
      </w:r>
    </w:p>
    <w:p>
      <w:pPr/>
      <w:r>
        <w:t>Integrated deliverables: Appendix D U01–U14 contracts and test mapping; Appendix E decision/work/test records; synchronized Engineering Specification v1.6 and Stage Implementation Plan v1.2. Existing PRD, source package and test results remain separately versioned and must be reconciled under D05; this merge does not modify or validate those artifacts.</w:t>
      </w:r>
    </w:p>
    <w:p>
      <w:pPr>
        <w:pStyle w:val="Heading1"/>
        <w:keepNext/>
        <w:keepLines/>
      </w:pPr>
      <w:r>
        <w:t>21. Conclusion</w:t>
      </w:r>
    </w:p>
    <w:p>
      <w:pPr/>
      <w:r>
        <w:rPr>
          <w:rFonts w:ascii="Calibri" w:hAnsi="Calibri" w:eastAsia="Calibri"/>
          <w:color w:val="111827"/>
        </w:rPr>
        <w:t>Seal is designed to turn ethical vulnerability discovery into measurable security improvement. Version 1.6 retains the governance-aligned Phase 0 baseline and integrates engineering contracts and stage work packages: it retains all twenty-four earlier design closures, classifies the work as Project Class A / Software Class 3, reconciles Seal's phases with the institutional gates, separates owner issue from formal approval, requires a privacy impact assessment and retention map for Seal's own evidence, clarifies the regulatory workstream and updates the worked CVSS example.</w:t>
      </w:r>
    </w:p>
    <w:tbl>
      <w:tblPr>
        <w:tblStyle w:val="TableGrid"/>
        <w:jc w:val="left"/>
        <w:tblLook w:firstColumn="1" w:firstRow="1" w:lastColumn="0" w:lastRow="0" w:noHBand="0" w:noVBand="1" w:val="04A0"/>
        <w:tblW w:w="9360" w:type="dxa"/>
        <w:tblInd w:w="180" w:type="dxa"/>
        <w:tblLayout w:type="fixed"/>
      </w:tblPr>
      <w:tblGrid>
        <w:gridCol w:w="9360"/>
      </w:tblGrid>
      <w:tr>
        <w:trPr>
          <w:cantSplit/>
        </w:trPr>
        <w:tc>
          <w:tcPr>
            <w:tcW w:type="dxa" w:w="9360"/>
            <w:vAlign w:val="center"/>
            <w:tcMar>
              <w:top w:w="150" w:type="dxa"/>
              <w:start w:w="180" w:type="dxa"/>
              <w:bottom w:w="150" w:type="dxa"/>
              <w:end w:w="180" w:type="dxa"/>
            </w:tcMar>
            <w:shd w:fill="EAF5EF"/>
          </w:tcPr>
          <w:p>
            <w:pPr>
              <w:keepLines/>
              <w:spacing w:after="0" w:line="288" w:lineRule="auto"/>
            </w:pPr>
            <w:r>
              <w:rPr>
                <w:rFonts w:ascii="Calibri" w:hAnsi="Calibri" w:eastAsia="Calibri"/>
                <w:b/>
                <w:color w:val="2E6B55"/>
                <w:sz w:val="21"/>
              </w:rPr>
              <w:t xml:space="preserve">Project decision: </w:t>
            </w:r>
            <w:r>
              <w:rPr>
                <w:rFonts w:ascii="Calibri" w:hAnsi="Calibri" w:eastAsia="Calibri"/>
                <w:color w:val="111827"/>
                <w:sz w:val="21"/>
              </w:rPr>
              <w:t>Proceed with controlled Phase 0 preparation only. Obtain Project Authority approval of the combined PM Gate 2 / software G1 baseline and name the independent reviewer before Phase 0 exit. Then proceed to the narrowed laboratory-only MVP under the aligned gate model. Do not admit real personal data or assess any external system until the applicable privacy, Ghana regulatory and target-authorization gates are recorded. Do not authorize production scanning until the combined release-readiness controls pass independent review.</w:t>
            </w:r>
          </w:p>
        </w:tc>
      </w:tr>
    </w:tbl>
    <w:p>
      <w:pPr>
        <w:spacing w:after="40"/>
      </w:pPr>
    </w:p>
    <w:p>
      <w:r>
        <w:br w:type="page"/>
      </w:r>
    </w:p>
    <w:p>
      <w:pPr>
        <w:pStyle w:val="Heading1"/>
        <w:keepNext/>
        <w:keepLines/>
      </w:pPr>
      <w:r>
        <w:t>Appendix A. Example normalized finding</w:t>
      </w:r>
    </w:p>
    <w:p>
      <w:pPr/>
      <w:r>
        <w:rPr>
          <w:rFonts w:ascii="Calibri" w:hAnsi="Calibri" w:eastAsia="Calibri"/>
          <w:color w:val="111827"/>
        </w:rPr>
        <w:t>This worked example uses manifest and version evidence only; it contains no exploit payload and performs no active request. Numerical threat values are illustrative snapshots for design demonstration and are not current intelligence.</w:t>
      </w:r>
    </w:p>
    <w:tbl>
      <w:tblPr>
        <w:tblStyle w:val="TableGrid"/>
        <w:jc w:val="left"/>
        <w:tblLook w:firstColumn="1" w:firstRow="1" w:lastColumn="0" w:lastRow="0" w:noHBand="0" w:noVBand="1" w:val="04A0"/>
        <w:tblW w:w="9360" w:type="dxa"/>
        <w:tblInd w:w="120" w:type="dxa"/>
        <w:tblLayout w:type="fixed"/>
      </w:tblPr>
      <w:tblGrid>
        <w:gridCol w:w="2600"/>
        <w:gridCol w:w="6760"/>
      </w:tblGrid>
      <w:tr>
        <w:trPr>
          <w:cantSplit/>
          <w:tblHeader w:val="true"/>
          <w:tblHeader w:val="true"/>
        </w:trPr>
        <w:tc>
          <w:tcPr>
            <w:tcW w:type="dxa" w:w="2600"/>
            <w:vAlign w:val="center"/>
            <w:tcMar>
              <w:top w:w="100" w:type="dxa"/>
              <w:start w:w="120" w:type="dxa"/>
              <w:bottom w:w="100" w:type="dxa"/>
              <w:end w:w="120" w:type="dxa"/>
            </w:tcMar>
            <w:shd w:fill="E8EEF5"/>
          </w:tcPr>
          <w:p>
            <w:pPr>
              <w:keepLines/>
              <w:spacing w:before="0" w:after="40" w:line="264" w:lineRule="auto"/>
              <w:jc w:val="center"/>
            </w:pPr>
            <w:r>
              <w:rPr>
                <w:rFonts w:ascii="Calibri" w:hAnsi="Calibri" w:eastAsia="Calibri"/>
                <w:b/>
                <w:color w:val="0B2545"/>
                <w:sz w:val="19"/>
              </w:rPr>
              <w:t>Field</w:t>
            </w:r>
          </w:p>
        </w:tc>
        <w:tc>
          <w:tcPr>
            <w:tcW w:type="dxa" w:w="6760"/>
            <w:vAlign w:val="center"/>
            <w:tcMar>
              <w:top w:w="100" w:type="dxa"/>
              <w:start w:w="120" w:type="dxa"/>
              <w:bottom w:w="100" w:type="dxa"/>
              <w:end w:w="120" w:type="dxa"/>
            </w:tcMar>
            <w:shd w:fill="E8EEF5"/>
          </w:tcPr>
          <w:p>
            <w:pPr>
              <w:keepLines/>
              <w:spacing w:before="0" w:after="40" w:line="264" w:lineRule="auto"/>
              <w:jc w:val="left"/>
            </w:pPr>
            <w:r>
              <w:rPr>
                <w:rFonts w:ascii="Calibri" w:hAnsi="Calibri" w:eastAsia="Calibri"/>
                <w:b/>
                <w:color w:val="0B2545"/>
                <w:sz w:val="19"/>
              </w:rPr>
              <w:t>Illustrative value</w:t>
            </w:r>
          </w:p>
        </w:tc>
      </w:tr>
      <w:tr>
        <w:trPr>
          <w:cantSplit/>
        </w:trPr>
        <w:tc>
          <w:tcPr>
            <w:tcW w:type="dxa" w:w="26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Finding ID</w:t>
            </w:r>
          </w:p>
        </w:tc>
        <w:tc>
          <w:tcPr>
            <w:tcW w:type="dxa" w:w="67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SEAL-DEP-2026-0001</w:t>
            </w:r>
          </w:p>
        </w:tc>
      </w:tr>
      <w:tr>
        <w:trPr>
          <w:cantSplit/>
        </w:trPr>
        <w:tc>
          <w:tcPr>
            <w:tcW w:type="dxa" w:w="26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Title</w:t>
            </w:r>
          </w:p>
        </w:tc>
        <w:tc>
          <w:tcPr>
            <w:tcW w:type="dxa" w:w="67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Illustrative vulnerable logging dependency in an authorized laboratory service</w:t>
            </w:r>
          </w:p>
        </w:tc>
      </w:tr>
      <w:tr>
        <w:trPr>
          <w:cantSplit/>
        </w:trPr>
        <w:tc>
          <w:tcPr>
            <w:tcW w:type="dxa" w:w="26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Organization / target</w:t>
            </w:r>
          </w:p>
        </w:tc>
        <w:tc>
          <w:tcPr>
            <w:tcW w:type="dxa" w:w="67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ORG-LAB-001 / PAYMENTS-LAB-API</w:t>
            </w:r>
          </w:p>
        </w:tc>
      </w:tr>
      <w:tr>
        <w:trPr>
          <w:cantSplit/>
        </w:trPr>
        <w:tc>
          <w:tcPr>
            <w:tcW w:type="dxa" w:w="26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Source observation</w:t>
            </w:r>
          </w:p>
        </w:tc>
        <w:tc>
          <w:tcPr>
            <w:tcW w:type="dxa" w:w="67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Trivy-style manifest result; package, installed version and public vulnerability identifier retained exactly as reported</w:t>
            </w:r>
          </w:p>
        </w:tc>
      </w:tr>
      <w:tr>
        <w:trPr>
          <w:cantSplit/>
        </w:trPr>
        <w:tc>
          <w:tcPr>
            <w:tcW w:type="dxa" w:w="26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Fingerprint v1</w:t>
            </w:r>
          </w:p>
        </w:tc>
        <w:tc>
          <w:tcPr>
            <w:tcW w:type="dxa" w:w="67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organization + logical artifact + ecosystem + package + vulnerability identifier; build digest retained as evidence, not identity</w:t>
            </w:r>
          </w:p>
        </w:tc>
      </w:tr>
      <w:tr>
        <w:trPr>
          <w:cantSplit/>
        </w:trPr>
        <w:tc>
          <w:tcPr>
            <w:tcW w:type="dxa" w:w="26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Evidence</w:t>
            </w:r>
          </w:p>
        </w:tc>
        <w:tc>
          <w:tcPr>
            <w:tcW w:type="dxa" w:w="67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Sanitized dependency manifest excerpt, repository revision, scanner/rule version, artifact digest and audit-chain event</w:t>
            </w:r>
          </w:p>
        </w:tc>
      </w:tr>
      <w:tr>
        <w:trPr>
          <w:cantSplit/>
        </w:trPr>
        <w:tc>
          <w:tcPr>
            <w:tcW w:type="dxa" w:w="26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CVSS source-reported vector and score</w:t>
            </w:r>
          </w:p>
        </w:tc>
        <w:tc>
          <w:tcPr>
            <w:tcW w:type="dxa" w:w="67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9"/>
              </w:rPr>
              <w:t>Source-reported vector and source-reported score are preserved in separate fields exactly as supplied, including metric version. This schematic example supplies no independently recalculated vector/score pair; validate actual imported vectors during implementation.</w:t>
            </w:r>
          </w:p>
        </w:tc>
      </w:tr>
      <w:tr>
        <w:trPr>
          <w:cantSplit/>
        </w:trPr>
        <w:tc>
          <w:tcPr>
            <w:tcW w:type="dxa" w:w="26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CVSS environment-adjusted vector and score</w:t>
            </w:r>
          </w:p>
        </w:tc>
        <w:tc>
          <w:tcPr>
            <w:tcW w:type="dxa" w:w="67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9"/>
              </w:rPr>
              <w:t>Separate fields: environment-adjusted vector = not yet calculated; environment-adjusted score = not yet calculated. Record the full valid vector and calculator-derived score after asset-context review; do not infer an adjusted score from incomplete modifiers.</w:t>
            </w:r>
          </w:p>
        </w:tc>
      </w:tr>
      <w:tr>
        <w:trPr>
          <w:cantSplit/>
        </w:trPr>
        <w:tc>
          <w:tcPr>
            <w:tcW w:type="dxa" w:w="26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EPSS snapshot</w:t>
            </w:r>
          </w:p>
        </w:tc>
        <w:tc>
          <w:tcPr>
            <w:tcW w:type="dxa" w:w="67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0.970 probability / 99th percentile on the recorded assessment date (illustrative; refreshed daily)</w:t>
            </w:r>
          </w:p>
        </w:tc>
      </w:tr>
      <w:tr>
        <w:trPr>
          <w:cantSplit/>
        </w:trPr>
        <w:tc>
          <w:tcPr>
            <w:tcW w:type="dxa" w:w="26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Evidence confidence</w:t>
            </w:r>
          </w:p>
        </w:tc>
        <w:tc>
          <w:tcPr>
            <w:tcW w:type="dxa" w:w="67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High - exact affected version confirmed from lockfile; runtime reachability not yet confirmed</w:t>
            </w:r>
          </w:p>
        </w:tc>
      </w:tr>
      <w:tr>
        <w:trPr>
          <w:cantSplit/>
        </w:trPr>
        <w:tc>
          <w:tcPr>
            <w:tcW w:type="dxa" w:w="26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Initial action outcome</w:t>
            </w:r>
          </w:p>
        </w:tc>
        <w:tc>
          <w:tcPr>
            <w:tcW w:type="dxa" w:w="67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Attend - validate runtime exposure and remediate within the high-risk service target</w:t>
            </w:r>
          </w:p>
        </w:tc>
      </w:tr>
      <w:tr>
        <w:trPr>
          <w:cantSplit/>
        </w:trPr>
        <w:tc>
          <w:tcPr>
            <w:tcW w:type="dxa" w:w="26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Business-context override</w:t>
            </w:r>
          </w:p>
        </w:tc>
        <w:tc>
          <w:tcPr>
            <w:tcW w:type="dxa" w:w="67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Attend -&gt; Act; reviewer: A. Reviewer (illustrative); reason: internet-facing payment path and no compensating isolation; expires after verification</w:t>
            </w:r>
          </w:p>
        </w:tc>
      </w:tr>
      <w:tr>
        <w:trPr>
          <w:cantSplit/>
        </w:trPr>
        <w:tc>
          <w:tcPr>
            <w:tcW w:type="dxa" w:w="26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Assignment</w:t>
            </w:r>
          </w:p>
        </w:tc>
        <w:tc>
          <w:tcPr>
            <w:tcW w:type="dxa" w:w="67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Application owner; upgrade or remove affected dependency, run regression tests and rebuild the laboratory artifact</w:t>
            </w:r>
          </w:p>
        </w:tc>
      </w:tr>
      <w:tr>
        <w:trPr>
          <w:cantSplit/>
        </w:trPr>
        <w:tc>
          <w:tcPr>
            <w:tcW w:type="dxa" w:w="26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Rescan comparison</w:t>
            </w:r>
          </w:p>
        </w:tc>
        <w:tc>
          <w:tcPr>
            <w:tcW w:type="dxa" w:w="67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New build digest, same fingerprint; affected version absent; raw before/after observations linked without merging unrelated artifacts</w:t>
            </w:r>
          </w:p>
        </w:tc>
      </w:tr>
      <w:tr>
        <w:trPr>
          <w:cantSplit/>
        </w:trPr>
        <w:tc>
          <w:tcPr>
            <w:tcW w:type="dxa" w:w="26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Closure</w:t>
            </w:r>
          </w:p>
        </w:tc>
        <w:tc>
          <w:tcPr>
            <w:tcW w:type="dxa" w:w="67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Closed after independent verification; reviewer and signed audit-chain anchor recorded</w:t>
            </w:r>
          </w:p>
        </w:tc>
      </w:tr>
      <w:tr>
        <w:trPr>
          <w:cantSplit/>
        </w:trPr>
        <w:tc>
          <w:tcPr>
            <w:tcW w:type="dxa" w:w="26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Recurrence rule</w:t>
            </w:r>
          </w:p>
        </w:tc>
        <w:tc>
          <w:tcPr>
            <w:tcW w:type="dxa" w:w="67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A later matching fingerprint becomes Reopened. A package or vulnerability change becomes a distinct finding unless a reviewer creates an identity alias.</w:t>
            </w:r>
          </w:p>
        </w:tc>
      </w:tr>
    </w:tbl>
    <w:p>
      <w:pPr>
        <w:spacing w:before="0" w:after="80"/>
      </w:pPr>
    </w:p>
    <w:p>
      <w:pPr>
        <w:pStyle w:val="Heading1"/>
        <w:keepNext/>
        <w:keepLines/>
      </w:pPr>
      <w:r>
        <w:t>Appendix B. MVP acceptance checklist</w:t>
      </w:r>
    </w:p>
    <w:p>
      <w:pPr>
        <w:keepLines/>
        <w:numPr>
          <w:ilvl w:val="0"/>
          <w:numId w:val="14"/>
        </w:numPr>
        <w:spacing w:after="80" w:line="290" w:lineRule="auto"/>
        <w:ind w:left="540" w:hanging="279"/>
      </w:pPr>
      <w:r>
        <w:rPr>
          <w:rFonts w:ascii="Calibri" w:hAnsi="Calibri" w:eastAsia="Calibri"/>
          <w:color w:val="111827"/>
        </w:rPr>
        <w:t>Every test target has an active authorization record.</w:t>
      </w:r>
    </w:p>
    <w:p>
      <w:pPr>
        <w:keepLines/>
        <w:numPr>
          <w:ilvl w:val="0"/>
          <w:numId w:val="14"/>
        </w:numPr>
        <w:spacing w:after="80" w:line="290" w:lineRule="auto"/>
        <w:ind w:left="540" w:hanging="279"/>
      </w:pPr>
      <w:r>
        <w:rPr>
          <w:rFonts w:ascii="Calibri" w:hAnsi="Calibri" w:eastAsia="Calibri"/>
          <w:color w:val="111827"/>
        </w:rPr>
        <w:t>No external target can enter the registry until the Ghana regulatory determination and target authorization are recorded.</w:t>
      </w:r>
    </w:p>
    <w:p>
      <w:pPr>
        <w:keepLines/>
        <w:numPr>
          <w:ilvl w:val="0"/>
          <w:numId w:val="14"/>
        </w:numPr>
        <w:spacing w:after="80" w:line="290" w:lineRule="auto"/>
        <w:ind w:left="540" w:hanging="279"/>
      </w:pPr>
      <w:r>
        <w:rPr>
          <w:rFonts w:ascii="Calibri" w:hAnsi="Calibri" w:eastAsia="Calibri"/>
          <w:color w:val="111827"/>
        </w:rPr>
        <w:t>The Ghana determination covers CSP licensing, Cybersecurity Establishment accreditation, professional accreditation and product or technology-solution certification; third-party credentials are checked through the CSA verification hub.</w:t>
      </w:r>
    </w:p>
    <w:p>
      <w:pPr>
        <w:keepLines/>
        <w:numPr>
          <w:ilvl w:val="0"/>
          <w:numId w:val="14"/>
        </w:numPr>
        <w:spacing w:after="80" w:line="290" w:lineRule="auto"/>
        <w:ind w:left="540" w:hanging="279"/>
      </w:pPr>
      <w:r>
        <w:rPr>
          <w:rFonts w:ascii="Calibri" w:hAnsi="Calibri" w:eastAsia="Calibri"/>
          <w:color w:val="111827"/>
        </w:rPr>
        <w:t>Expired, redirected and out-of-range targets are denied.</w:t>
      </w:r>
    </w:p>
    <w:p>
      <w:pPr>
        <w:keepLines/>
        <w:numPr>
          <w:ilvl w:val="0"/>
          <w:numId w:val="14"/>
        </w:numPr>
        <w:spacing w:after="80" w:line="290" w:lineRule="auto"/>
        <w:ind w:left="540" w:hanging="279"/>
      </w:pPr>
      <w:r>
        <w:rPr>
          <w:rFonts w:ascii="Calibri" w:hAnsi="Calibri" w:eastAsia="Calibri"/>
          <w:color w:val="111827"/>
        </w:rPr>
        <w:t>Worker containers cannot reach unapproved destinations.</w:t>
      </w:r>
    </w:p>
    <w:p>
      <w:pPr>
        <w:keepLines/>
        <w:numPr>
          <w:ilvl w:val="0"/>
          <w:numId w:val="14"/>
        </w:numPr>
        <w:spacing w:after="80" w:line="290" w:lineRule="auto"/>
        <w:ind w:left="540" w:hanging="279"/>
      </w:pPr>
      <w:r>
        <w:rPr>
          <w:rFonts w:ascii="Calibri" w:hAnsi="Calibri" w:eastAsia="Calibri"/>
          <w:color w:val="111827"/>
        </w:rPr>
        <w:t>Rate limits, timeouts and emergency stop operate under load.</w:t>
      </w:r>
    </w:p>
    <w:p>
      <w:pPr>
        <w:keepLines/>
        <w:numPr>
          <w:ilvl w:val="0"/>
          <w:numId w:val="14"/>
        </w:numPr>
        <w:spacing w:after="80" w:line="290" w:lineRule="auto"/>
        <w:ind w:left="540" w:hanging="279"/>
      </w:pPr>
      <w:r>
        <w:rPr>
          <w:rFonts w:ascii="Calibri" w:hAnsi="Calibri" w:eastAsia="Calibri"/>
          <w:color w:val="111827"/>
        </w:rPr>
        <w:t>Scanner output is normalized without losing original evidence or source identity.</w:t>
      </w:r>
    </w:p>
    <w:p>
      <w:pPr>
        <w:keepLines/>
        <w:numPr>
          <w:ilvl w:val="0"/>
          <w:numId w:val="14"/>
        </w:numPr>
        <w:spacing w:after="80" w:line="290" w:lineRule="auto"/>
        <w:ind w:left="540" w:hanging="279"/>
      </w:pPr>
      <w:r>
        <w:rPr>
          <w:rFonts w:ascii="Calibri" w:hAnsi="Calibri" w:eastAsia="Calibri"/>
          <w:color w:val="111827"/>
        </w:rPr>
        <w:t>Fingerprint mutation tests correctly handle code moves, image rebuilds, URL changes, merges, splits, repeats and reopen events.</w:t>
      </w:r>
    </w:p>
    <w:p>
      <w:pPr>
        <w:keepLines/>
        <w:numPr>
          <w:ilvl w:val="0"/>
          <w:numId w:val="14"/>
        </w:numPr>
        <w:spacing w:after="80" w:line="290" w:lineRule="auto"/>
        <w:ind w:left="540" w:hanging="279"/>
      </w:pPr>
      <w:r>
        <w:rPr>
          <w:rFonts w:ascii="Calibri" w:hAnsi="Calibri" w:eastAsia="Calibri"/>
          <w:color w:val="111827"/>
        </w:rPr>
        <w:t>Secrets and personal information are masked before evidence retention.</w:t>
      </w:r>
    </w:p>
    <w:p>
      <w:pPr>
        <w:keepLines/>
        <w:numPr>
          <w:ilvl w:val="0"/>
          <w:numId w:val="14"/>
        </w:numPr>
        <w:spacing w:after="80" w:line="290" w:lineRule="auto"/>
        <w:ind w:left="540" w:hanging="279"/>
      </w:pPr>
      <w:r>
        <w:rPr>
          <w:rFonts w:ascii="Calibri" w:hAnsi="Calibri" w:eastAsia="Calibri"/>
          <w:color w:val="111827"/>
        </w:rPr>
        <w:t>Finding priority is explainable and overrides are audited.</w:t>
      </w:r>
    </w:p>
    <w:p>
      <w:pPr>
        <w:keepLines/>
        <w:numPr>
          <w:ilvl w:val="0"/>
          <w:numId w:val="14"/>
        </w:numPr>
        <w:spacing w:after="80" w:line="290" w:lineRule="auto"/>
        <w:ind w:left="540" w:hanging="279"/>
      </w:pPr>
      <w:r>
        <w:rPr>
          <w:rFonts w:ascii="Calibri" w:hAnsi="Calibri" w:eastAsia="Calibri"/>
          <w:color w:val="111827"/>
        </w:rPr>
        <w:t>Severity, exploitation likelihood, action outcome and evidence confidence are stored and displayed separately.</w:t>
      </w:r>
    </w:p>
    <w:p>
      <w:pPr>
        <w:keepLines/>
        <w:numPr>
          <w:ilvl w:val="0"/>
          <w:numId w:val="14"/>
        </w:numPr>
        <w:spacing w:after="80" w:line="290" w:lineRule="auto"/>
        <w:ind w:left="540" w:hanging="279"/>
      </w:pPr>
      <w:r>
        <w:rPr>
          <w:rFonts w:ascii="Calibri" w:hAnsi="Calibri" w:eastAsia="Calibri"/>
          <w:color w:val="111827"/>
        </w:rPr>
        <w:t>Safe-active execution accepts only approved allowlisted classes and blocks writes, uploads, authentication attempts, privilege changes, redirects outside scope and load generation.</w:t>
      </w:r>
    </w:p>
    <w:p>
      <w:pPr>
        <w:keepLines/>
        <w:numPr>
          <w:ilvl w:val="0"/>
          <w:numId w:val="14"/>
        </w:numPr>
        <w:spacing w:after="80" w:line="290" w:lineRule="auto"/>
        <w:ind w:left="540" w:hanging="279"/>
      </w:pPr>
      <w:r>
        <w:rPr>
          <w:rFonts w:ascii="Calibri" w:hAnsi="Calibri" w:eastAsia="Calibri"/>
          <w:color w:val="111827"/>
        </w:rPr>
        <w:t>Every tenant-scoped entity contains organization_id and cross-organization negative tests pass.</w:t>
      </w:r>
    </w:p>
    <w:p>
      <w:pPr>
        <w:keepLines/>
        <w:numPr>
          <w:ilvl w:val="0"/>
          <w:numId w:val="14"/>
        </w:numPr>
        <w:spacing w:after="80" w:line="290" w:lineRule="auto"/>
        <w:ind w:left="540" w:hanging="279"/>
      </w:pPr>
      <w:r>
        <w:rPr>
          <w:rFonts w:ascii="Calibri" w:hAnsi="Calibri" w:eastAsia="Calibri"/>
          <w:color w:val="111827"/>
        </w:rPr>
        <w:t>Audit events form a valid hash chain and the signed chain head is present in the separately controlled append-only sink.</w:t>
      </w:r>
    </w:p>
    <w:p>
      <w:pPr>
        <w:keepLines/>
        <w:numPr>
          <w:ilvl w:val="0"/>
          <w:numId w:val="14"/>
        </w:numPr>
        <w:spacing w:after="80" w:line="290" w:lineRule="auto"/>
        <w:ind w:left="540" w:hanging="279"/>
      </w:pPr>
      <w:r>
        <w:rPr>
          <w:rFonts w:ascii="Calibri" w:hAnsi="Calibri" w:eastAsia="Calibri"/>
          <w:color w:val="111827"/>
        </w:rPr>
        <w:t>The seal_audit_owner role is NOLOGIN, has no issued credentials, is excluded from routine access and is monitored for ownership, assumption and procedure-definition changes.</w:t>
      </w:r>
    </w:p>
    <w:p>
      <w:pPr>
        <w:keepLines/>
        <w:numPr>
          <w:ilvl w:val="0"/>
          <w:numId w:val="14"/>
        </w:numPr>
        <w:spacing w:after="80" w:line="290" w:lineRule="auto"/>
        <w:ind w:left="540" w:hanging="279"/>
      </w:pPr>
      <w:r>
        <w:rPr>
          <w:rFonts w:ascii="Calibri" w:hAnsi="Calibri" w:eastAsia="Calibri"/>
          <w:color w:val="111827"/>
        </w:rPr>
        <w:t>Authorization decisions, priority overrides, High or Critical closure, incident changes and audit-control changes trigger immediate external anchoring.</w:t>
      </w:r>
    </w:p>
    <w:p>
      <w:pPr>
        <w:keepLines/>
        <w:numPr>
          <w:ilvl w:val="0"/>
          <w:numId w:val="14"/>
        </w:numPr>
        <w:spacing w:after="80" w:line="290" w:lineRule="auto"/>
        <w:ind w:left="540" w:hanging="279"/>
      </w:pPr>
      <w:r>
        <w:rPr>
          <w:rFonts w:ascii="Calibri" w:hAnsi="Calibri" w:eastAsia="Calibri"/>
          <w:color w:val="111827"/>
        </w:rPr>
        <w:t>Only authorized roles can approve exceptions or closure.</w:t>
      </w:r>
    </w:p>
    <w:p>
      <w:pPr>
        <w:keepLines/>
        <w:numPr>
          <w:ilvl w:val="0"/>
          <w:numId w:val="14"/>
        </w:numPr>
        <w:spacing w:after="80" w:line="290" w:lineRule="auto"/>
        <w:ind w:left="540" w:hanging="279"/>
      </w:pPr>
      <w:r>
        <w:rPr>
          <w:rFonts w:ascii="Calibri" w:hAnsi="Calibri" w:eastAsia="Calibri"/>
          <w:color w:val="111827"/>
        </w:rPr>
        <w:t>Closed high-risk findings include successful verification evidence.</w:t>
      </w:r>
    </w:p>
    <w:p>
      <w:pPr>
        <w:keepLines/>
        <w:numPr>
          <w:ilvl w:val="0"/>
          <w:numId w:val="14"/>
        </w:numPr>
        <w:spacing w:after="80" w:line="290" w:lineRule="auto"/>
        <w:ind w:left="540" w:hanging="279"/>
      </w:pPr>
      <w:r>
        <w:rPr>
          <w:rFonts w:ascii="Calibri" w:hAnsi="Calibri" w:eastAsia="Calibri"/>
          <w:color w:val="111827"/>
        </w:rPr>
        <w:t>Known limitations and unsupported test categories are visible in reports.</w:t>
      </w:r>
    </w:p>
    <w:p>
      <w:pPr>
        <w:keepLines/>
        <w:numPr>
          <w:ilvl w:val="0"/>
          <w:numId w:val="14"/>
        </w:numPr>
        <w:spacing w:after="80" w:line="290" w:lineRule="auto"/>
        <w:ind w:left="540" w:hanging="279"/>
      </w:pPr>
      <w:r>
        <w:rPr>
          <w:rFonts w:ascii="Calibri" w:hAnsi="Calibri" w:eastAsia="Calibri"/>
          <w:color w:val="111827"/>
        </w:rPr>
        <w:t>Backups, recovery and update rollback have been tested.</w:t>
      </w:r>
    </w:p>
    <w:p>
      <w:pPr>
        <w:keepLines/>
        <w:numPr>
          <w:ilvl w:val="0"/>
          <w:numId w:val="14"/>
        </w:numPr>
        <w:spacing w:after="80" w:line="290" w:lineRule="auto"/>
        <w:ind w:left="540" w:hanging="279"/>
      </w:pPr>
      <w:r>
        <w:rPr>
          <w:rFonts w:ascii="Calibri" w:hAnsi="Calibri" w:eastAsia="Calibri"/>
          <w:color w:val="111827"/>
        </w:rPr>
        <w:t>The active-compromise tabletop halts assessment, preserves evidence and exercises the owner and CERT decision clock.</w:t>
      </w:r>
    </w:p>
    <w:p>
      <w:pPr>
        <w:keepLines/>
        <w:numPr>
          <w:ilvl w:val="0"/>
          <w:numId w:val="14"/>
        </w:numPr>
        <w:spacing w:after="80" w:line="290" w:lineRule="auto"/>
        <w:ind w:left="540" w:hanging="279"/>
      </w:pPr>
      <w:r>
        <w:rPr>
          <w:rFonts w:ascii="Calibri" w:hAnsi="Calibri" w:eastAsia="Calibri"/>
          <w:color w:val="111827"/>
        </w:rPr>
        <w:t>Pilot users approve usability and role separation.</w:t>
      </w:r>
    </w:p>
    <w:p>
      <w:pPr>
        <w:keepLines/>
        <w:numPr>
          <w:ilvl w:val="0"/>
          <w:numId w:val="14"/>
        </w:numPr>
        <w:spacing w:after="80" w:line="290" w:lineRule="auto"/>
        <w:ind w:left="540" w:hanging="279"/>
      </w:pPr>
      <w:r>
        <w:rPr>
          <w:rFonts w:ascii="Calibri" w:hAnsi="Calibri" w:eastAsia="Calibri"/>
          <w:color w:val="111827"/>
        </w:rPr>
        <w:t>Project Authority confirms Project Class A / Software Class 3 and approves the combined PM Gate 2 / software G1 baseline before Phase 0 exit.</w:t>
      </w:r>
    </w:p>
    <w:p>
      <w:pPr>
        <w:keepLines/>
        <w:numPr>
          <w:ilvl w:val="0"/>
          <w:numId w:val="14"/>
        </w:numPr>
        <w:spacing w:after="80" w:line="290" w:lineRule="auto"/>
        <w:ind w:left="540" w:hanging="279"/>
      </w:pPr>
      <w:r>
        <w:rPr>
          <w:rFonts w:ascii="Calibri" w:hAnsi="Calibri" w:eastAsia="Calibri"/>
          <w:color w:val="111827"/>
        </w:rPr>
        <w:t>The independent technical/control reviewer is named, with appointment, scope, evidence and review period recorded before Phase 0 exit.</w:t>
      </w:r>
    </w:p>
    <w:p>
      <w:pPr>
        <w:keepLines/>
        <w:numPr>
          <w:ilvl w:val="0"/>
          <w:numId w:val="14"/>
        </w:numPr>
        <w:spacing w:after="80" w:line="290" w:lineRule="auto"/>
        <w:ind w:left="540" w:hanging="279"/>
      </w:pPr>
      <w:r>
        <w:rPr>
          <w:rFonts w:ascii="Calibri" w:hAnsi="Calibri" w:eastAsia="Calibri"/>
          <w:color w:val="111827"/>
        </w:rPr>
        <w:t>Named sponsor, project manager, acceptance authority and team members, weekly allocations and the capacity-matched schedule of record are approved before Phase 0 exit.</w:t>
      </w:r>
    </w:p>
    <w:p>
      <w:pPr>
        <w:keepLines/>
        <w:numPr>
          <w:ilvl w:val="0"/>
          <w:numId w:val="14"/>
        </w:numPr>
        <w:spacing w:after="80" w:line="290" w:lineRule="auto"/>
        <w:ind w:left="540" w:hanging="279"/>
      </w:pPr>
      <w:r>
        <w:rPr>
          <w:rFonts w:ascii="Calibri" w:hAnsi="Calibri" w:eastAsia="Calibri"/>
          <w:color w:val="111827"/>
        </w:rPr>
        <w:t>The Seal privacy impact assessment, data inventory and retention/disposal map are approved before real personal data or external evidence is admitted.</w:t>
      </w:r>
    </w:p>
    <w:p>
      <w:pPr>
        <w:keepLines/>
        <w:numPr>
          <w:ilvl w:val="0"/>
          <w:numId w:val="14"/>
        </w:numPr>
        <w:spacing w:after="80" w:line="290" w:lineRule="auto"/>
        <w:ind w:left="540" w:hanging="279"/>
      </w:pPr>
      <w:r>
        <w:rPr>
          <w:rFonts w:ascii="Calibri" w:hAnsi="Calibri" w:eastAsia="Calibri"/>
          <w:color w:val="111827"/>
        </w:rPr>
        <w:t>The integrated Gate 3 / G2 delivery plan carries a distinct assurance effort, schedule and budget line.</w:t>
      </w:r>
    </w:p>
    <w:p>
      <w:pPr>
        <w:keepLines/>
        <w:numPr>
          <w:ilvl w:val="0"/>
          <w:numId w:val="14"/>
        </w:numPr>
        <w:spacing w:after="80" w:line="290" w:lineRule="auto"/>
        <w:ind w:left="540" w:hanging="279"/>
      </w:pPr>
      <w:r>
        <w:rPr>
          <w:rFonts w:ascii="Calibri" w:hAnsi="Calibri" w:eastAsia="Calibri"/>
          <w:color w:val="111827"/>
        </w:rPr>
        <w:t>Phase 0 records counsel engagement and an owned Ghana regulatory workstream; the completed determination remains a separate standing gate on external assessment.</w:t>
      </w:r>
    </w:p>
    <w:p>
      <w:pPr>
        <w:pStyle w:val="Heading1"/>
        <w:keepNext/>
        <w:keepLines/>
      </w:pPr>
      <w:r>
        <w:t>Appendix C. Technical review closure register</w:t>
      </w:r>
    </w:p>
    <w:p>
      <w:pPr/>
      <w:r>
        <w:rPr>
          <w:rFonts w:ascii="Calibri" w:hAnsi="Calibri" w:eastAsia="Calibri"/>
          <w:color w:val="111827"/>
        </w:rPr>
        <w:t>The register records how Version 1.3 preserves the twelve original and seven post-revision closures and closes the five findings raised during the second-pass verification. A design closure specifies the required control; appointments, approvals, legal determinations and implementation evidence remain due at their named gates. No row grants permission for external or production scanning.</w:t>
      </w:r>
    </w:p>
    <w:tbl>
      <w:tblPr>
        <w:tblStyle w:val="TableGrid"/>
        <w:jc w:val="left"/>
        <w:tblLook w:firstColumn="1" w:firstRow="1" w:lastColumn="0" w:lastRow="0" w:noHBand="0" w:noVBand="1" w:val="04A0"/>
        <w:tblW w:w="9360" w:type="dxa"/>
        <w:tblInd w:w="120" w:type="dxa"/>
        <w:tblLayout w:type="fixed"/>
      </w:tblPr>
      <w:tblGrid>
        <w:gridCol w:w="500"/>
        <w:gridCol w:w="4660"/>
        <w:gridCol w:w="2100"/>
        <w:gridCol w:w="2100"/>
      </w:tblGrid>
      <w:tr>
        <w:trPr>
          <w:cantSplit/>
          <w:tblHeader w:val="true"/>
          <w:tblHeader w:val="true"/>
        </w:trPr>
        <w:tc>
          <w:tcPr>
            <w:tcW w:type="dxa" w:w="500"/>
            <w:vAlign w:val="center"/>
            <w:tcMar>
              <w:top w:w="100" w:type="dxa"/>
              <w:start w:w="120" w:type="dxa"/>
              <w:bottom w:w="100" w:type="dxa"/>
              <w:end w:w="120" w:type="dxa"/>
            </w:tcMar>
            <w:shd w:fill="EAF5EF"/>
          </w:tcPr>
          <w:p>
            <w:pPr>
              <w:keepLines/>
              <w:spacing w:before="0" w:after="40" w:line="264" w:lineRule="auto"/>
              <w:jc w:val="center"/>
            </w:pPr>
            <w:r>
              <w:rPr>
                <w:rFonts w:ascii="Calibri" w:hAnsi="Calibri" w:eastAsia="Calibri"/>
                <w:b/>
                <w:color w:val="0B2545"/>
                <w:sz w:val="19"/>
              </w:rPr>
              <w:t>#</w:t>
            </w:r>
          </w:p>
        </w:tc>
        <w:tc>
          <w:tcPr>
            <w:tcW w:type="dxa" w:w="4660"/>
            <w:vAlign w:val="center"/>
            <w:tcMar>
              <w:top w:w="100" w:type="dxa"/>
              <w:start w:w="120" w:type="dxa"/>
              <w:bottom w:w="100" w:type="dxa"/>
              <w:end w:w="120" w:type="dxa"/>
            </w:tcMar>
            <w:shd w:fill="EAF5EF"/>
          </w:tcPr>
          <w:p>
            <w:pPr>
              <w:keepLines/>
              <w:spacing w:before="0" w:after="40" w:line="264" w:lineRule="auto"/>
              <w:jc w:val="left"/>
            </w:pPr>
            <w:r>
              <w:rPr>
                <w:rFonts w:ascii="Calibri" w:hAnsi="Calibri" w:eastAsia="Calibri"/>
                <w:b/>
                <w:color w:val="0B2545"/>
                <w:sz w:val="19"/>
              </w:rPr>
              <w:t>Finding and closure</w:t>
            </w:r>
          </w:p>
        </w:tc>
        <w:tc>
          <w:tcPr>
            <w:tcW w:type="dxa" w:w="2100"/>
            <w:vAlign w:val="center"/>
            <w:tcMar>
              <w:top w:w="100" w:type="dxa"/>
              <w:start w:w="120" w:type="dxa"/>
              <w:bottom w:w="100" w:type="dxa"/>
              <w:end w:w="120" w:type="dxa"/>
            </w:tcMar>
            <w:shd w:fill="EAF5EF"/>
          </w:tcPr>
          <w:p>
            <w:pPr>
              <w:keepLines/>
              <w:spacing w:before="0" w:after="40" w:line="264" w:lineRule="auto"/>
              <w:jc w:val="center"/>
            </w:pPr>
            <w:r>
              <w:rPr>
                <w:rFonts w:ascii="Calibri" w:hAnsi="Calibri" w:eastAsia="Calibri"/>
                <w:b/>
                <w:color w:val="0B2545"/>
                <w:sz w:val="19"/>
              </w:rPr>
              <w:t>Owner / gate</w:t>
            </w:r>
          </w:p>
        </w:tc>
        <w:tc>
          <w:tcPr>
            <w:tcW w:type="dxa" w:w="2100"/>
            <w:vAlign w:val="center"/>
            <w:tcMar>
              <w:top w:w="100" w:type="dxa"/>
              <w:start w:w="120" w:type="dxa"/>
              <w:bottom w:w="100" w:type="dxa"/>
              <w:end w:w="120" w:type="dxa"/>
            </w:tcMar>
            <w:shd w:fill="EAF5EF"/>
          </w:tcPr>
          <w:p>
            <w:pPr>
              <w:keepLines/>
              <w:spacing w:before="0" w:after="40" w:line="264" w:lineRule="auto"/>
              <w:jc w:val="center"/>
            </w:pPr>
            <w:r>
              <w:rPr>
                <w:rFonts w:ascii="Calibri" w:hAnsi="Calibri" w:eastAsia="Calibri"/>
                <w:b/>
                <w:color w:val="0B2545"/>
                <w:sz w:val="19"/>
              </w:rPr>
              <w:t>Disposition</w:t>
            </w:r>
          </w:p>
        </w:tc>
      </w:tr>
      <w:tr>
        <w:trPr>
          <w:cantSplit/>
        </w:trPr>
        <w:tc>
          <w:tcPr>
            <w:tcW w:type="dxa" w:w="5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1</w:t>
            </w:r>
          </w:p>
        </w:tc>
        <w:tc>
          <w:tcPr>
            <w:tcW w:type="dxa" w:w="46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Ghana regulatory obligations moved ahead of any external pilot; four Act 1038 determinations, verification evidence and lead-time risk are mandatory.</w:t>
            </w:r>
          </w:p>
        </w:tc>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Legal adviser / Phase 0</w:t>
            </w:r>
          </w:p>
        </w:tc>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Closed in design; recorded legal outcome still required</w:t>
            </w:r>
          </w:p>
        </w:tc>
      </w:tr>
      <w:tr>
        <w:trPr>
          <w:cantSplit/>
        </w:trPr>
        <w:tc>
          <w:tcPr>
            <w:tcW w:type="dxa" w:w="5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2</w:t>
            </w:r>
          </w:p>
        </w:tc>
        <w:tc>
          <w:tcPr>
            <w:tcW w:type="dxa" w:w="46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MVP narrowed around a 4.0-FTE, 28-week planning scenario; Phase 0 must confirm capacity and approve the matching schedule of record.</w:t>
            </w:r>
          </w:p>
        </w:tc>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Project owner / Phase 0</w:t>
            </w:r>
          </w:p>
        </w:tc>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Closed</w:t>
            </w:r>
          </w:p>
        </w:tc>
      </w:tr>
      <w:tr>
        <w:trPr>
          <w:cantSplit/>
        </w:trPr>
        <w:tc>
          <w:tcPr>
            <w:tcW w:type="dxa" w:w="5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3</w:t>
            </w:r>
          </w:p>
        </w:tc>
        <w:tc>
          <w:tcPr>
            <w:tcW w:type="dxa" w:w="46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Adapter-specific, versioned fingerprints and merge/split/alias/recurrence behavior are specified and benchmarked.</w:t>
            </w:r>
          </w:p>
        </w:tc>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Security lead / Phase 0-2</w:t>
            </w:r>
          </w:p>
        </w:tc>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Closed</w:t>
            </w:r>
          </w:p>
        </w:tc>
      </w:tr>
      <w:tr>
        <w:trPr>
          <w:cantSplit/>
        </w:trPr>
        <w:tc>
          <w:tcPr>
            <w:tcW w:type="dxa" w:w="5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4</w:t>
            </w:r>
          </w:p>
        </w:tc>
        <w:tc>
          <w:tcPr>
            <w:tcW w:type="dxa" w:w="46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Multiplicative formula removed; CVSS, EPSS, SSVC-style outcome and independent confidence are defined with explicit ranges.</w:t>
            </w:r>
          </w:p>
        </w:tc>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Security lead / Phase 0</w:t>
            </w:r>
          </w:p>
        </w:tc>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Closed</w:t>
            </w:r>
          </w:p>
        </w:tc>
      </w:tr>
      <w:tr>
        <w:trPr>
          <w:cantSplit/>
        </w:trPr>
        <w:tc>
          <w:tcPr>
            <w:tcW w:type="dxa" w:w="5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5</w:t>
            </w:r>
          </w:p>
        </w:tc>
        <w:tc>
          <w:tcPr>
            <w:tcW w:type="dxa" w:w="46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Insert-only audit interface, protected NOLOGIN owner, hash chain, evidence digests, interval and high-risk-event anchors and residual risk are specified.</w:t>
            </w:r>
          </w:p>
        </w:tc>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Platform lead / Phase 1</w:t>
            </w:r>
          </w:p>
        </w:tc>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Closed</w:t>
            </w:r>
          </w:p>
        </w:tc>
      </w:tr>
      <w:tr>
        <w:trPr>
          <w:cantSplit/>
        </w:trPr>
        <w:tc>
          <w:tcPr>
            <w:tcW w:type="dxa" w:w="5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6</w:t>
            </w:r>
          </w:p>
        </w:tc>
        <w:tc>
          <w:tcPr>
            <w:tcW w:type="dxa" w:w="46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Safe-active capability is governed by an allowlist, explicit prohibitions, profile versioning and formal change control.</w:t>
            </w:r>
          </w:p>
        </w:tc>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Security lead / Phase 0-2</w:t>
            </w:r>
          </w:p>
        </w:tc>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Closed</w:t>
            </w:r>
          </w:p>
        </w:tc>
      </w:tr>
      <w:tr>
        <w:trPr>
          <w:cantSplit/>
        </w:trPr>
        <w:tc>
          <w:tcPr>
            <w:tcW w:type="dxa" w:w="5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7</w:t>
            </w:r>
          </w:p>
        </w:tc>
        <w:tc>
          <w:tcPr>
            <w:tcW w:type="dxa" w:w="46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organization_id, tenant-aware access and PostgreSQL row-level security are required from the first migration.</w:t>
            </w:r>
          </w:p>
        </w:tc>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Platform lead / Phase 1</w:t>
            </w:r>
          </w:p>
        </w:tc>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Closed</w:t>
            </w:r>
          </w:p>
        </w:tc>
      </w:tr>
      <w:tr>
        <w:trPr>
          <w:cantSplit/>
        </w:trPr>
        <w:tc>
          <w:tcPr>
            <w:tcW w:type="dxa" w:w="5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8</w:t>
            </w:r>
          </w:p>
        </w:tc>
        <w:tc>
          <w:tcPr>
            <w:tcW w:type="dxa" w:w="46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A separate active-compromise incident path, evidence hold, owner notification and CERT decision clock are defined.</w:t>
            </w:r>
          </w:p>
        </w:tc>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Incident coordinator / Phase 0-1</w:t>
            </w:r>
          </w:p>
        </w:tc>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Closed</w:t>
            </w:r>
          </w:p>
        </w:tc>
      </w:tr>
      <w:tr>
        <w:trPr>
          <w:cantSplit/>
        </w:trPr>
        <w:tc>
          <w:tcPr>
            <w:tcW w:type="dxa" w:w="5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9</w:t>
            </w:r>
          </w:p>
        </w:tc>
        <w:tc>
          <w:tcPr>
            <w:tcW w:type="dxa" w:w="46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Availability, workload, latency, scan-time, stop, recovery and scale thresholds are provisional but testable.</w:t>
            </w:r>
          </w:p>
        </w:tc>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QA lead / Phase 0-4</w:t>
            </w:r>
          </w:p>
        </w:tc>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Closed</w:t>
            </w:r>
          </w:p>
        </w:tc>
      </w:tr>
      <w:tr>
        <w:trPr>
          <w:cantSplit/>
        </w:trPr>
        <w:tc>
          <w:tcPr>
            <w:tcW w:type="dxa" w:w="5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10</w:t>
            </w:r>
          </w:p>
        </w:tc>
        <w:tc>
          <w:tcPr>
            <w:tcW w:type="dxa" w:w="46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False-positive measure replaced with the rate of assigned findings later invalidated.</w:t>
            </w:r>
          </w:p>
        </w:tc>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Product lead / Phase 3-4</w:t>
            </w:r>
          </w:p>
        </w:tc>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Closed</w:t>
            </w:r>
          </w:p>
        </w:tc>
      </w:tr>
      <w:tr>
        <w:trPr>
          <w:cantSplit/>
        </w:trPr>
        <w:tc>
          <w:tcPr>
            <w:tcW w:type="dxa" w:w="5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11</w:t>
            </w:r>
          </w:p>
        </w:tc>
        <w:tc>
          <w:tcPr>
            <w:tcW w:type="dxa" w:w="46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Revision history and preparation, review and approval block added.</w:t>
            </w:r>
          </w:p>
        </w:tc>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Document owner / this revision</w:t>
            </w:r>
          </w:p>
        </w:tc>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Closed</w:t>
            </w:r>
          </w:p>
        </w:tc>
      </w:tr>
      <w:tr>
        <w:trPr>
          <w:cantSplit/>
        </w:trPr>
        <w:tc>
          <w:tcPr>
            <w:tcW w:type="dxa" w:w="5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12</w:t>
            </w:r>
          </w:p>
        </w:tc>
        <w:tc>
          <w:tcPr>
            <w:tcW w:type="dxa" w:w="46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Worked example now shows fingerprinting, CVSS, EPSS, confidence, action outcome, override, assignment, comparison and closure.</w:t>
            </w:r>
          </w:p>
        </w:tc>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Product lead / this revision</w:t>
            </w:r>
          </w:p>
        </w:tc>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Closed</w:t>
            </w:r>
          </w:p>
        </w:tc>
      </w:tr>
    </w:tbl>
    <w:p>
      <w:pPr>
        <w:spacing w:before="0" w:after="80"/>
      </w:pPr>
    </w:p>
    <w:p>
      <w:pPr>
        <w:pStyle w:val="Heading2"/>
        <w:keepNext/>
        <w:keepLines/>
      </w:pPr>
      <w:r>
        <w:t>Post-revision verification findings</w:t>
      </w:r>
    </w:p>
    <w:tbl>
      <w:tblPr>
        <w:tblStyle w:val="TableGrid"/>
        <w:jc w:val="left"/>
        <w:tblLook w:firstColumn="1" w:firstRow="1" w:lastColumn="0" w:lastRow="0" w:noHBand="0" w:noVBand="1" w:val="04A0"/>
        <w:tblW w:w="9360" w:type="dxa"/>
        <w:tblInd w:w="120" w:type="dxa"/>
        <w:tblLayout w:type="fixed"/>
      </w:tblPr>
      <w:tblGrid>
        <w:gridCol w:w="500"/>
        <w:gridCol w:w="4660"/>
        <w:gridCol w:w="2100"/>
        <w:gridCol w:w="2100"/>
      </w:tblGrid>
      <w:tr>
        <w:trPr>
          <w:cantSplit/>
          <w:tblHeader w:val="true"/>
          <w:tblHeader w:val="true"/>
        </w:trPr>
        <w:tc>
          <w:tcPr>
            <w:tcW w:type="dxa" w:w="500"/>
            <w:vAlign w:val="center"/>
            <w:tcMar>
              <w:top w:w="100" w:type="dxa"/>
              <w:start w:w="120" w:type="dxa"/>
              <w:bottom w:w="100" w:type="dxa"/>
              <w:end w:w="120" w:type="dxa"/>
            </w:tcMar>
            <w:shd w:fill="EAF5EF"/>
          </w:tcPr>
          <w:p>
            <w:pPr>
              <w:keepLines/>
              <w:spacing w:before="0" w:after="40" w:line="264" w:lineRule="auto"/>
              <w:jc w:val="center"/>
            </w:pPr>
            <w:r>
              <w:rPr>
                <w:rFonts w:ascii="Calibri" w:hAnsi="Calibri" w:eastAsia="Calibri"/>
                <w:b/>
                <w:color w:val="0B2545"/>
                <w:sz w:val="19"/>
              </w:rPr>
              <w:t>#</w:t>
            </w:r>
          </w:p>
        </w:tc>
        <w:tc>
          <w:tcPr>
            <w:tcW w:type="dxa" w:w="4660"/>
            <w:vAlign w:val="center"/>
            <w:tcMar>
              <w:top w:w="100" w:type="dxa"/>
              <w:start w:w="120" w:type="dxa"/>
              <w:bottom w:w="100" w:type="dxa"/>
              <w:end w:w="120" w:type="dxa"/>
            </w:tcMar>
            <w:shd w:fill="EAF5EF"/>
          </w:tcPr>
          <w:p>
            <w:pPr>
              <w:keepLines/>
              <w:spacing w:before="0" w:after="40" w:line="264" w:lineRule="auto"/>
              <w:jc w:val="left"/>
            </w:pPr>
            <w:r>
              <w:rPr>
                <w:rFonts w:ascii="Calibri" w:hAnsi="Calibri" w:eastAsia="Calibri"/>
                <w:b/>
                <w:color w:val="0B2545"/>
                <w:sz w:val="19"/>
              </w:rPr>
              <w:t>Verification finding and closure</w:t>
            </w:r>
          </w:p>
        </w:tc>
        <w:tc>
          <w:tcPr>
            <w:tcW w:type="dxa" w:w="2100"/>
            <w:vAlign w:val="center"/>
            <w:tcMar>
              <w:top w:w="100" w:type="dxa"/>
              <w:start w:w="120" w:type="dxa"/>
              <w:bottom w:w="100" w:type="dxa"/>
              <w:end w:w="120" w:type="dxa"/>
            </w:tcMar>
            <w:shd w:fill="EAF5EF"/>
          </w:tcPr>
          <w:p>
            <w:pPr>
              <w:keepLines/>
              <w:spacing w:before="0" w:after="40" w:line="264" w:lineRule="auto"/>
              <w:jc w:val="center"/>
            </w:pPr>
            <w:r>
              <w:rPr>
                <w:rFonts w:ascii="Calibri" w:hAnsi="Calibri" w:eastAsia="Calibri"/>
                <w:b/>
                <w:color w:val="0B2545"/>
                <w:sz w:val="19"/>
              </w:rPr>
              <w:t>Owner / gate</w:t>
            </w:r>
          </w:p>
        </w:tc>
        <w:tc>
          <w:tcPr>
            <w:tcW w:type="dxa" w:w="2100"/>
            <w:vAlign w:val="center"/>
            <w:tcMar>
              <w:top w:w="100" w:type="dxa"/>
              <w:start w:w="120" w:type="dxa"/>
              <w:bottom w:w="100" w:type="dxa"/>
              <w:end w:w="120" w:type="dxa"/>
            </w:tcMar>
            <w:shd w:fill="EAF5EF"/>
          </w:tcPr>
          <w:p>
            <w:pPr>
              <w:keepLines/>
              <w:spacing w:before="0" w:after="40" w:line="264" w:lineRule="auto"/>
              <w:jc w:val="center"/>
            </w:pPr>
            <w:r>
              <w:rPr>
                <w:rFonts w:ascii="Calibri" w:hAnsi="Calibri" w:eastAsia="Calibri"/>
                <w:b/>
                <w:color w:val="0B2545"/>
                <w:sz w:val="19"/>
              </w:rPr>
              <w:t>Disposition</w:t>
            </w:r>
          </w:p>
        </w:tc>
      </w:tr>
      <w:tr>
        <w:trPr>
          <w:cantSplit/>
        </w:trPr>
        <w:tc>
          <w:tcPr>
            <w:tcW w:type="dxa" w:w="5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N1</w:t>
            </w:r>
          </w:p>
        </w:tc>
        <w:tc>
          <w:tcPr>
            <w:tcW w:type="dxa" w:w="46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Section 6.9 now limits the MVP to dashboard and JSON/CSV outputs and explicitly defers ticket, CI/CD and generated office-report integrations.</w:t>
            </w:r>
          </w:p>
        </w:tc>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Product lead / Phase 0</w:t>
            </w:r>
          </w:p>
        </w:tc>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Closed</w:t>
            </w:r>
          </w:p>
        </w:tc>
      </w:tr>
      <w:tr>
        <w:trPr>
          <w:cantSplit/>
        </w:trPr>
        <w:tc>
          <w:tcPr>
            <w:tcW w:type="dxa" w:w="5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N2</w:t>
            </w:r>
          </w:p>
        </w:tc>
        <w:tc>
          <w:tcPr>
            <w:tcW w:type="dxa" w:w="46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CE accreditation is the fourth Ghana determination; active enforcement and CSA certificate verification are explicit.</w:t>
            </w:r>
          </w:p>
        </w:tc>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Legal adviser / Phase 0</w:t>
            </w:r>
          </w:p>
        </w:tc>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Closed in design; counsel outcome still required</w:t>
            </w:r>
          </w:p>
        </w:tc>
      </w:tr>
      <w:tr>
        <w:trPr>
          <w:cantSplit/>
        </w:trPr>
        <w:tc>
          <w:tcPr>
            <w:tcW w:type="dxa" w:w="5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N3</w:t>
            </w:r>
          </w:p>
        </w:tc>
        <w:tc>
          <w:tcPr>
            <w:tcW w:type="dxa" w:w="46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Security-definer procedures are owned by NOLOGIN seal_audit_owner with no issued credentials, two-person break-glass use and dedicated monitoring.</w:t>
            </w:r>
          </w:p>
        </w:tc>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Platform lead / Phase 1</w:t>
            </w:r>
          </w:p>
        </w:tc>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Closed</w:t>
            </w:r>
          </w:p>
        </w:tc>
      </w:tr>
      <w:tr>
        <w:trPr>
          <w:cantSplit/>
        </w:trPr>
        <w:tc>
          <w:tcPr>
            <w:tcW w:type="dxa" w:w="5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N4</w:t>
            </w:r>
          </w:p>
        </w:tc>
        <w:tc>
          <w:tcPr>
            <w:tcW w:type="dxa" w:w="46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Phase 0 exit now requires named allocations and an approved schedule of record matched to confirmed capacity.</w:t>
            </w:r>
          </w:p>
        </w:tc>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Project owner / Phase 0</w:t>
            </w:r>
          </w:p>
        </w:tc>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Closed</w:t>
            </w:r>
          </w:p>
        </w:tc>
      </w:tr>
      <w:tr>
        <w:trPr>
          <w:cantSplit/>
        </w:trPr>
        <w:tc>
          <w:tcPr>
            <w:tcW w:type="dxa" w:w="5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N5</w:t>
            </w:r>
          </w:p>
        </w:tc>
        <w:tc>
          <w:tcPr>
            <w:tcW w:type="dxa" w:w="46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Included assets and adapter descriptions now exclude deferred network and configuration coverage; Trivy configuration scanning is marked deferred.</w:t>
            </w:r>
          </w:p>
        </w:tc>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Product lead / this revision</w:t>
            </w:r>
          </w:p>
        </w:tc>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Closed</w:t>
            </w:r>
          </w:p>
        </w:tc>
      </w:tr>
      <w:tr>
        <w:trPr>
          <w:cantSplit/>
        </w:trPr>
        <w:tc>
          <w:tcPr>
            <w:tcW w:type="dxa" w:w="5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N6</w:t>
            </w:r>
          </w:p>
        </w:tc>
        <w:tc>
          <w:tcPr>
            <w:tcW w:type="dxa" w:w="46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Defined high-risk events now trigger external anchoring in addition to the fifteen-minute and scan-completion schedule.</w:t>
            </w:r>
          </w:p>
        </w:tc>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Platform lead / Phase 1</w:t>
            </w:r>
          </w:p>
        </w:tc>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Closed</w:t>
            </w:r>
          </w:p>
        </w:tc>
      </w:tr>
      <w:tr>
        <w:trPr>
          <w:cantSplit/>
        </w:trPr>
        <w:tc>
          <w:tcPr>
            <w:tcW w:type="dxa" w:w="5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N7</w:t>
            </w:r>
          </w:p>
        </w:tc>
        <w:tc>
          <w:tcPr>
            <w:tcW w:type="dxa" w:w="46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CVSS v4.0 wording now retains the source-reported vector and records the environment-adjusted vector and score as separate fields.</w:t>
            </w:r>
          </w:p>
        </w:tc>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Security lead / this revision</w:t>
            </w:r>
          </w:p>
        </w:tc>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Closed</w:t>
            </w:r>
          </w:p>
        </w:tc>
      </w:tr>
    </w:tbl>
    <w:p>
      <w:pPr>
        <w:spacing w:before="0" w:after="80"/>
      </w:pPr>
    </w:p>
    <w:p>
      <w:pPr>
        <w:pStyle w:val="Heading2"/>
        <w:keepNext/>
        <w:keepLines/>
      </w:pPr>
      <w:r>
        <w:t>Second-pass verification findings</w:t>
      </w:r>
    </w:p>
    <w:tbl>
      <w:tblPr>
        <w:tblStyle w:val="TableGrid"/>
        <w:jc w:val="left"/>
        <w:tblLook w:firstColumn="1" w:firstRow="1" w:lastColumn="0" w:lastRow="0" w:noHBand="0" w:noVBand="1" w:val="04A0"/>
        <w:tblW w:w="9360" w:type="dxa"/>
        <w:tblInd w:w="120" w:type="dxa"/>
        <w:tblLayout w:type="fixed"/>
      </w:tblPr>
      <w:tblGrid>
        <w:gridCol w:w="500"/>
        <w:gridCol w:w="4660"/>
        <w:gridCol w:w="2100"/>
        <w:gridCol w:w="2100"/>
      </w:tblGrid>
      <w:tr>
        <w:trPr>
          <w:cantSplit/>
          <w:tblHeader w:val="true"/>
          <w:tblHeader w:val="true"/>
        </w:trPr>
        <w:tc>
          <w:tcPr>
            <w:tcW w:type="dxa" w:w="500"/>
            <w:vAlign w:val="center"/>
            <w:tcMar>
              <w:top w:w="100" w:type="dxa"/>
              <w:start w:w="120" w:type="dxa"/>
              <w:bottom w:w="100" w:type="dxa"/>
              <w:end w:w="120" w:type="dxa"/>
            </w:tcMar>
            <w:shd w:fill="EAF5EF"/>
          </w:tcPr>
          <w:p>
            <w:pPr>
              <w:keepLines/>
              <w:spacing w:before="0" w:after="40" w:line="264" w:lineRule="auto"/>
              <w:jc w:val="center"/>
            </w:pPr>
            <w:r>
              <w:rPr>
                <w:rFonts w:ascii="Calibri" w:hAnsi="Calibri" w:eastAsia="Calibri"/>
                <w:b/>
                <w:color w:val="0B2545"/>
                <w:sz w:val="19"/>
              </w:rPr>
              <w:t>#</w:t>
            </w:r>
          </w:p>
        </w:tc>
        <w:tc>
          <w:tcPr>
            <w:tcW w:type="dxa" w:w="4660"/>
            <w:vAlign w:val="center"/>
            <w:tcMar>
              <w:top w:w="100" w:type="dxa"/>
              <w:start w:w="120" w:type="dxa"/>
              <w:bottom w:w="100" w:type="dxa"/>
              <w:end w:w="120" w:type="dxa"/>
            </w:tcMar>
            <w:shd w:fill="EAF5EF"/>
          </w:tcPr>
          <w:p>
            <w:pPr>
              <w:keepLines/>
              <w:spacing w:before="0" w:after="40" w:line="264" w:lineRule="auto"/>
              <w:jc w:val="left"/>
            </w:pPr>
            <w:r>
              <w:rPr>
                <w:rFonts w:ascii="Calibri" w:hAnsi="Calibri" w:eastAsia="Calibri"/>
                <w:b/>
                <w:color w:val="0B2545"/>
                <w:sz w:val="19"/>
              </w:rPr>
              <w:t>Second-pass finding and closure</w:t>
            </w:r>
          </w:p>
        </w:tc>
        <w:tc>
          <w:tcPr>
            <w:tcW w:type="dxa" w:w="2100"/>
            <w:vAlign w:val="center"/>
            <w:tcMar>
              <w:top w:w="100" w:type="dxa"/>
              <w:start w:w="120" w:type="dxa"/>
              <w:bottom w:w="100" w:type="dxa"/>
              <w:end w:w="120" w:type="dxa"/>
            </w:tcMar>
            <w:shd w:fill="EAF5EF"/>
          </w:tcPr>
          <w:p>
            <w:pPr>
              <w:keepLines/>
              <w:spacing w:before="0" w:after="40" w:line="264" w:lineRule="auto"/>
              <w:jc w:val="center"/>
            </w:pPr>
            <w:r>
              <w:rPr>
                <w:rFonts w:ascii="Calibri" w:hAnsi="Calibri" w:eastAsia="Calibri"/>
                <w:b/>
                <w:color w:val="0B2545"/>
                <w:sz w:val="19"/>
              </w:rPr>
              <w:t>Owner / gate</w:t>
            </w:r>
          </w:p>
        </w:tc>
        <w:tc>
          <w:tcPr>
            <w:tcW w:type="dxa" w:w="2100"/>
            <w:vAlign w:val="center"/>
            <w:tcMar>
              <w:top w:w="100" w:type="dxa"/>
              <w:start w:w="120" w:type="dxa"/>
              <w:bottom w:w="100" w:type="dxa"/>
              <w:end w:w="120" w:type="dxa"/>
            </w:tcMar>
            <w:shd w:fill="EAF5EF"/>
          </w:tcPr>
          <w:p>
            <w:pPr>
              <w:keepLines/>
              <w:spacing w:before="0" w:after="40" w:line="264" w:lineRule="auto"/>
              <w:jc w:val="center"/>
            </w:pPr>
            <w:r>
              <w:rPr>
                <w:rFonts w:ascii="Calibri" w:hAnsi="Calibri" w:eastAsia="Calibri"/>
                <w:b/>
                <w:color w:val="0B2545"/>
                <w:sz w:val="19"/>
              </w:rPr>
              <w:t>Disposition</w:t>
            </w:r>
          </w:p>
        </w:tc>
      </w:tr>
      <w:tr>
        <w:trPr>
          <w:cantSplit/>
        </w:trPr>
        <w:tc>
          <w:tcPr>
            <w:tcW w:type="dxa" w:w="5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V1</w:t>
            </w:r>
          </w:p>
        </w:tc>
        <w:tc>
          <w:tcPr>
            <w:tcW w:type="dxa" w:w="46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Seal is classified Project Class A / Software Class 3, with a Class 4 escalation rule. Section 12.4 maps Seal Phases 0-4 and post-pilot activity to PM Gates 1-7 and software G0-G6, requires one reused evidence pack and carries a distinct assurance budget line.</w:t>
            </w:r>
          </w:p>
        </w:tc>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Project Authority / Phase 0</w:t>
            </w:r>
          </w:p>
        </w:tc>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Closed in design; formal class and baseline approval required</w:t>
            </w:r>
          </w:p>
        </w:tc>
      </w:tr>
      <w:tr>
        <w:trPr>
          <w:cantSplit/>
        </w:trPr>
        <w:tc>
          <w:tcPr>
            <w:tcW w:type="dxa" w:w="5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V2</w:t>
            </w:r>
          </w:p>
        </w:tc>
        <w:tc>
          <w:tcPr>
            <w:tcW w:type="dxa" w:w="46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Freston Kenny Adedeme remains concept owner and issuer but is no longer recorded as institutional baseline approver. Project Authority approval and a named independent reviewer are Phase 0 exit conditions; the Executive-approved compensating route is stated if staffing prevents separation.</w:t>
            </w:r>
          </w:p>
        </w:tc>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Project Authority / Phase 0</w:t>
            </w:r>
          </w:p>
        </w:tc>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Closed in design; names and decisions required</w:t>
            </w:r>
          </w:p>
        </w:tc>
      </w:tr>
      <w:tr>
        <w:trPr>
          <w:cantSplit/>
        </w:trPr>
        <w:tc>
          <w:tcPr>
            <w:tcW w:type="dxa" w:w="5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V3</w:t>
            </w:r>
          </w:p>
        </w:tc>
        <w:tc>
          <w:tcPr>
            <w:tcW w:type="dxa" w:w="46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Section 11.1 requires a privacy impact assessment for Seal's own processing, limits pre-approval work to synthetic/de-identified data, and maps evidence categories to the PM Framework Appendix J retention and secure-disposal rules.</w:t>
            </w:r>
          </w:p>
        </w:tc>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Privacy reviewer / Gate 3-G2</w:t>
            </w:r>
          </w:p>
        </w:tc>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Closed in design; approved assessment required</w:t>
            </w:r>
          </w:p>
        </w:tc>
      </w:tr>
      <w:tr>
        <w:trPr>
          <w:cantSplit/>
        </w:trPr>
        <w:tc>
          <w:tcPr>
            <w:tcW w:type="dxa" w:w="5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V4</w:t>
            </w:r>
          </w:p>
        </w:tc>
        <w:tc>
          <w:tcPr>
            <w:tcW w:type="dxa" w:w="46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Version 1.3 separated source and adjusted CVSS fields. Version 1.6 retains that model and removes unvalidated numerical examples; actual vector/score pairs require calculation and review.</w:t>
            </w:r>
          </w:p>
        </w:tc>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Security lead / this revision</w:t>
            </w:r>
          </w:p>
        </w:tc>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Closed</w:t>
            </w:r>
          </w:p>
        </w:tc>
      </w:tr>
      <w:tr>
        <w:trPr>
          <w:cantSplit/>
        </w:trPr>
        <w:tc>
          <w:tcPr>
            <w:tcW w:type="dxa" w:w="5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V5</w:t>
            </w:r>
          </w:p>
        </w:tc>
        <w:tc>
          <w:tcPr>
            <w:tcW w:type="dxa" w:w="46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Phase 0 now requires regulatory instruction, counsel engagement and an owned workstream, while the completed Ghana determination is stated separately as a standing gate on external assessment rather than a four-week deliverable.</w:t>
            </w:r>
          </w:p>
        </w:tc>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Legal adviser / Phase 0 and external gate</w:t>
            </w:r>
          </w:p>
        </w:tc>
        <w:tc>
          <w:tcPr>
            <w:tcW w:type="dxa" w:w="21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Closed in design; determination still required</w:t>
            </w:r>
          </w:p>
        </w:tc>
      </w:tr>
    </w:tbl>
    <w:p>
      <w:pPr>
        <w:spacing w:before="0" w:after="80"/>
      </w:pPr>
    </w:p>
    <w:p>
      <w:pPr>
        <w:pStyle w:val="Heading1"/>
        <w:keepNext/>
        <w:keepLines/>
      </w:pPr>
      <w:r>
        <w:t>References</w:t>
      </w:r>
    </w:p>
    <w:p>
      <w:pPr>
        <w:numPr>
          <w:ilvl w:val="0"/>
          <w:numId w:val="13"/>
        </w:numPr>
        <w:spacing w:after="100"/>
        <w:ind w:left="540" w:hanging="279"/>
      </w:pPr>
      <w:r>
        <w:rPr>
          <w:rFonts w:ascii="Calibri" w:hAnsi="Calibri" w:eastAsia="Calibri"/>
          <w:b/>
          <w:color w:val="0B2545"/>
          <w:sz w:val="21"/>
        </w:rPr>
        <w:t xml:space="preserve">KenAddme IT Links Project Management Framework, Version 1.0. </w:t>
      </w:r>
      <w:r>
        <w:rPr>
          <w:rFonts w:ascii="Calibri" w:hAnsi="Calibri" w:eastAsia="Calibri"/>
          <w:color w:val="111827"/>
          <w:sz w:val="21"/>
        </w:rPr>
        <w:t>Approved for Use on 2 September 2026; effective 31 October 2026. Governs Project Class A, Gates 1-7, role separation, Appendix I reconciliation and Appendix J retention.</w:t>
      </w:r>
    </w:p>
    <w:p>
      <w:pPr>
        <w:numPr>
          <w:ilvl w:val="0"/>
          <w:numId w:val="13"/>
        </w:numPr>
        <w:spacing w:after="100"/>
        <w:ind w:left="540" w:hanging="279"/>
      </w:pPr>
      <w:r>
        <w:rPr>
          <w:rFonts w:ascii="Calibri" w:hAnsi="Calibri" w:eastAsia="Calibri"/>
          <w:b/>
          <w:color w:val="0B2545"/>
          <w:sz w:val="21"/>
        </w:rPr>
        <w:t xml:space="preserve">KenAddme IT Links Software Development and Engineering Framework, Version 1.1. </w:t>
      </w:r>
      <w:r>
        <w:rPr>
          <w:rFonts w:ascii="Calibri" w:hAnsi="Calibri" w:eastAsia="Calibri"/>
          <w:color w:val="111827"/>
          <w:sz w:val="21"/>
        </w:rPr>
        <w:t>Approved for Use on 2 September 2026; effective 31 October 2026. Governs Software Class 3, G0-G6, assurance budgeting, privacy impact assessment and engineering evidence.</w:t>
      </w:r>
    </w:p>
    <w:p>
      <w:pPr>
        <w:numPr>
          <w:ilvl w:val="0"/>
          <w:numId w:val="13"/>
        </w:numPr>
        <w:spacing w:after="100"/>
        <w:ind w:left="540" w:hanging="279"/>
      </w:pPr>
      <w:hyperlink r:id="rId14">
        <w:r>
          <w:rPr>
            <w:rFonts w:ascii="Calibri" w:hAnsi="Calibri"/>
            <w:color w:val="2E74B5"/>
            <w:u w:val="single"/>
            <w:sz w:val="21"/>
          </w:rPr>
          <w:t>OWASP Web Security Testing Guide</w:t>
        </w:r>
      </w:hyperlink>
      <w:r>
        <w:rPr>
          <w:rFonts w:ascii="Calibri" w:hAnsi="Calibri" w:eastAsia="Calibri"/>
          <w:color w:val="111827"/>
          <w:sz w:val="21"/>
        </w:rPr>
        <w:t>. Web application testing framework and versioned test scenarios. Accessed 4 September 2026.</w:t>
      </w:r>
    </w:p>
    <w:p>
      <w:pPr>
        <w:numPr>
          <w:ilvl w:val="0"/>
          <w:numId w:val="13"/>
        </w:numPr>
        <w:spacing w:after="100"/>
        <w:ind w:left="540" w:hanging="279"/>
      </w:pPr>
      <w:hyperlink r:id="rId15">
        <w:r>
          <w:rPr>
            <w:rFonts w:ascii="Calibri" w:hAnsi="Calibri"/>
            <w:color w:val="2E74B5"/>
            <w:u w:val="single"/>
            <w:sz w:val="21"/>
          </w:rPr>
          <w:t>Nmap Service and Version Detection</w:t>
        </w:r>
      </w:hyperlink>
      <w:r>
        <w:rPr>
          <w:rFonts w:ascii="Calibri" w:hAnsi="Calibri" w:eastAsia="Calibri"/>
          <w:color w:val="111827"/>
          <w:sz w:val="21"/>
        </w:rPr>
        <w:t>. Official description of service and version identification. Accessed 4 September 2026.</w:t>
      </w:r>
    </w:p>
    <w:p>
      <w:pPr>
        <w:numPr>
          <w:ilvl w:val="0"/>
          <w:numId w:val="13"/>
        </w:numPr>
        <w:spacing w:after="100"/>
        <w:ind w:left="540" w:hanging="279"/>
      </w:pPr>
      <w:hyperlink r:id="rId16">
        <w:r>
          <w:rPr>
            <w:rFonts w:ascii="Calibri" w:hAnsi="Calibri"/>
            <w:color w:val="2E74B5"/>
            <w:u w:val="single"/>
            <w:sz w:val="21"/>
          </w:rPr>
          <w:t>ZAP Automation Framework</w:t>
        </w:r>
      </w:hyperlink>
      <w:r>
        <w:rPr>
          <w:rFonts w:ascii="Calibri" w:hAnsi="Calibri" w:eastAsia="Calibri"/>
          <w:color w:val="111827"/>
          <w:sz w:val="21"/>
        </w:rPr>
        <w:t>. Official automation, scan, test and reporting capabilities. Accessed 4 September 2026.</w:t>
      </w:r>
    </w:p>
    <w:p>
      <w:pPr>
        <w:numPr>
          <w:ilvl w:val="0"/>
          <w:numId w:val="13"/>
        </w:numPr>
        <w:spacing w:after="100"/>
        <w:ind w:left="540" w:hanging="279"/>
      </w:pPr>
      <w:hyperlink r:id="rId17">
        <w:r>
          <w:rPr>
            <w:rFonts w:ascii="Calibri" w:hAnsi="Calibri"/>
            <w:color w:val="2E74B5"/>
            <w:u w:val="single"/>
            <w:sz w:val="21"/>
          </w:rPr>
          <w:t>Trivy User Guide</w:t>
        </w:r>
      </w:hyperlink>
      <w:r>
        <w:rPr>
          <w:rFonts w:ascii="Calibri" w:hAnsi="Calibri" w:eastAsia="Calibri"/>
          <w:color w:val="111827"/>
          <w:sz w:val="21"/>
        </w:rPr>
        <w:t>. Official scanning coverage for software artifacts and configuration. Accessed 4 September 2026.</w:t>
      </w:r>
    </w:p>
    <w:p>
      <w:pPr>
        <w:numPr>
          <w:ilvl w:val="0"/>
          <w:numId w:val="13"/>
        </w:numPr>
        <w:spacing w:after="100"/>
        <w:ind w:left="540" w:hanging="279"/>
      </w:pPr>
      <w:hyperlink r:id="rId18">
        <w:r>
          <w:rPr>
            <w:rFonts w:ascii="Calibri" w:hAnsi="Calibri"/>
            <w:color w:val="2E74B5"/>
            <w:u w:val="single"/>
            <w:sz w:val="21"/>
          </w:rPr>
          <w:t>Semgrep</w:t>
        </w:r>
      </w:hyperlink>
      <w:r>
        <w:rPr>
          <w:rFonts w:ascii="Calibri" w:hAnsi="Calibri" w:eastAsia="Calibri"/>
          <w:color w:val="111827"/>
          <w:sz w:val="21"/>
        </w:rPr>
        <w:t>. Official project repository for static source-code analysis. Accessed 4 September 2026.</w:t>
      </w:r>
    </w:p>
    <w:p>
      <w:pPr>
        <w:numPr>
          <w:ilvl w:val="0"/>
          <w:numId w:val="13"/>
        </w:numPr>
        <w:spacing w:after="100"/>
        <w:ind w:left="540" w:hanging="279"/>
      </w:pPr>
      <w:hyperlink r:id="rId19">
        <w:r>
          <w:rPr>
            <w:rFonts w:ascii="Calibri" w:hAnsi="Calibri"/>
            <w:color w:val="2E74B5"/>
            <w:u w:val="single"/>
            <w:sz w:val="21"/>
          </w:rPr>
          <w:t>OWASP Juice Shop</w:t>
        </w:r>
      </w:hyperlink>
      <w:r>
        <w:rPr>
          <w:rFonts w:ascii="Calibri" w:hAnsi="Calibri" w:eastAsia="Calibri"/>
          <w:color w:val="111827"/>
          <w:sz w:val="21"/>
        </w:rPr>
        <w:t>. Intentionally insecure application for authorized training and scanner evaluation. Accessed 4 September 2026.</w:t>
      </w:r>
    </w:p>
    <w:p>
      <w:pPr>
        <w:numPr>
          <w:ilvl w:val="0"/>
          <w:numId w:val="13"/>
        </w:numPr>
        <w:spacing w:after="100"/>
        <w:ind w:left="540" w:hanging="279"/>
      </w:pPr>
      <w:hyperlink r:id="rId20">
        <w:r>
          <w:rPr>
            <w:rFonts w:ascii="Calibri" w:hAnsi="Calibri"/>
            <w:color w:val="2E74B5"/>
            <w:u w:val="single"/>
            <w:sz w:val="21"/>
          </w:rPr>
          <w:t>Cybersecurity Act, 2020 (Act 1038)</w:t>
        </w:r>
      </w:hyperlink>
      <w:r>
        <w:rPr>
          <w:rFonts w:ascii="Calibri" w:hAnsi="Calibri" w:eastAsia="Calibri"/>
          <w:color w:val="111827"/>
          <w:sz w:val="21"/>
        </w:rPr>
        <w:t>. Parliament of Ghana text covering incident reporting, service-provider licensing, professional accreditation and product certification. Accessed 4 September 2026.</w:t>
      </w:r>
    </w:p>
    <w:p>
      <w:pPr>
        <w:numPr>
          <w:ilvl w:val="0"/>
          <w:numId w:val="13"/>
        </w:numPr>
        <w:spacing w:after="100"/>
        <w:ind w:left="540" w:hanging="279"/>
      </w:pPr>
      <w:hyperlink r:id="rId21">
        <w:r>
          <w:rPr>
            <w:rFonts w:ascii="Calibri" w:hAnsi="Calibri"/>
            <w:color w:val="2E74B5"/>
            <w:u w:val="single"/>
            <w:sz w:val="21"/>
          </w:rPr>
          <w:t>Data Protection Commission Ghana</w:t>
        </w:r>
      </w:hyperlink>
      <w:r>
        <w:rPr>
          <w:rFonts w:ascii="Calibri" w:hAnsi="Calibri" w:eastAsia="Calibri"/>
          <w:color w:val="111827"/>
          <w:sz w:val="21"/>
        </w:rPr>
        <w:t>. Official regulator information relevant to obligations under the Data Protection Act, 2012 (Act 843) and Seal's own personal-data processing. Accessed 4 September 2026.</w:t>
      </w:r>
    </w:p>
    <w:p>
      <w:pPr>
        <w:numPr>
          <w:ilvl w:val="0"/>
          <w:numId w:val="13"/>
        </w:numPr>
        <w:spacing w:after="100"/>
        <w:ind w:left="540" w:hanging="279"/>
      </w:pPr>
      <w:hyperlink r:id="rId22">
        <w:r>
          <w:rPr>
            <w:rFonts w:ascii="Calibri" w:hAnsi="Calibri"/>
            <w:color w:val="2E74B5"/>
            <w:u w:val="single"/>
            <w:sz w:val="21"/>
          </w:rPr>
          <w:t>CSA Licensing and Accreditation</w:t>
        </w:r>
      </w:hyperlink>
      <w:r>
        <w:rPr>
          <w:rFonts w:ascii="Calibri" w:hAnsi="Calibri" w:eastAsia="Calibri"/>
          <w:color w:val="111827"/>
          <w:sz w:val="21"/>
        </w:rPr>
        <w:t>. Official scope and commencement information for Cybersecurity Service Providers, Establishments and Professionals, including vulnerability assessment and penetration testing. Accessed 4 September 2026.</w:t>
      </w:r>
    </w:p>
    <w:p>
      <w:pPr>
        <w:numPr>
          <w:ilvl w:val="0"/>
          <w:numId w:val="13"/>
        </w:numPr>
        <w:spacing w:after="100"/>
        <w:ind w:left="540" w:hanging="279"/>
      </w:pPr>
      <w:hyperlink r:id="rId23">
        <w:r>
          <w:rPr>
            <w:rFonts w:ascii="Calibri" w:hAnsi="Calibri"/>
            <w:color w:val="2E74B5"/>
            <w:u w:val="single"/>
            <w:sz w:val="21"/>
          </w:rPr>
          <w:t>CSA Certificate Verification Hub</w:t>
        </w:r>
      </w:hyperlink>
      <w:r>
        <w:rPr>
          <w:rFonts w:ascii="Calibri" w:hAnsi="Calibri" w:eastAsia="Calibri"/>
          <w:color w:val="111827"/>
          <w:sz w:val="21"/>
        </w:rPr>
        <w:t>. Official certificate-number verification route for providers, establishments and professionals. Accessed 4 September 2026.</w:t>
      </w:r>
    </w:p>
    <w:p>
      <w:pPr>
        <w:numPr>
          <w:ilvl w:val="0"/>
          <w:numId w:val="13"/>
        </w:numPr>
        <w:spacing w:after="100"/>
        <w:ind w:left="540" w:hanging="279"/>
      </w:pPr>
      <w:hyperlink r:id="rId24">
        <w:r>
          <w:rPr>
            <w:rFonts w:ascii="Calibri" w:hAnsi="Calibri"/>
            <w:color w:val="2E74B5"/>
            <w:u w:val="single"/>
            <w:sz w:val="21"/>
          </w:rPr>
          <w:t>CSA Enforcement Announcement Coverage</w:t>
        </w:r>
      </w:hyperlink>
      <w:r>
        <w:rPr>
          <w:rFonts w:ascii="Calibri" w:hAnsi="Calibri" w:eastAsia="Calibri"/>
          <w:color w:val="111827"/>
          <w:sz w:val="21"/>
        </w:rPr>
        <w:t>. Report of the Authority's strict enforcement date of 31 January 2026 and consequences for unlicensed or unaccredited operation. Accessed 4 September 2026.</w:t>
      </w:r>
    </w:p>
    <w:p>
      <w:pPr>
        <w:numPr>
          <w:ilvl w:val="0"/>
          <w:numId w:val="13"/>
        </w:numPr>
        <w:spacing w:after="100"/>
        <w:ind w:left="540" w:hanging="279"/>
      </w:pPr>
      <w:hyperlink r:id="rId25">
        <w:r>
          <w:rPr>
            <w:rFonts w:ascii="Calibri" w:hAnsi="Calibri"/>
            <w:color w:val="2E74B5"/>
            <w:u w:val="single"/>
            <w:sz w:val="21"/>
          </w:rPr>
          <w:t>CERT-GH RFC 2350 Profile</w:t>
        </w:r>
      </w:hyperlink>
      <w:r>
        <w:rPr>
          <w:rFonts w:ascii="Calibri" w:hAnsi="Calibri" w:eastAsia="Calibri"/>
          <w:color w:val="111827"/>
          <w:sz w:val="21"/>
        </w:rPr>
        <w:t>. Official incident-response role, contact routes and coordination services. Accessed 4 September 2026.</w:t>
      </w:r>
    </w:p>
    <w:p>
      <w:pPr>
        <w:numPr>
          <w:ilvl w:val="0"/>
          <w:numId w:val="13"/>
        </w:numPr>
        <w:spacing w:after="100"/>
        <w:ind w:left="540" w:hanging="279"/>
      </w:pPr>
      <w:hyperlink r:id="rId26">
        <w:r>
          <w:rPr>
            <w:rFonts w:ascii="Calibri" w:hAnsi="Calibri"/>
            <w:color w:val="2E74B5"/>
            <w:u w:val="single"/>
            <w:sz w:val="21"/>
          </w:rPr>
          <w:t>CVSS v4.0 Specification</w:t>
        </w:r>
      </w:hyperlink>
      <w:r>
        <w:rPr>
          <w:rFonts w:ascii="Calibri" w:hAnsi="Calibri" w:eastAsia="Calibri"/>
          <w:color w:val="111827"/>
          <w:sz w:val="21"/>
        </w:rPr>
        <w:t>. Official FIRST specification for Base, Threat, Environmental and Supplemental metrics and the 0-10 score. Accessed 4 September 2026.</w:t>
      </w:r>
    </w:p>
    <w:p>
      <w:pPr>
        <w:numPr>
          <w:ilvl w:val="0"/>
          <w:numId w:val="13"/>
        </w:numPr>
        <w:spacing w:after="100"/>
        <w:ind w:left="540" w:hanging="279"/>
      </w:pPr>
      <w:hyperlink r:id="rId27">
        <w:r>
          <w:rPr>
            <w:rFonts w:ascii="Calibri" w:hAnsi="Calibri"/>
            <w:color w:val="2E74B5"/>
            <w:u w:val="single"/>
            <w:sz w:val="21"/>
          </w:rPr>
          <w:t>Exploit Prediction Scoring System</w:t>
        </w:r>
      </w:hyperlink>
      <w:r>
        <w:rPr>
          <w:rFonts w:ascii="Calibri" w:hAnsi="Calibri" w:eastAsia="Calibri"/>
          <w:color w:val="111827"/>
          <w:sz w:val="21"/>
        </w:rPr>
        <w:t>. Official FIRST definition and data source for the probability of CVE exploitation in the next 30 days. Accessed 4 September 2026.</w:t>
      </w:r>
    </w:p>
    <w:p>
      <w:pPr>
        <w:numPr>
          <w:ilvl w:val="0"/>
          <w:numId w:val="13"/>
        </w:numPr>
        <w:spacing w:after="100"/>
        <w:ind w:left="540" w:hanging="279"/>
      </w:pPr>
      <w:hyperlink r:id="rId28">
        <w:r>
          <w:rPr>
            <w:rFonts w:ascii="Calibri" w:hAnsi="Calibri"/>
            <w:color w:val="2E74B5"/>
            <w:u w:val="single"/>
            <w:sz w:val="21"/>
          </w:rPr>
          <w:t>CISA Stakeholder-Specific Vulnerability Categorization</w:t>
        </w:r>
      </w:hyperlink>
      <w:r>
        <w:rPr>
          <w:rFonts w:ascii="Calibri" w:hAnsi="Calibri" w:eastAsia="Calibri"/>
          <w:color w:val="111827"/>
          <w:sz w:val="21"/>
        </w:rPr>
        <w:t>. Official decision-tree approach for explainable vulnerability response outcomes. Accessed 4 September 2026.</w:t>
      </w:r>
    </w:p>
    <w:p>
      <w:pPr/>
      <w:r>
        <w:rPr>
          <w:rFonts w:ascii="Calibri" w:hAnsi="Calibri" w:eastAsia="Calibri"/>
          <w:b/>
          <w:color w:val="0B2545"/>
        </w:rPr>
        <w:t>Reference note:</w:t>
      </w:r>
      <w:r>
        <w:rPr>
          <w:rFonts w:ascii="Calibri" w:hAnsi="Calibri" w:eastAsia="Calibri"/>
          <w:color w:val="111827"/>
        </w:rPr>
        <w:t xml:space="preserve"> tool selection is illustrative. Licenses, versions, data sources and security properties must be revalidated and pinned during implementation.</w:t>
      </w:r>
    </w:p>
    <w:p>
      <w:r>
        <w:br w:type="page"/>
      </w:r>
    </w:p>
    <w:p>
      <w:pPr>
        <w:pStyle w:val="Heading1"/>
        <w:keepNext/>
        <w:keepLines/>
      </w:pPr>
      <w:r>
        <w:t>Appendix D. Integrated engineering contracts U01–U14</w:t>
      </w:r>
    </w:p>
    <w:p>
      <w:pPr/>
      <w:r>
        <w:rPr>
          <w:rFonts w:ascii="Calibri" w:hAnsi="Calibri" w:eastAsia="Calibri"/>
          <w:color w:val="111827"/>
        </w:rPr>
        <w:t>Incorporated from the 5 September v1.4 proposal by owner direction. These are implementation-design requirements, not tested capability claims. Candidate choices/thresholds retain their named decision gates. Existing scope exclusions, role separation and legal/data/release conditions prevail. Detailed source lineage is retained in Engineering Specification v1.6. References [R2]–[R7] below are the proposal’s sources, not a new verification of current vendor behavior.</w:t>
      </w:r>
    </w:p>
    <w:tbl>
      <w:tblPr>
        <w:tblStyle w:val="TableGrid"/>
        <w:jc w:val="left"/>
        <w:tblLook w:firstColumn="1" w:firstRow="1" w:lastColumn="0" w:lastRow="0" w:noHBand="0" w:noVBand="1" w:val="04A0"/>
        <w:tblW w:w="9360" w:type="dxa"/>
        <w:tblInd w:w="120" w:type="dxa"/>
        <w:tblLayout w:type="fixed"/>
      </w:tblPr>
      <w:tblGrid>
        <w:gridCol w:w="1600"/>
        <w:gridCol w:w="4160"/>
        <w:gridCol w:w="3600"/>
      </w:tblGrid>
      <w:tr>
        <w:trPr>
          <w:cantSplit/>
          <w:tblHeader w:val="true"/>
          <w:tblHeader w:val="true"/>
        </w:trPr>
        <w:tc>
          <w:tcPr>
            <w:tcW w:type="dxa" w:w="1600"/>
            <w:vAlign w:val="center"/>
            <w:tcMar>
              <w:top w:w="100" w:type="dxa"/>
              <w:start w:w="120" w:type="dxa"/>
              <w:bottom w:w="100" w:type="dxa"/>
              <w:end w:w="120" w:type="dxa"/>
            </w:tcMar>
            <w:shd w:fill="E8EEF5"/>
          </w:tcPr>
          <w:p>
            <w:pPr>
              <w:keepLines/>
              <w:spacing w:before="0" w:after="40" w:line="264" w:lineRule="auto"/>
              <w:jc w:val="center"/>
            </w:pPr>
            <w:r>
              <w:rPr>
                <w:rFonts w:ascii="Calibri" w:hAnsi="Calibri" w:eastAsia="Calibri"/>
                <w:b/>
                <w:color w:val="0B2545"/>
                <w:sz w:val="19"/>
              </w:rPr>
              <w:t>Requirement</w:t>
            </w:r>
          </w:p>
        </w:tc>
        <w:tc>
          <w:tcPr>
            <w:tcW w:type="dxa" w:w="4160"/>
            <w:vAlign w:val="center"/>
            <w:tcMar>
              <w:top w:w="100" w:type="dxa"/>
              <w:start w:w="120" w:type="dxa"/>
              <w:bottom w:w="100" w:type="dxa"/>
              <w:end w:w="120" w:type="dxa"/>
            </w:tcMar>
            <w:shd w:fill="E8EEF5"/>
          </w:tcPr>
          <w:p>
            <w:pPr>
              <w:keepLines/>
              <w:spacing w:before="0" w:after="40" w:line="264" w:lineRule="auto"/>
              <w:jc w:val="center"/>
            </w:pPr>
            <w:r>
              <w:rPr>
                <w:rFonts w:ascii="Calibri" w:hAnsi="Calibri" w:eastAsia="Calibri"/>
                <w:b/>
                <w:color w:val="0B2545"/>
                <w:sz w:val="19"/>
              </w:rPr>
              <w:t>Work packages</w:t>
            </w:r>
          </w:p>
        </w:tc>
        <w:tc>
          <w:tcPr>
            <w:tcW w:type="dxa" w:w="3600"/>
            <w:vAlign w:val="center"/>
            <w:tcMar>
              <w:top w:w="100" w:type="dxa"/>
              <w:start w:w="120" w:type="dxa"/>
              <w:bottom w:w="100" w:type="dxa"/>
              <w:end w:w="120" w:type="dxa"/>
            </w:tcMar>
            <w:shd w:fill="E8EEF5"/>
          </w:tcPr>
          <w:p>
            <w:pPr>
              <w:keepLines/>
              <w:spacing w:before="0" w:after="40" w:line="264" w:lineRule="auto"/>
              <w:jc w:val="center"/>
            </w:pPr>
            <w:r>
              <w:rPr>
                <w:rFonts w:ascii="Calibri" w:hAnsi="Calibri" w:eastAsia="Calibri"/>
                <w:b/>
                <w:color w:val="0B2545"/>
                <w:sz w:val="19"/>
              </w:rPr>
              <w:t>Tests</w:t>
            </w:r>
          </w:p>
        </w:tc>
      </w:tr>
      <w:tr>
        <w:trPr>
          <w:cantSplit/>
        </w:trPr>
        <w:tc>
          <w:tcPr>
            <w:tcW w:type="dxa" w:w="16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U01</w:t>
            </w:r>
          </w:p>
        </w:tc>
        <w:tc>
          <w:tcPr>
            <w:tcW w:type="dxa" w:w="41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F02, F04, F06</w:t>
            </w:r>
          </w:p>
        </w:tc>
        <w:tc>
          <w:tcPr>
            <w:tcW w:type="dxa" w:w="36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T01, T10</w:t>
            </w:r>
          </w:p>
        </w:tc>
      </w:tr>
      <w:tr>
        <w:trPr>
          <w:cantSplit/>
        </w:trPr>
        <w:tc>
          <w:tcPr>
            <w:tcW w:type="dxa" w:w="16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U02</w:t>
            </w:r>
          </w:p>
        </w:tc>
        <w:tc>
          <w:tcPr>
            <w:tcW w:type="dxa" w:w="41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F05, L02</w:t>
            </w:r>
          </w:p>
        </w:tc>
        <w:tc>
          <w:tcPr>
            <w:tcW w:type="dxa" w:w="36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T01, T03, T14</w:t>
            </w:r>
          </w:p>
        </w:tc>
      </w:tr>
      <w:tr>
        <w:trPr>
          <w:cantSplit/>
        </w:trPr>
        <w:tc>
          <w:tcPr>
            <w:tcW w:type="dxa" w:w="16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U03</w:t>
            </w:r>
          </w:p>
        </w:tc>
        <w:tc>
          <w:tcPr>
            <w:tcW w:type="dxa" w:w="41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L01, L02, L03, L05</w:t>
            </w:r>
          </w:p>
        </w:tc>
        <w:tc>
          <w:tcPr>
            <w:tcW w:type="dxa" w:w="36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T04, T07</w:t>
            </w:r>
          </w:p>
        </w:tc>
      </w:tr>
      <w:tr>
        <w:trPr>
          <w:cantSplit/>
        </w:trPr>
        <w:tc>
          <w:tcPr>
            <w:tcW w:type="dxa" w:w="16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U04</w:t>
            </w:r>
          </w:p>
        </w:tc>
        <w:tc>
          <w:tcPr>
            <w:tcW w:type="dxa" w:w="41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W03, F07</w:t>
            </w:r>
          </w:p>
        </w:tc>
        <w:tc>
          <w:tcPr>
            <w:tcW w:type="dxa" w:w="36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T06, T07</w:t>
            </w:r>
          </w:p>
        </w:tc>
      </w:tr>
      <w:tr>
        <w:trPr>
          <w:cantSplit/>
        </w:trPr>
        <w:tc>
          <w:tcPr>
            <w:tcW w:type="dxa" w:w="16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U05</w:t>
            </w:r>
          </w:p>
        </w:tc>
        <w:tc>
          <w:tcPr>
            <w:tcW w:type="dxa" w:w="41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L04, W02, W03</w:t>
            </w:r>
          </w:p>
        </w:tc>
        <w:tc>
          <w:tcPr>
            <w:tcW w:type="dxa" w:w="36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T05, T07</w:t>
            </w:r>
          </w:p>
        </w:tc>
      </w:tr>
      <w:tr>
        <w:trPr>
          <w:cantSplit/>
        </w:trPr>
        <w:tc>
          <w:tcPr>
            <w:tcW w:type="dxa" w:w="16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U06</w:t>
            </w:r>
          </w:p>
        </w:tc>
        <w:tc>
          <w:tcPr>
            <w:tcW w:type="dxa" w:w="41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W01, W02</w:t>
            </w:r>
          </w:p>
        </w:tc>
        <w:tc>
          <w:tcPr>
            <w:tcW w:type="dxa" w:w="36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T14</w:t>
            </w:r>
          </w:p>
        </w:tc>
      </w:tr>
      <w:tr>
        <w:trPr>
          <w:cantSplit/>
        </w:trPr>
        <w:tc>
          <w:tcPr>
            <w:tcW w:type="dxa" w:w="16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U07</w:t>
            </w:r>
          </w:p>
        </w:tc>
        <w:tc>
          <w:tcPr>
            <w:tcW w:type="dxa" w:w="41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F07, H02</w:t>
            </w:r>
          </w:p>
        </w:tc>
        <w:tc>
          <w:tcPr>
            <w:tcW w:type="dxa" w:w="36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T06, T11</w:t>
            </w:r>
          </w:p>
        </w:tc>
      </w:tr>
      <w:tr>
        <w:trPr>
          <w:cantSplit/>
        </w:trPr>
        <w:tc>
          <w:tcPr>
            <w:tcW w:type="dxa" w:w="16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U08</w:t>
            </w:r>
          </w:p>
        </w:tc>
        <w:tc>
          <w:tcPr>
            <w:tcW w:type="dxa" w:w="41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F08, H03</w:t>
            </w:r>
          </w:p>
        </w:tc>
        <w:tc>
          <w:tcPr>
            <w:tcW w:type="dxa" w:w="36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T14</w:t>
            </w:r>
          </w:p>
        </w:tc>
      </w:tr>
      <w:tr>
        <w:trPr>
          <w:cantSplit/>
        </w:trPr>
        <w:tc>
          <w:tcPr>
            <w:tcW w:type="dxa" w:w="16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U09</w:t>
            </w:r>
          </w:p>
        </w:tc>
        <w:tc>
          <w:tcPr>
            <w:tcW w:type="dxa" w:w="41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F02, F03, W04</w:t>
            </w:r>
          </w:p>
        </w:tc>
        <w:tc>
          <w:tcPr>
            <w:tcW w:type="dxa" w:w="36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T02, T14</w:t>
            </w:r>
          </w:p>
        </w:tc>
      </w:tr>
      <w:tr>
        <w:trPr>
          <w:cantSplit/>
        </w:trPr>
        <w:tc>
          <w:tcPr>
            <w:tcW w:type="dxa" w:w="16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U10</w:t>
            </w:r>
          </w:p>
        </w:tc>
        <w:tc>
          <w:tcPr>
            <w:tcW w:type="dxa" w:w="41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F01, L01, L03</w:t>
            </w:r>
          </w:p>
        </w:tc>
        <w:tc>
          <w:tcPr>
            <w:tcW w:type="dxa" w:w="36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T04, T05, T14</w:t>
            </w:r>
          </w:p>
        </w:tc>
      </w:tr>
      <w:tr>
        <w:trPr>
          <w:cantSplit/>
        </w:trPr>
        <w:tc>
          <w:tcPr>
            <w:tcW w:type="dxa" w:w="16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U11</w:t>
            </w:r>
          </w:p>
        </w:tc>
        <w:tc>
          <w:tcPr>
            <w:tcW w:type="dxa" w:w="41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F06, F08, H03</w:t>
            </w:r>
          </w:p>
        </w:tc>
        <w:tc>
          <w:tcPr>
            <w:tcW w:type="dxa" w:w="36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T03, T14</w:t>
            </w:r>
          </w:p>
        </w:tc>
      </w:tr>
      <w:tr>
        <w:trPr>
          <w:cantSplit/>
        </w:trPr>
        <w:tc>
          <w:tcPr>
            <w:tcW w:type="dxa" w:w="16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U12</w:t>
            </w:r>
          </w:p>
        </w:tc>
        <w:tc>
          <w:tcPr>
            <w:tcW w:type="dxa" w:w="41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F06, F07, H02</w:t>
            </w:r>
          </w:p>
        </w:tc>
        <w:tc>
          <w:tcPr>
            <w:tcW w:type="dxa" w:w="36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T10, T11</w:t>
            </w:r>
          </w:p>
        </w:tc>
      </w:tr>
      <w:tr>
        <w:trPr>
          <w:cantSplit/>
        </w:trPr>
        <w:tc>
          <w:tcPr>
            <w:tcW w:type="dxa" w:w="16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U13</w:t>
            </w:r>
          </w:p>
        </w:tc>
        <w:tc>
          <w:tcPr>
            <w:tcW w:type="dxa" w:w="41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W04, W05, O04</w:t>
            </w:r>
          </w:p>
        </w:tc>
        <w:tc>
          <w:tcPr>
            <w:tcW w:type="dxa" w:w="36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T08, T09, T13</w:t>
            </w:r>
          </w:p>
        </w:tc>
      </w:tr>
      <w:tr>
        <w:trPr>
          <w:cantSplit/>
        </w:trPr>
        <w:tc>
          <w:tcPr>
            <w:tcW w:type="dxa" w:w="16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U14</w:t>
            </w:r>
          </w:p>
        </w:tc>
        <w:tc>
          <w:tcPr>
            <w:tcW w:type="dxa" w:w="416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H01, H05, O02, O03</w:t>
            </w:r>
          </w:p>
        </w:tc>
        <w:tc>
          <w:tcPr>
            <w:tcW w:type="dxa" w:w="360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T01–T14</w:t>
            </w:r>
          </w:p>
        </w:tc>
      </w:tr>
    </w:tbl>
    <w:p>
      <w:pPr>
        <w:spacing w:before="0" w:after="80"/>
      </w:pPr>
    </w:p>
    <w:p>
      <w:pPr>
        <w:pStyle w:val="Heading2"/>
        <w:keepNext/>
        <w:keepLines/>
      </w:pPr>
      <w:r>
        <w:t>D. 3. Architecture and authorization contracts</w:t>
      </w:r>
    </w:p>
    <w:p>
      <w:pPr>
        <w:pStyle w:val="Heading3"/>
        <w:keepNext/>
        <w:keepLines/>
      </w:pPr>
      <w:r>
        <w:t>Trusted components</w:t>
      </w:r>
    </w:p>
    <w:p>
      <w:pPr/>
      <w:r>
        <w:rPr>
          <w:rFonts w:ascii="Calibri" w:hAnsi="Calibri" w:eastAsia="Calibri"/>
          <w:color w:val="111827"/>
        </w:rPr>
        <w:t>Retain the proposed Python/FastAPI API, PostgreSQL, Redis/Celery orchestration, restricted scanner containers and role-based web dashboard. Use ZAP for web assessment. Propose Trivy dependency analysis as the second adapter because it provides a concrete package-before/package-after closure scenario; D04 must confirm this choice; it is not selected by this merge. Semgrep remains the alternative, not an additional committed adapter.</w:t>
      </w:r>
    </w:p>
    <w:p>
      <w:pPr/>
      <w:r>
        <w:rPr>
          <w:rFonts w:ascii="Calibri" w:hAnsi="Calibri" w:eastAsia="Calibri"/>
          <w:color w:val="111827"/>
        </w:rPr>
        <w:t>The API authenticates a user and derives organization membership. A policy service evaluates the current authorization and profile. The orchestrator leases a specific job. A separate egress control enforces permitted requests. Workers return untrusted observations to an admission validator; normalization, evidence custody and verification remain in the trusted core. The assurance domain independently stores and checks signed anchors.</w:t>
      </w:r>
    </w:p>
    <w:p>
      <w:pPr>
        <w:pStyle w:val="Heading3"/>
        <w:keepNext/>
        <w:keepLines/>
      </w:pPr>
      <w:r>
        <w:t>U01: Authorization contract</w:t>
      </w:r>
    </w:p>
    <w:p>
      <w:pPr/>
      <w:r>
        <w:rPr>
          <w:rFonts w:ascii="Calibri" w:hAnsi="Calibri" w:eastAsia="Calibri"/>
          <w:color w:val="111827"/>
        </w:rPr>
        <w:t>Store authorization ID, organization, registered target, ownership evidence digest, exact scope and exclusions, allowed methods and profile digest, testing window, requester, separate approver, revision, revocation state and emergency contacts. An amendment creates a new version. Queue entries reference a version; they never silently inherit expanded permissions.</w:t>
      </w:r>
    </w:p>
    <w:p>
      <w:pPr/>
      <w:r>
        <w:rPr>
          <w:rFonts w:ascii="Calibri" w:hAnsi="Calibri" w:eastAsia="Calibri"/>
          <w:color w:val="111827"/>
        </w:rPr>
        <w:t>Check authorization before queueing, at dispatch, after a retry or lease renewal, and before each outbound request. Require a valid organization membership and current approval. Deny missing evidence, expired windows, ambiguous target identity, a stale revision, self-approval or an active stop. A scanner’s assertion that it is authorized is insufficient.</w:t>
      </w:r>
    </w:p>
    <w:p>
      <w:pPr/>
      <w:r>
        <w:rPr>
          <w:rFonts w:ascii="Calibri" w:hAnsi="Calibri" w:eastAsia="Calibri"/>
          <w:color w:val="111827"/>
        </w:rPr>
        <w:t>Revocation invalidates queued work and active leases. Loss of the policy service or current revocation information fails closed. A short-lived execution grant binds organization, job, target, profile, destination limits and expiry; workers cannot mint or extend it. Grant validation belongs at the egress boundary as well as the worker.</w:t>
      </w:r>
    </w:p>
    <w:p>
      <w:pPr>
        <w:pStyle w:val="Heading3"/>
        <w:keepNext/>
        <w:keepLines/>
      </w:pPr>
      <w:r>
        <w:t>Gate separation</w:t>
      </w:r>
    </w:p>
    <w:p>
      <w:pPr/>
      <w:r>
        <w:rPr>
          <w:rFonts w:ascii="Calibri" w:hAnsi="Calibri" w:eastAsia="Calibri"/>
          <w:color w:val="111827"/>
        </w:rPr>
        <w:t>The offline model uses synthetic approval inputs only. No flags in this package grant institutional authority. The real platform must use controlled approval records and verification evidence. External targets remain unavailable until the separate regulatory, privacy and written-target authorization gates are satisfied; production also requires release readiness.</w:t>
      </w:r>
    </w:p>
    <w:p>
      <w:pPr>
        <w:pStyle w:val="Heading2"/>
        <w:keepNext/>
        <w:keepLines/>
      </w:pPr>
      <w:r>
        <w:t>D. 4. Scanner safety and honest coverage</w:t>
      </w:r>
    </w:p>
    <w:p>
      <w:pPr>
        <w:pStyle w:val="Heading3"/>
        <w:keepNext/>
        <w:keepLines/>
      </w:pPr>
      <w:r>
        <w:t>U02: Enforce scope at the network boundary</w:t>
      </w:r>
    </w:p>
    <w:p>
      <w:pPr/>
      <w:r>
        <w:rPr>
          <w:rFonts w:ascii="Calibri" w:hAnsi="Calibri" w:eastAsia="Calibri"/>
          <w:color w:val="111827"/>
        </w:rPr>
        <w:t>Treat the target as an exact registered identity, including scheme, host, port and approved paths. Resolve addresses at execution, evaluate all returned IPv4/IPv6 addresses, bind the approved connection destination, and verify it at connection time. Deny control-plane, metadata and other forbidden destinations. An owned private laboratory address requires explicit registration and an isolated route; private addressing alone is never authorization.</w:t>
      </w:r>
    </w:p>
    <w:p>
      <w:pPr/>
      <w:r>
        <w:rPr>
          <w:rFonts w:ascii="Calibri" w:hAnsi="Calibri" w:eastAsia="Calibri"/>
          <w:color w:val="111827"/>
        </w:rPr>
        <w:t>Do not follow redirects automatically. A proposed redirect must pass a fresh scope decision or stop. Reject ambiguous URL encodings and unsupported schemes. Preserve host/TLS validation when binding an address. Enforce an allowlisted egress route so a compromised worker cannot bypass application checks. OWASP recommends application and network controls and disabling automatic redirect following for SSRF prevention [R2].</w:t>
      </w:r>
    </w:p>
    <w:p>
      <w:pPr/>
      <w:r>
        <w:rPr>
          <w:rFonts w:ascii="Calibri" w:hAnsi="Calibri" w:eastAsia="Calibri"/>
          <w:color w:val="111827"/>
        </w:rPr>
        <w:t>A safe HTTP method alone does not establish safety: even a GET can trigger target-side actions. The reviewed profile must authorize the exact route and behavior. For the first laboratory integration, prefer passive analysis of controlled traffic with bounded request collection. No arbitrary ZAP scripts, active profiles, authentication attempts or user-supplied command arguments are exposed.</w:t>
      </w:r>
    </w:p>
    <w:p>
      <w:pPr/>
      <w:r>
        <w:rPr>
          <w:rFonts w:ascii="Calibri" w:hAnsi="Calibri" w:eastAsia="Calibri"/>
          <w:color w:val="111827"/>
        </w:rPr>
        <w:t>Proposed initial limits are one request per second per target, one in-flight request per target, a 1 MiB response cap and a 10-second request timeout. Treat these as reviewable ceilings, not evidence of harmlessness. Retain v1.3’s 60/45/30-minute web/source/dependency maxima and five-second outbound-stop / thirty-second worker-termination targets.</w:t>
      </w:r>
    </w:p>
    <w:p>
      <w:pPr>
        <w:pStyle w:val="Heading3"/>
        <w:keepNext/>
        <w:keepLines/>
      </w:pPr>
      <w:r>
        <w:t>U03: Coverage contract</w:t>
      </w:r>
    </w:p>
    <w:p>
      <w:pPr/>
      <w:r>
        <w:rPr>
          <w:rFonts w:ascii="Calibri" w:hAnsi="Calibri" w:eastAsia="Calibri"/>
          <w:color w:val="111827"/>
        </w:rPr>
        <w:t>Each job produces a versioned, tamper-evident manifest: target revision, profile and scanner/rule/data digests, start/end, authorized scope, checks attempted, checks completed, findings, skips, errors, truncation and health. Results distinguish Complete, Partial, Failed, Stopped and Not assessed. Unsupported checks cannot be represented as passed checks.</w:t>
      </w:r>
    </w:p>
    <w:p>
      <w:pPr/>
      <w:r>
        <w:rPr>
          <w:rFonts w:ascii="Calibri" w:hAnsi="Calibri" w:eastAsia="Calibri"/>
          <w:color w:val="111827"/>
        </w:rPr>
        <w:t>ZAP’s passiveScan-wait waits for queued passive work; exitStatus can depend on alerts [R3]. Therefore a process exit value alone cannot distinguish a completed clean assessment from partial coverage. Seal must inspect the manifest and expected-check evidence before trusting the result. No live ZAP integration is included in this delivery.</w:t>
      </w:r>
    </w:p>
    <w:p>
      <w:pPr>
        <w:pStyle w:val="Heading2"/>
        <w:keepNext/>
        <w:keepLines/>
      </w:pPr>
      <w:r>
        <w:t>D. 5. Find, fix and prove</w:t>
      </w:r>
    </w:p>
    <w:p>
      <w:pPr>
        <w:pStyle w:val="Heading3"/>
        <w:keepNext/>
        <w:keepLines/>
      </w:pPr>
      <w:r>
        <w:t>U04: Closure is a proof decision</w:t>
      </w:r>
    </w:p>
    <w:p>
      <w:pPr/>
      <w:r>
        <w:rPr>
          <w:rFonts w:ascii="Calibri" w:hAnsi="Calibri" w:eastAsia="Calibri"/>
          <w:color w:val="111827"/>
        </w:rPr>
        <w:t>Require the same organization, target, finding identity and tested control; the approved verification profile; successful coverage; a scan after the recorded fix; the repaired artifact revision; valid authorization; sanitized evidence and digest; and a reviewer independent of both assessor and fixer. A changed rule or profile requires an explicitly reviewed equivalence record rather than silent comparison.</w:t>
      </w:r>
    </w:p>
    <w:p>
      <w:pPr/>
      <w:r>
        <w:rPr>
          <w:rFonts w:ascii="Calibri" w:hAnsi="Calibri" w:eastAsia="Calibri"/>
          <w:color w:val="111827"/>
        </w:rPr>
        <w:t>A timeout, missing manifest, disabled rule, unreachable page, scanner failure, absent package inventory or incomplete result is inconclusive. Keep the finding Verification pending and explain what evidence is missing. For dependencies, prove the relevant manifest was examined and the vulnerable package/version is absent or corrected. For web checks, prove the relevant route/control was reached and evaluated. An empty alert list is insufficient.</w:t>
      </w:r>
    </w:p>
    <w:p>
      <w:pPr/>
      <w:r>
        <w:rPr>
          <w:rFonts w:ascii="Calibri" w:hAnsi="Calibri" w:eastAsia="Calibri"/>
          <w:color w:val="111827"/>
        </w:rPr>
        <w:t>High and Critical closure enters a Closure awaiting anchor verification substate after proof review. Finalize Closed only after an independently verified receipt binds the closure-intent event to the signed external chain head. Finalize atomically against the finding/evidence versions and observation watermark under C01; reject superseded intents. Retry idempotently; never fabricate a receipt. The offline model assumes such a receipt as an input and does not implement this distributed transaction.</w:t>
      </w:r>
    </w:p>
    <w:p>
      <w:pPr>
        <w:pStyle w:val="Heading3"/>
        <w:keepNext/>
        <w:keepLines/>
      </w:pPr>
      <w:r>
        <w:t>U05: Lifecycle and exceptions</w:t>
      </w:r>
    </w:p>
    <w:p>
      <w:pPr/>
      <w:r>
        <w:rPr>
          <w:rFonts w:ascii="Calibri" w:hAnsi="Calibri" w:eastAsia="Calibri"/>
          <w:color w:val="111827"/>
        </w:rPr>
        <w:t>Keep New → Confirmed → Assigned → Remediating → Verification pending → Closed. Repeated is an observation event that preserves the current work state. A matching observation after Closed creates Reopened with fresh assignment and review. Use optimistic concurrency to prevent two reviewers overwriting each other’s decisions.</w:t>
      </w:r>
    </w:p>
    <w:p>
      <w:pPr/>
      <w:r>
        <w:rPr>
          <w:rFonts w:ascii="Calibri" w:hAnsi="Calibri" w:eastAsia="Calibri"/>
          <w:color w:val="111827"/>
        </w:rPr>
        <w:t>Risk accepted, Suppressed and False positive are separate reviewed dispositions, not verified fixes. Record reason, evidence, reviewer, affected scope and expiry. On expiry, restore the previous unresolved state and reassess current priority. A new observation remains visible even while an exception is active. False-positive decisions retain source evidence and can be reversed.</w:t>
      </w:r>
    </w:p>
    <w:p>
      <w:pPr/>
      <w:r>
        <w:rPr>
          <w:rFonts w:ascii="Calibri" w:hAnsi="Calibri" w:eastAsia="Calibri"/>
          <w:color w:val="111827"/>
        </w:rPr>
        <w:t>Identity uses versioned fingerprints from v1.3. For web results, use a reviewed route template; do not guess that unrelated numeric paths are equivalent. Dependency identity excludes build digests but retains them as observation evidence. Alias, merge and split decisions require review, preserve original observations and support reversal. The package demonstrates exact identities and recurrence; alias and exception workflows remain unimplemented.</w:t>
      </w:r>
    </w:p>
    <w:p>
      <w:pPr>
        <w:pStyle w:val="Heading2"/>
        <w:keepNext/>
        <w:keepLines/>
      </w:pPr>
      <w:r>
        <w:t>D. 6. Explainable prioritization and action</w:t>
      </w:r>
    </w:p>
    <w:p>
      <w:pPr>
        <w:pStyle w:val="Heading3"/>
        <w:keepNext/>
        <w:keepLines/>
      </w:pPr>
      <w:r>
        <w:t>U06: Preserve four distinct dimensions</w:t>
      </w:r>
    </w:p>
    <w:p>
      <w:pPr/>
      <w:r>
        <w:rPr>
          <w:rFonts w:ascii="Calibri" w:hAnsi="Calibri" w:eastAsia="Calibri"/>
          <w:color w:val="111827"/>
        </w:rPr>
        <w:t>Retain source-reported CVSS vector and score unchanged; store any environment-adjusted vector and score separately. CVSS has distinct metric groups [R4]. Preserve dated EPSS probability and percentile; missing data is Unknown. FIRST describes EPSS as a daily probability of exploitation in the next 30 days and advises against multiplying it by CVSS [R5]. Evidence confidence controls validation urgency without reducing severity or concealing urgent risk.</w:t>
      </w:r>
    </w:p>
    <w:p>
      <w:pPr>
        <w:pStyle w:val="Heading3"/>
        <w:keepNext/>
        <w:keepLines/>
      </w:pPr>
      <w:r>
        <w:t>Proposed Seal priority policy v1</w:t>
      </w:r>
    </w:p>
    <w:tbl>
      <w:tblPr>
        <w:tblStyle w:val="TableGrid"/>
        <w:jc w:val="left"/>
        <w:tblLook w:firstColumn="1" w:firstRow="1" w:lastColumn="0" w:lastRow="0" w:noHBand="0" w:noVBand="1" w:val="04A0"/>
        <w:tblW w:w="9360" w:type="dxa"/>
        <w:tblInd w:w="120" w:type="dxa"/>
        <w:tblLayout w:type="fixed"/>
      </w:tblPr>
      <w:tblGrid>
        <w:gridCol w:w="4680"/>
        <w:gridCol w:w="4680"/>
      </w:tblGrid>
      <w:tr>
        <w:trPr>
          <w:cantSplit/>
          <w:tblHeader w:val="true"/>
          <w:tblHeader w:val="true"/>
        </w:trPr>
        <w:tc>
          <w:tcPr>
            <w:tcW w:type="dxa" w:w="4680"/>
            <w:vAlign w:val="center"/>
            <w:tcMar>
              <w:top w:w="100" w:type="dxa"/>
              <w:start w:w="120" w:type="dxa"/>
              <w:bottom w:w="100" w:type="dxa"/>
              <w:end w:w="120" w:type="dxa"/>
            </w:tcMar>
            <w:shd w:fill="E8EEF5"/>
          </w:tcPr>
          <w:p>
            <w:pPr>
              <w:keepLines/>
              <w:spacing w:before="0" w:after="40" w:line="264" w:lineRule="auto"/>
              <w:jc w:val="left"/>
            </w:pPr>
            <w:r>
              <w:rPr>
                <w:rFonts w:ascii="Calibri" w:hAnsi="Calibri" w:eastAsia="Calibri"/>
                <w:b/>
                <w:color w:val="0B2545"/>
                <w:sz w:val="19"/>
              </w:rPr>
              <w:t>Evaluate in this order</w:t>
            </w:r>
          </w:p>
        </w:tc>
        <w:tc>
          <w:tcPr>
            <w:tcW w:type="dxa" w:w="4680"/>
            <w:vAlign w:val="center"/>
            <w:tcMar>
              <w:top w:w="100" w:type="dxa"/>
              <w:start w:w="120" w:type="dxa"/>
              <w:bottom w:w="100" w:type="dxa"/>
              <w:end w:w="120" w:type="dxa"/>
            </w:tcMar>
            <w:shd w:fill="E8EEF5"/>
          </w:tcPr>
          <w:p>
            <w:pPr>
              <w:keepLines/>
              <w:spacing w:before="0" w:after="40" w:line="264" w:lineRule="auto"/>
              <w:jc w:val="center"/>
            </w:pPr>
            <w:r>
              <w:rPr>
                <w:rFonts w:ascii="Calibri" w:hAnsi="Calibri" w:eastAsia="Calibri"/>
                <w:b/>
                <w:color w:val="0B2545"/>
                <w:sz w:val="19"/>
              </w:rPr>
              <w:t>Outcome</w:t>
            </w:r>
          </w:p>
        </w:tc>
      </w:tr>
      <w:tr>
        <w:trPr>
          <w:cantSplit/>
        </w:trPr>
        <w:tc>
          <w:tcPr>
            <w:tcW w:type="dxa" w:w="468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Known exploitation plus exposure or serious mission/safety impact</w:t>
            </w:r>
          </w:p>
        </w:tc>
        <w:tc>
          <w:tcPr>
            <w:tcW w:type="dxa" w:w="468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Act</w:t>
            </w:r>
          </w:p>
        </w:tc>
      </w:tr>
      <w:tr>
        <w:trPr>
          <w:cantSplit/>
        </w:trPr>
        <w:tc>
          <w:tcPr>
            <w:tcW w:type="dxa" w:w="468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Known exploitation, serious impact, severity ≥9, or exposed severity ≥7</w:t>
            </w:r>
          </w:p>
        </w:tc>
        <w:tc>
          <w:tcPr>
            <w:tcW w:type="dxa" w:w="468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Attend</w:t>
            </w:r>
          </w:p>
        </w:tc>
      </w:tr>
      <w:tr>
        <w:trPr>
          <w:cantSplit/>
        </w:trPr>
        <w:tc>
          <w:tcPr>
            <w:tcW w:type="dxa" w:w="468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Exposed and fresh EPSS ≥0.10</w:t>
            </w:r>
          </w:p>
        </w:tc>
        <w:tc>
          <w:tcPr>
            <w:tcW w:type="dxa" w:w="468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Attend</w:t>
            </w:r>
          </w:p>
        </w:tc>
      </w:tr>
      <w:tr>
        <w:trPr>
          <w:cantSplit/>
        </w:trPr>
        <w:tc>
          <w:tcPr>
            <w:tcW w:type="dxa" w:w="468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Severity ≥4 or exposed</w:t>
            </w:r>
          </w:p>
        </w:tc>
        <w:tc>
          <w:tcPr>
            <w:tcW w:type="dxa" w:w="468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Track*</w:t>
            </w:r>
          </w:p>
        </w:tc>
      </w:tr>
      <w:tr>
        <w:trPr>
          <w:cantSplit/>
        </w:trPr>
        <w:tc>
          <w:tcPr>
            <w:tcW w:type="dxa" w:w="468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Otherwise, on complete context</w:t>
            </w:r>
          </w:p>
        </w:tc>
        <w:tc>
          <w:tcPr>
            <w:tcW w:type="dxa" w:w="468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Track</w:t>
            </w:r>
          </w:p>
        </w:tc>
      </w:tr>
    </w:tbl>
    <w:p>
      <w:pPr>
        <w:spacing w:before="0" w:after="80"/>
      </w:pPr>
    </w:p>
    <w:p>
      <w:pPr/>
      <w:r>
        <w:rPr>
          <w:rFonts w:ascii="Calibri" w:hAnsi="Calibri" w:eastAsia="Calibri"/>
          <w:color w:val="111827"/>
        </w:rPr>
        <w:t>This is Seal’s proposed SSVC-style decision tree, not a claim to implement the official CISA tree. The 0.10 EPSS threshold and 48-hour freshness limit require security-lead review. Unknown exposure, impact or severity requires triage; it must not default to the least urgent branch. The executable model requires explicit context and does not consume live threat feeds.</w:t>
      </w:r>
    </w:p>
    <w:p>
      <w:pPr>
        <w:pStyle w:val="Heading3"/>
        <w:keepNext/>
        <w:keepLines/>
      </w:pPr>
      <w:r>
        <w:t>Assignment and exceptions</w:t>
      </w:r>
    </w:p>
    <w:p>
      <w:pPr/>
      <w:r>
        <w:rPr>
          <w:rFonts w:ascii="Calibri" w:hAnsi="Calibri" w:eastAsia="Calibri"/>
          <w:color w:val="111827"/>
        </w:rPr>
        <w:t>Propose acknowledgement targets of four hours for Act, one business day for Attend, five business days for Track*, and the next planned review for Track. These are workflow proposals, not new legal deadlines or replacements for institutional service targets. The combined plan must select remediation deadlines appropriate to asset impact and the approved frameworks before enabling automatic overdue escalation.</w:t>
      </w:r>
    </w:p>
    <w:p>
      <w:pPr/>
      <w:r>
        <w:rPr>
          <w:rFonts w:ascii="Calibri" w:hAnsi="Calibri" w:eastAsia="Calibri"/>
          <w:color w:val="111827"/>
        </w:rPr>
        <w:t>Every override retains old/new outcome, policy version, named reviewer, reason, evidence, creation time and expiry. Known exploitation or serious impact cannot fall below Attend without an approved exception. Low-confidence High/Critical findings enter urgent validation immediately. Expired overrides trigger recalculation and visible escalation; they never permanently rewrite imported observations.</w:t>
      </w:r>
    </w:p>
    <w:p>
      <w:pPr/>
      <w:r>
        <w:rPr>
          <w:rFonts w:ascii="Calibri" w:hAnsi="Calibri" w:eastAsia="Calibri"/>
          <w:color w:val="111827"/>
        </w:rPr>
        <w:t>Show severity, likelihood date, priority reason, confidence, owner, deadline and exception status together. Do not replace them with a single “security score.”</w:t>
      </w:r>
    </w:p>
    <w:p>
      <w:pPr>
        <w:pStyle w:val="Heading2"/>
        <w:keepNext/>
        <w:keepLines/>
      </w:pPr>
      <w:r>
        <w:t>D. 7. Evidence, tenant isolation and audit trust</w:t>
      </w:r>
    </w:p>
    <w:p>
      <w:pPr>
        <w:pStyle w:val="Heading3"/>
        <w:keepNext/>
        <w:keepLines/>
      </w:pPr>
      <w:r>
        <w:t>U07–U08: Evidence custody and anchor failure</w:t>
      </w:r>
    </w:p>
    <w:p>
      <w:pPr/>
      <w:r>
        <w:rPr>
          <w:rFonts w:ascii="Calibri" w:hAnsi="Calibri" w:eastAsia="Calibri"/>
          <w:color w:val="111827"/>
        </w:rPr>
        <w:t>Maintain the v1.3 hash chain and separately controlled signed sink: at least every fifteen minutes, at scan completion, and immediately for authorization, override, High/Critical closure, incident and audit-control events. Retain the NOLOGIN seal_audit_owner with no issued credentials, no routine assumption and two-person break-glass control. These remain implementation requirements, not properties of the local chain example.</w:t>
      </w:r>
    </w:p>
    <w:p>
      <w:pPr/>
      <w:r>
        <w:rPr>
          <w:rFonts w:ascii="Calibri" w:hAnsi="Calibri" w:eastAsia="Calibri"/>
          <w:color w:val="111827"/>
        </w:rPr>
        <w:t>Commit accepted audit events durably before acknowledgement and record a transactional anchor-outbox item. Retries use sequence/head idempotency. Verify sink receipts and reconcile backlog independently. On signature failure, chain mismatch or an overdue fifteen-minute anchor, deny new jobs and high-risk closure, stop active assessment under C02 and alert assurance. Preserve permitted evidence and stop controls during the outage. Test receipt loss, sink failure, replay, reordering and rewrite before claiming integrity.</w:t>
      </w:r>
    </w:p>
    <w:p>
      <w:pPr/>
      <w:r>
        <w:rPr>
          <w:rFonts w:ascii="Calibri" w:hAnsi="Calibri" w:eastAsia="Calibri"/>
          <w:color w:val="111827"/>
        </w:rPr>
        <w:t>Minimize at collection; sanitize before ordinary retention. Prefer structured allowlisted metadata over raw response bodies. Quarantine suspected secrets in a restricted, short-lived path only when justified by the approved privacy design; never expose them in logs, exports or fixtures. Record content digests, collection lineage and access history. Use encryption with separated key administration. Honor incident/legal holds before deletion; record disposal outcomes without retaining the deleted sensitive content.</w:t>
      </w:r>
    </w:p>
    <w:p>
      <w:pPr/>
      <w:r>
        <w:rPr>
          <w:rFonts w:ascii="Calibri" w:hAnsi="Calibri" w:eastAsia="Calibri"/>
          <w:color w:val="111827"/>
        </w:rPr>
        <w:t>Retain v1.3 section 11.1’s exact category schedule, including seven-year project/assurance minima, product-life-plus-three-year technical records with the stated floor, and necessity-based raw evidence. A full retention mapping and privacy assessment remain due; this proposal grants no data-admission approval.</w:t>
      </w:r>
    </w:p>
    <w:p>
      <w:pPr>
        <w:pStyle w:val="Heading3"/>
        <w:keepNext/>
        <w:keepLines/>
      </w:pPr>
      <w:r>
        <w:t>U09: Identity and organization boundaries</w:t>
      </w:r>
    </w:p>
    <w:p>
      <w:pPr/>
      <w:r>
        <w:rPr>
          <w:rFonts w:ascii="Calibri" w:hAnsi="Calibri" w:eastAsia="Calibri"/>
          <w:color w:val="111827"/>
        </w:rPr>
        <w:t>Use privileged MFA and short-lived worker identities. Derive organization from authenticated membership; do not trust body or URL fields alone. Enforce it on API access, background jobs, object keys, caches, signed downloads and exports. Apply PostgreSQL RLS with USING and WITH CHECK and tenant-qualified relationships. Runtime roles must not own tables, be superusers or have BYPASSRLS; use FORCE RLS where required. PostgreSQL documents owner and privileged-role bypass behavior [R6].</w:t>
      </w:r>
    </w:p>
    <w:p>
      <w:pPr/>
      <w:r>
        <w:rPr>
          <w:rFonts w:ascii="Calibri" w:hAnsi="Calibri" w:eastAsia="Calibri"/>
          <w:color w:val="111827"/>
        </w:rPr>
        <w:t>RLS is defense in depth, not protection against a fully compromised trusted API able to choose tenant context. Independently test the identity-to-context boundary, connection-pool reuse and worker paths. The package’s organization comparisons do not test PostgreSQL or production tenant isolation.</w:t>
      </w:r>
    </w:p>
    <w:p>
      <w:pPr>
        <w:pStyle w:val="Heading2"/>
        <w:keepNext/>
        <w:keepLines/>
      </w:pPr>
      <w:r>
        <w:t>D. 8. Supply chain, incidents and recovery</w:t>
      </w:r>
    </w:p>
    <w:p>
      <w:pPr>
        <w:pStyle w:val="Heading3"/>
        <w:keepNext/>
        <w:keepLines/>
      </w:pPr>
      <w:r>
        <w:t>U10: Reproducible scanner admission</w:t>
      </w:r>
    </w:p>
    <w:p>
      <w:pPr/>
      <w:r>
        <w:rPr>
          <w:rFonts w:ascii="Calibri" w:hAnsi="Calibri" w:eastAsia="Calibri"/>
          <w:color w:val="111827"/>
        </w:rPr>
        <w:t>Record scanner image digest, signature/provenance verification, license review, rule digest, advisory database digest and timestamp, adapter version, schema version and transformation version. Reject an unapproved combination. Workers run without root, unnecessary capabilities, host mounts or a container-engine socket; bound CPU, memory, disk, process count, output size and network access.</w:t>
      </w:r>
    </w:p>
    <w:p>
      <w:pPr/>
      <w:r>
        <w:rPr>
          <w:rFonts w:ascii="Calibri" w:hAnsi="Calibri" w:eastAsia="Calibri"/>
          <w:color w:val="111827"/>
        </w:rPr>
        <w:t>Treat scanner output as untrusted data. Validate types, sizes, enumerations and tenant/job bindings; reject path traversal and unsafe object references. Escape display content and guard CSV formula cells. A content field cannot invoke a tool or alter policy. Keep vulnerability scanning distinct from Trivy’s other scanner capabilities [R7]; configuration coverage remains deferred. Exact versions and licenses must be selected and pinned during implementation, not inferred from this proposal.</w:t>
      </w:r>
    </w:p>
    <w:p>
      <w:pPr>
        <w:pStyle w:val="Heading3"/>
        <w:keepNext/>
        <w:keepLines/>
      </w:pPr>
      <w:r>
        <w:t>U11: Incident path</w:t>
      </w:r>
    </w:p>
    <w:p>
      <w:pPr/>
      <w:r>
        <w:rPr>
          <w:rFonts w:ascii="Calibri" w:hAnsi="Calibri" w:eastAsia="Calibri"/>
          <w:color w:val="111827"/>
        </w:rPr>
        <w:t>An active-compromise signal halts assessment and persists the stop state, detection time, limited evidence, custody and hold. Route to the named coordinator and target-owner contacts in the authorization. Record acknowledgement, containment decision and legal/CERT reporting decision. Do not autonomously contact external parties without explicit delegated authority.</w:t>
      </w:r>
    </w:p>
    <w:p>
      <w:pPr/>
      <w:r>
        <w:rPr>
          <w:rFonts w:ascii="Calibri" w:hAnsi="Calibri" w:eastAsia="Calibri"/>
          <w:color w:val="111827"/>
        </w:rPr>
        <w:t>Carry forward v1.3’s potential twenty-four-hour reporting-clock consideration as a baseline legal-review requirement. This proposal makes no new determination of Ghanaian law. Counsel must confirm applicable duties and deadlines. Pending guidance must be visibly owned and escalated, never silently treated as approval.</w:t>
      </w:r>
    </w:p>
    <w:p>
      <w:pPr>
        <w:pStyle w:val="Heading3"/>
        <w:keepNext/>
        <w:keepLines/>
      </w:pPr>
      <w:r>
        <w:t>U12: Safe recovery</w:t>
      </w:r>
    </w:p>
    <w:p>
      <w:pPr/>
      <w:r>
        <w:rPr>
          <w:rFonts w:ascii="Calibri" w:hAnsi="Calibri" w:eastAsia="Calibri"/>
          <w:color w:val="111827"/>
        </w:rPr>
        <w:t>Queue messages carry an idempotency key and lease generation. Only one current lease may execute a job. A retry rechecks authorization, revocation, profile, stop state and remaining budget; it does not replay a prior HTTP request automatically. Persist checkpoints without credentials or raw private responses. A stopped job remains stopped across restarts.</w:t>
      </w:r>
    </w:p>
    <w:p>
      <w:pPr/>
      <w:r>
        <w:rPr>
          <w:rFonts w:ascii="Calibri" w:hAnsi="Calibri" w:eastAsia="Calibri"/>
          <w:color w:val="111827"/>
        </w:rPr>
        <w:t>Preserve v1.3’s zero-event-loss-after-acknowledgement audit goal, thirty-second failed-worker detection, five-minute safe fail/resume decision and fifteen-minute queue/worker recovery target. Demonstrate these with forced crashes and storage/queue outages. Restore encrypted backups in an isolated environment, reconcile external anchors, and verify evidence digests before reopening jobs. A backup existing is not proof that recovery works.</w:t>
      </w:r>
    </w:p>
    <w:p>
      <w:pPr>
        <w:pStyle w:val="Heading2"/>
        <w:keepNext/>
        <w:keepLines/>
      </w:pPr>
      <w:r>
        <w:t>D. 9. User workflow and meaningful security measures</w:t>
      </w:r>
    </w:p>
    <w:p>
      <w:pPr>
        <w:pStyle w:val="Heading3"/>
        <w:keepNext/>
        <w:keepLines/>
      </w:pPr>
      <w:r>
        <w:t>U13: Make the next action obvious</w:t>
      </w:r>
    </w:p>
    <w:p>
      <w:pPr/>
      <w:r>
        <w:rPr>
          <w:rFonts w:ascii="Calibri" w:hAnsi="Calibri" w:eastAsia="Calibri"/>
          <w:color w:val="111827"/>
        </w:rPr>
        <w:t>The assessor starts with an asset, written permission, approved profile and coverage expectation. The scope screen explains denied conditions before submission. A running assessment shows request budget, health, current authorization and an accessible stop control. Partial or stopped work remains visibly incomplete.</w:t>
      </w:r>
    </w:p>
    <w:p>
      <w:pPr/>
      <w:r>
        <w:rPr>
          <w:rFonts w:ascii="Calibri" w:hAnsi="Calibri" w:eastAsia="Calibri"/>
          <w:color w:val="111827"/>
        </w:rPr>
        <w:t>The remediation owner receives a confirmed finding with impact, sanitized evidence, an explanation of priority, a concrete suggested correction, due date and proof required. The owner records a change reference and regression-test outcome, then requests verification. Seal does not alter the target or merge a patch autonomously.</w:t>
      </w:r>
    </w:p>
    <w:p>
      <w:pPr/>
      <w:r>
        <w:rPr>
          <w:rFonts w:ascii="Calibri" w:hAnsi="Calibri" w:eastAsia="Calibri"/>
          <w:color w:val="111827"/>
        </w:rPr>
        <w:t>The reviewer sees before/after revision, relevant check coverage, evidence validity, rule/profile compatibility, separation of duties and anchor status. The decision is Close, Reopen, or Inconclusive with a reason. Approval cannot be inferred from viewing the page or from the fixer marking work done.</w:t>
      </w:r>
    </w:p>
    <w:p>
      <w:pPr/>
      <w:r>
        <w:rPr>
          <w:rFonts w:ascii="Calibri" w:hAnsi="Calibri" w:eastAsia="Calibri"/>
          <w:color w:val="111827"/>
        </w:rPr>
        <w:t>Managers see unresolved exposure and accountable work. Reviewers see control evidence and exceptions. Administrators see platform health and profile admissions. Executive viewers receive summaries without unnecessary raw evidence. Preserve keyboard access, structured headings and readable contrast in implementation.</w:t>
      </w:r>
    </w:p>
    <w:p>
      <w:pPr>
        <w:pStyle w:val="Heading3"/>
        <w:keepNext/>
        <w:keepLines/>
      </w:pPr>
      <w:r>
        <w:t>Dashboard definitions</w:t>
      </w:r>
    </w:p>
    <w:tbl>
      <w:tblPr>
        <w:tblStyle w:val="TableGrid"/>
        <w:jc w:val="left"/>
        <w:tblLook w:firstColumn="1" w:firstRow="1" w:lastColumn="0" w:lastRow="0" w:noHBand="0" w:noVBand="1" w:val="04A0"/>
        <w:tblW w:w="9360" w:type="dxa"/>
        <w:tblInd w:w="120" w:type="dxa"/>
        <w:tblLayout w:type="fixed"/>
      </w:tblPr>
      <w:tblGrid>
        <w:gridCol w:w="4680"/>
        <w:gridCol w:w="4680"/>
      </w:tblGrid>
      <w:tr>
        <w:trPr>
          <w:cantSplit/>
          <w:tblHeader w:val="true"/>
          <w:tblHeader w:val="true"/>
        </w:trPr>
        <w:tc>
          <w:tcPr>
            <w:tcW w:type="dxa" w:w="4680"/>
            <w:vAlign w:val="center"/>
            <w:tcMar>
              <w:top w:w="100" w:type="dxa"/>
              <w:start w:w="120" w:type="dxa"/>
              <w:bottom w:w="100" w:type="dxa"/>
              <w:end w:w="120" w:type="dxa"/>
            </w:tcMar>
            <w:shd w:fill="E8EEF5"/>
          </w:tcPr>
          <w:p>
            <w:pPr>
              <w:keepLines/>
              <w:spacing w:before="0" w:after="40" w:line="264" w:lineRule="auto"/>
              <w:jc w:val="center"/>
            </w:pPr>
            <w:r>
              <w:rPr>
                <w:rFonts w:ascii="Calibri" w:hAnsi="Calibri" w:eastAsia="Calibri"/>
                <w:b/>
                <w:color w:val="0B2545"/>
                <w:sz w:val="19"/>
              </w:rPr>
              <w:t>Measure</w:t>
            </w:r>
          </w:p>
        </w:tc>
        <w:tc>
          <w:tcPr>
            <w:tcW w:type="dxa" w:w="4680"/>
            <w:vAlign w:val="center"/>
            <w:tcMar>
              <w:top w:w="100" w:type="dxa"/>
              <w:start w:w="120" w:type="dxa"/>
              <w:bottom w:w="100" w:type="dxa"/>
              <w:end w:w="120" w:type="dxa"/>
            </w:tcMar>
            <w:shd w:fill="E8EEF5"/>
          </w:tcPr>
          <w:p>
            <w:pPr>
              <w:keepLines/>
              <w:spacing w:before="0" w:after="40" w:line="264" w:lineRule="auto"/>
              <w:jc w:val="left"/>
            </w:pPr>
            <w:r>
              <w:rPr>
                <w:rFonts w:ascii="Calibri" w:hAnsi="Calibri" w:eastAsia="Calibri"/>
                <w:b/>
                <w:color w:val="0B2545"/>
                <w:sz w:val="19"/>
              </w:rPr>
              <w:t>Calculation or reporting rule</w:t>
            </w:r>
          </w:p>
        </w:tc>
      </w:tr>
      <w:tr>
        <w:trPr>
          <w:cantSplit/>
        </w:trPr>
        <w:tc>
          <w:tcPr>
            <w:tcW w:type="dxa" w:w="468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Verified closure rate</w:t>
            </w:r>
          </w:p>
        </w:tc>
        <w:tc>
          <w:tcPr>
            <w:tcW w:type="dxa" w:w="468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Currently verified Closed / all confirmed findings in the declared cohort. Accepted/suppressed risks remain in the denominator, never the numerator; report them separately.</w:t>
            </w:r>
          </w:p>
        </w:tc>
      </w:tr>
      <w:tr>
        <w:trPr>
          <w:cantSplit/>
        </w:trPr>
        <w:tc>
          <w:tcPr>
            <w:tcW w:type="dxa" w:w="468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Time to verified closure</w:t>
            </w:r>
          </w:p>
        </w:tc>
        <w:tc>
          <w:tcPr>
            <w:tcW w:type="dxa" w:w="468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Median and p90 from confirmation to final closure; report unresolved age separately</w:t>
            </w:r>
          </w:p>
        </w:tc>
      </w:tr>
      <w:tr>
        <w:trPr>
          <w:cantSplit/>
        </w:trPr>
        <w:tc>
          <w:tcPr>
            <w:tcW w:type="dxa" w:w="468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Reopen rate</w:t>
            </w:r>
          </w:p>
        </w:tc>
        <w:tc>
          <w:tcPr>
            <w:tcW w:type="dxa" w:w="468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Previously verified closures that recur / closures eligible for follow-up, with window shown</w:t>
            </w:r>
          </w:p>
        </w:tc>
      </w:tr>
      <w:tr>
        <w:trPr>
          <w:cantSplit/>
        </w:trPr>
        <w:tc>
          <w:tcPr>
            <w:tcW w:type="dxa" w:w="468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Assessed coverage</w:t>
            </w:r>
          </w:p>
        </w:tc>
        <w:tc>
          <w:tcPr>
            <w:tcW w:type="dxa" w:w="468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Completed approved checks / expected approved checks; show unsupported scope separately</w:t>
            </w:r>
          </w:p>
        </w:tc>
      </w:tr>
      <w:tr>
        <w:trPr>
          <w:cantSplit/>
        </w:trPr>
        <w:tc>
          <w:tcPr>
            <w:tcW w:type="dxa" w:w="468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Assigned-finding invalidation</w:t>
            </w:r>
          </w:p>
        </w:tc>
        <w:tc>
          <w:tcPr>
            <w:tcW w:type="dxa" w:w="468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Assigned findings later invalidated / assigned findings in the reported cohort</w:t>
            </w:r>
          </w:p>
        </w:tc>
      </w:tr>
      <w:tr>
        <w:trPr>
          <w:cantSplit/>
        </w:trPr>
        <w:tc>
          <w:tcPr>
            <w:tcW w:type="dxa" w:w="468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Control health</w:t>
            </w:r>
          </w:p>
        </w:tc>
        <w:tc>
          <w:tcPr>
            <w:tcW w:type="dxa" w:w="4680"/>
            <w:tcMar>
              <w:top w:w="100" w:type="dxa"/>
              <w:start w:w="120" w:type="dxa"/>
              <w:bottom w:w="100" w:type="dxa"/>
              <w:end w:w="120" w:type="dxa"/>
            </w:tcMar>
            <w:vAlign w:val="center"/>
          </w:tcPr>
          <w:p>
            <w:pPr>
              <w:keepLines/>
              <w:spacing w:before="0" w:after="40" w:line="264" w:lineRule="auto"/>
              <w:jc w:val="left"/>
            </w:pPr>
            <w:r>
              <w:rPr>
                <w:rFonts w:ascii="Calibri" w:hAnsi="Calibri" w:eastAsia="Calibri"/>
                <w:b w:val="0"/>
                <w:color w:val="111827"/>
                <w:sz w:val="18"/>
              </w:rPr>
              <w:t>Authorization denials, stop performance, anchor lag and integrity incidents</w:t>
            </w:r>
          </w:p>
        </w:tc>
      </w:tr>
    </w:tbl>
    <w:p>
      <w:pPr>
        <w:spacing w:before="0" w:after="80"/>
      </w:pPr>
    </w:p>
    <w:p>
      <w:pPr/>
      <w:r>
        <w:rPr>
          <w:rFonts w:ascii="Calibri" w:hAnsi="Calibri" w:eastAsia="Calibri"/>
          <w:color w:val="111827"/>
        </w:rPr>
        <w:t>Display denominators, observation windows and sample size. A zero denominator is Not available. Report new, recurring and long-standing weaknesses separately. Never count risk acceptance as exposure removed, or a skipped check as a successful assessment. Any future protection claim must state scope and measured evidence.</w:t>
      </w:r>
    </w:p>
    <w:p>
      <w:pPr>
        <w:pStyle w:val="Heading2"/>
        <w:keepNext/>
        <w:keepLines/>
      </w:pPr>
      <w:r>
        <w:t>D.10 Source and validation boundaries</w:t>
      </w:r>
    </w:p>
    <w:p>
      <w:pPr/>
      <w:r>
        <w:rPr>
          <w:rFonts w:ascii="Calibri" w:hAnsi="Calibri" w:eastAsia="Calibri"/>
          <w:color w:val="111827"/>
        </w:rPr>
        <w:t>[R2] OWASP, Server-Side Request Forgery Prevention Cheat Sheet. Application/network controls and redirect handling. https://cheatsheetseries.owasp.org/cheatsheets/Server_Side_Request_Forgery_Prevention_Cheat_Sheet.html</w:t>
      </w:r>
    </w:p>
    <w:p>
      <w:pPr/>
      <w:r>
        <w:rPr>
          <w:rFonts w:ascii="Calibri" w:hAnsi="Calibri" w:eastAsia="Calibri"/>
          <w:color w:val="111827"/>
        </w:rPr>
        <w:t>[R3] ZAP, passiveScan-wait and exitStatus jobs. https://www.zaproxy.org/docs/desktop/addons/automation-framework/job-pscanwait/ and https://www.zaproxy.org/docs/desktop/addons/automation-framework/job-exitstatus/</w:t>
      </w:r>
    </w:p>
    <w:p>
      <w:pPr/>
      <w:r>
        <w:rPr>
          <w:rFonts w:ascii="Calibri" w:hAnsi="Calibri" w:eastAsia="Calibri"/>
          <w:color w:val="111827"/>
        </w:rPr>
        <w:t>[R4] FIRST, CVSS v4.0 Specification. https://www.first.org/cvss/v4.0/specification-document</w:t>
      </w:r>
    </w:p>
    <w:p>
      <w:pPr/>
      <w:r>
        <w:rPr>
          <w:rFonts w:ascii="Calibri" w:hAnsi="Calibri" w:eastAsia="Calibri"/>
          <w:color w:val="111827"/>
        </w:rPr>
        <w:t>[R5] FIRST, EPSS FAQ and Using EPSS. https://www.first.org/epss/faq and https://www.first.org/epss/using-epss</w:t>
      </w:r>
    </w:p>
    <w:p>
      <w:pPr/>
      <w:r>
        <w:rPr>
          <w:rFonts w:ascii="Calibri" w:hAnsi="Calibri" w:eastAsia="Calibri"/>
          <w:color w:val="111827"/>
        </w:rPr>
        <w:t>[R6] PostgreSQL, Row Security Policies. https://www.postgresql.org/docs/current/ddl-rowsecurity.html</w:t>
      </w:r>
    </w:p>
    <w:p>
      <w:pPr/>
      <w:r>
        <w:rPr>
          <w:rFonts w:ascii="Calibri" w:hAnsi="Calibri" w:eastAsia="Calibri"/>
          <w:color w:val="111827"/>
        </w:rPr>
        <w:t>[R7] Trivy, Vulnerability Scanner documentation. https://trivy.dev/docs/latest/scanner/vulnerability/</w:t>
      </w:r>
    </w:p>
    <w:p>
      <w:pPr/>
      <w:r>
        <w:rPr>
          <w:rFonts w:ascii="Calibri" w:hAnsi="Calibri" w:eastAsia="Calibri"/>
          <w:color w:val="111827"/>
        </w:rPr>
        <w:t>Source citations are carried from the proposal checked on 5 September 2026. Pin and verify current tool behavior, versions and licenses during D04/F01/L01. The 31 offline tests reported by the proposal are historical synthetic-model evidence only and were not rerun in this merge. No real authorization service, egress boundary, database, signed external sink or deployed scanner is certified by those results.</w:t>
      </w:r>
    </w:p>
    <w:p>
      <w:r>
        <w:br w:type="page"/>
      </w:r>
    </w:p>
    <w:p>
      <w:pPr>
        <w:pStyle w:val="Heading1"/>
        <w:keepNext/>
        <w:keepLines/>
      </w:pPr>
      <w:r>
        <w:t>Appendix E. Stage implementation and gate evidence</w:t>
      </w:r>
    </w:p>
    <w:p>
      <w:pPr/>
      <w:r>
        <w:rPr>
          <w:rFonts w:ascii="Calibri" w:hAnsi="Calibri" w:eastAsia="Calibri"/>
          <w:color w:val="111827"/>
        </w:rPr>
        <w:t>The complete companion is Stage Implementation Plan v1.2. This appendix incorporates its assignable decisions, work packages, acceptance records and evidence templates; the companion also retains the expanded readiness summary. All role assignments, gate signatures and runtime results remain unconfirmed unless separately evidenced. Phase 0 controls sequencing; controlled integration runs generate later acceptance evidence, not the reverse.</w:t>
      </w:r>
    </w:p>
    <w:p>
      <w:pPr>
        <w:pStyle w:val="Heading2"/>
        <w:keepNext/>
        <w:keepLines/>
      </w:pPr>
      <w:r>
        <w:t>E.3. Phase 0: turn open decisions into explicit inputs</w:t>
      </w:r>
    </w:p>
    <w:p>
      <w:pPr/>
      <w:r>
        <w:rPr>
          <w:rFonts w:ascii="Calibri" w:hAnsi="Calibri" w:eastAsia="Calibri"/>
          <w:color w:val="111827"/>
        </w:rPr>
        <w:t>All entries begin Unconfirmed. A role name identifies the proposed accountable role; it does not confirm that a person has been appointed or has accepted the assignment. Each item remains Blocked until the required decision or evidence is recorded.</w:t>
      </w:r>
    </w:p>
    <w:p>
      <w:pPr>
        <w:pStyle w:val="Heading3"/>
        <w:keepNext/>
        <w:keepLines/>
      </w:pPr>
      <w:r>
        <w:t>D01</w:t>
      </w:r>
    </w:p>
    <w:p>
      <w:pPr/>
      <w:r>
        <w:rPr>
          <w:rFonts w:ascii="Calibri" w:hAnsi="Calibri" w:eastAsia="Calibri"/>
          <w:b/>
          <w:color w:val="0B2545"/>
        </w:rPr>
        <w:t>Decision / artifact:</w:t>
      </w:r>
      <w:r>
        <w:rPr>
          <w:rFonts w:ascii="Calibri" w:hAnsi="Calibri" w:eastAsia="Calibri"/>
          <w:color w:val="111827"/>
        </w:rPr>
        <w:t xml:space="preserve"> Appoint sponsor, project manager, acceptance authority and independent reviewer</w:t>
      </w:r>
    </w:p>
    <w:p>
      <w:pPr/>
      <w:r>
        <w:rPr>
          <w:rFonts w:ascii="Calibri" w:hAnsi="Calibri" w:eastAsia="Calibri"/>
          <w:b/>
          <w:color w:val="0B2545"/>
        </w:rPr>
        <w:t>Proposed accountable role:</w:t>
      </w:r>
      <w:r>
        <w:rPr>
          <w:rFonts w:ascii="Calibri" w:hAnsi="Calibri" w:eastAsia="Calibri"/>
          <w:color w:val="111827"/>
        </w:rPr>
        <w:t xml:space="preserve"> Project Authority</w:t>
      </w:r>
    </w:p>
    <w:p>
      <w:pPr/>
      <w:r>
        <w:rPr>
          <w:rFonts w:ascii="Calibri" w:hAnsi="Calibri" w:eastAsia="Calibri"/>
          <w:b/>
          <w:color w:val="0B2545"/>
        </w:rPr>
        <w:t>Status and required evidence:</w:t>
      </w:r>
      <w:r>
        <w:rPr>
          <w:rFonts w:ascii="Calibri" w:hAnsi="Calibri" w:eastAsia="Calibri"/>
          <w:color w:val="111827"/>
        </w:rPr>
        <w:t xml:space="preserve"> Unconfirmed / Blocked. Names, separation checks, appointment scope and review period required before Phase 0 exit</w:t>
      </w:r>
    </w:p>
    <w:p>
      <w:pPr>
        <w:pStyle w:val="Heading3"/>
        <w:keepNext/>
        <w:keepLines/>
      </w:pPr>
      <w:r>
        <w:t>D02</w:t>
      </w:r>
    </w:p>
    <w:p>
      <w:pPr/>
      <w:r>
        <w:rPr>
          <w:rFonts w:ascii="Calibri" w:hAnsi="Calibri" w:eastAsia="Calibri"/>
          <w:b/>
          <w:color w:val="0B2545"/>
        </w:rPr>
        <w:t>Decision / artifact:</w:t>
      </w:r>
      <w:r>
        <w:rPr>
          <w:rFonts w:ascii="Calibri" w:hAnsi="Calibri" w:eastAsia="Calibri"/>
          <w:color w:val="111827"/>
        </w:rPr>
        <w:t xml:space="preserve"> Confirm Project Class A / Software Class 3; document Class 4 escalation triggers</w:t>
      </w:r>
    </w:p>
    <w:p>
      <w:pPr/>
      <w:r>
        <w:rPr>
          <w:rFonts w:ascii="Calibri" w:hAnsi="Calibri" w:eastAsia="Calibri"/>
          <w:b/>
          <w:color w:val="0B2545"/>
        </w:rPr>
        <w:t>Proposed accountable role:</w:t>
      </w:r>
      <w:r>
        <w:rPr>
          <w:rFonts w:ascii="Calibri" w:hAnsi="Calibri" w:eastAsia="Calibri"/>
          <w:color w:val="111827"/>
        </w:rPr>
        <w:t xml:space="preserve"> Project Authority</w:t>
      </w:r>
    </w:p>
    <w:p>
      <w:pPr/>
      <w:r>
        <w:rPr>
          <w:rFonts w:ascii="Calibri" w:hAnsi="Calibri" w:eastAsia="Calibri"/>
          <w:b/>
          <w:color w:val="0B2545"/>
        </w:rPr>
        <w:t>Status and required evidence:</w:t>
      </w:r>
      <w:r>
        <w:rPr>
          <w:rFonts w:ascii="Calibri" w:hAnsi="Calibri" w:eastAsia="Calibri"/>
          <w:color w:val="111827"/>
        </w:rPr>
        <w:t xml:space="preserve"> Unconfirmed / Blocked. Signed classification and combined G1 baseline decision required before Phase 0 exit</w:t>
      </w:r>
    </w:p>
    <w:p>
      <w:pPr>
        <w:pStyle w:val="Heading3"/>
        <w:keepNext/>
        <w:keepLines/>
      </w:pPr>
      <w:r>
        <w:t>D03</w:t>
      </w:r>
    </w:p>
    <w:p>
      <w:pPr/>
      <w:r>
        <w:rPr>
          <w:rFonts w:ascii="Calibri" w:hAnsi="Calibri" w:eastAsia="Calibri"/>
          <w:b/>
          <w:color w:val="0B2545"/>
        </w:rPr>
        <w:t>Decision / artifact:</w:t>
      </w:r>
      <w:r>
        <w:rPr>
          <w:rFonts w:ascii="Calibri" w:hAnsi="Calibri" w:eastAsia="Calibri"/>
          <w:color w:val="111827"/>
        </w:rPr>
        <w:t xml:space="preserve"> Confirm staffing and schedule</w:t>
      </w:r>
    </w:p>
    <w:p>
      <w:pPr/>
      <w:r>
        <w:rPr>
          <w:rFonts w:ascii="Calibri" w:hAnsi="Calibri" w:eastAsia="Calibri"/>
          <w:b/>
          <w:color w:val="0B2545"/>
        </w:rPr>
        <w:t>Proposed accountable role:</w:t>
      </w:r>
      <w:r>
        <w:rPr>
          <w:rFonts w:ascii="Calibri" w:hAnsi="Calibri" w:eastAsia="Calibri"/>
          <w:color w:val="111827"/>
        </w:rPr>
        <w:t xml:space="preserve"> Project manager</w:t>
      </w:r>
    </w:p>
    <w:p>
      <w:pPr/>
      <w:r>
        <w:rPr>
          <w:rFonts w:ascii="Calibri" w:hAnsi="Calibri" w:eastAsia="Calibri"/>
          <w:b/>
          <w:color w:val="0B2545"/>
        </w:rPr>
        <w:t>Status and required evidence:</w:t>
      </w:r>
      <w:r>
        <w:rPr>
          <w:rFonts w:ascii="Calibri" w:hAnsi="Calibri" w:eastAsia="Calibri"/>
          <w:color w:val="111827"/>
        </w:rPr>
        <w:t xml:space="preserve"> Unconfirmed / Blocked. Weekly allocations, task estimates, dependency/resource check and approved schedule of record required before Phase 0 exit</w:t>
      </w:r>
    </w:p>
    <w:p>
      <w:pPr>
        <w:pStyle w:val="Heading3"/>
        <w:keepNext/>
        <w:keepLines/>
      </w:pPr>
      <w:r>
        <w:t>D04</w:t>
      </w:r>
    </w:p>
    <w:p>
      <w:pPr/>
      <w:r>
        <w:rPr>
          <w:rFonts w:ascii="Calibri" w:hAnsi="Calibri" w:eastAsia="Calibri"/>
          <w:b/>
          <w:color w:val="0B2545"/>
        </w:rPr>
        <w:t>Decision / artifact:</w:t>
      </w:r>
      <w:r>
        <w:rPr>
          <w:rFonts w:ascii="Calibri" w:hAnsi="Calibri" w:eastAsia="Calibri"/>
          <w:color w:val="111827"/>
        </w:rPr>
        <w:t xml:space="preserve"> Select Semgrep or Trivy</w:t>
      </w:r>
    </w:p>
    <w:p>
      <w:pPr/>
      <w:r>
        <w:rPr>
          <w:rFonts w:ascii="Calibri" w:hAnsi="Calibri" w:eastAsia="Calibri"/>
          <w:b/>
          <w:color w:val="0B2545"/>
        </w:rPr>
        <w:t>Proposed accountable role:</w:t>
      </w:r>
      <w:r>
        <w:rPr>
          <w:rFonts w:ascii="Calibri" w:hAnsi="Calibri" w:eastAsia="Calibri"/>
          <w:color w:val="111827"/>
        </w:rPr>
        <w:t xml:space="preserve"> Product/security lead</w:t>
      </w:r>
    </w:p>
    <w:p>
      <w:pPr/>
      <w:r>
        <w:rPr>
          <w:rFonts w:ascii="Calibri" w:hAnsi="Calibri" w:eastAsia="Calibri"/>
          <w:b/>
          <w:color w:val="0B2545"/>
        </w:rPr>
        <w:t>Status and required evidence:</w:t>
      </w:r>
      <w:r>
        <w:rPr>
          <w:rFonts w:ascii="Calibri" w:hAnsi="Calibri" w:eastAsia="Calibri"/>
          <w:color w:val="111827"/>
        </w:rPr>
        <w:t xml:space="preserve"> Unconfirmed / Blocked. One approved adapter decision; language/artifact coverage, licensing review, fixture suitability and capacity. Trivy excludes configuration scanning</w:t>
      </w:r>
    </w:p>
    <w:p>
      <w:pPr>
        <w:pStyle w:val="Heading3"/>
        <w:keepNext/>
        <w:keepLines/>
      </w:pPr>
      <w:r>
        <w:t>D05</w:t>
      </w:r>
    </w:p>
    <w:p>
      <w:pPr/>
      <w:r>
        <w:rPr>
          <w:rFonts w:ascii="Calibri" w:hAnsi="Calibri" w:eastAsia="Calibri"/>
          <w:b/>
          <w:color w:val="0B2545"/>
        </w:rPr>
        <w:t>Decision / artifact:</w:t>
      </w:r>
      <w:r>
        <w:rPr>
          <w:rFonts w:ascii="Calibri" w:hAnsi="Calibri" w:eastAsia="Calibri"/>
          <w:color w:val="111827"/>
        </w:rPr>
        <w:t xml:space="preserve"> Baseline PRD and architecture</w:t>
      </w:r>
    </w:p>
    <w:p>
      <w:pPr/>
      <w:r>
        <w:rPr>
          <w:rFonts w:ascii="Calibri" w:hAnsi="Calibri" w:eastAsia="Calibri"/>
          <w:b/>
          <w:color w:val="0B2545"/>
        </w:rPr>
        <w:t>Proposed accountable role:</w:t>
      </w:r>
      <w:r>
        <w:rPr>
          <w:rFonts w:ascii="Calibri" w:hAnsi="Calibri" w:eastAsia="Calibri"/>
          <w:color w:val="111827"/>
        </w:rPr>
        <w:t xml:space="preserve"> Product/security lead</w:t>
      </w:r>
    </w:p>
    <w:p>
      <w:pPr/>
      <w:r>
        <w:rPr>
          <w:rFonts w:ascii="Calibri" w:hAnsi="Calibri" w:eastAsia="Calibri"/>
          <w:b/>
          <w:color w:val="0B2545"/>
        </w:rPr>
        <w:t>Status and required evidence:</w:t>
      </w:r>
      <w:r>
        <w:rPr>
          <w:rFonts w:ascii="Calibri" w:hAnsi="Calibri" w:eastAsia="Calibri"/>
          <w:color w:val="111827"/>
        </w:rPr>
        <w:t xml:space="preserve"> Unconfirmed / Blocked. Requirement IDs, prohibited capabilities, acceptance cases, threat model, interface contracts, fingerprint and priority specifications</w:t>
      </w:r>
    </w:p>
    <w:p>
      <w:pPr>
        <w:pStyle w:val="Heading3"/>
        <w:keepNext/>
        <w:keepLines/>
      </w:pPr>
      <w:r>
        <w:t>D06</w:t>
      </w:r>
    </w:p>
    <w:p>
      <w:pPr/>
      <w:r>
        <w:rPr>
          <w:rFonts w:ascii="Calibri" w:hAnsi="Calibri" w:eastAsia="Calibri"/>
          <w:b/>
          <w:color w:val="0B2545"/>
        </w:rPr>
        <w:t>Decision / artifact:</w:t>
      </w:r>
      <w:r>
        <w:rPr>
          <w:rFonts w:ascii="Calibri" w:hAnsi="Calibri" w:eastAsia="Calibri"/>
          <w:color w:val="111827"/>
        </w:rPr>
        <w:t xml:space="preserve"> Design enforced outbound boundary and emergency stop</w:t>
      </w:r>
    </w:p>
    <w:p>
      <w:pPr/>
      <w:r>
        <w:rPr>
          <w:rFonts w:ascii="Calibri" w:hAnsi="Calibri" w:eastAsia="Calibri"/>
          <w:b/>
          <w:color w:val="0B2545"/>
        </w:rPr>
        <w:t>Proposed accountable role:</w:t>
      </w:r>
      <w:r>
        <w:rPr>
          <w:rFonts w:ascii="Calibri" w:hAnsi="Calibri" w:eastAsia="Calibri"/>
          <w:color w:val="111827"/>
        </w:rPr>
        <w:t xml:space="preserve"> Security/platform leads</w:t>
      </w:r>
    </w:p>
    <w:p>
      <w:pPr/>
      <w:r>
        <w:rPr>
          <w:rFonts w:ascii="Calibri" w:hAnsi="Calibri" w:eastAsia="Calibri"/>
          <w:b/>
          <w:color w:val="0B2545"/>
        </w:rPr>
        <w:t>Status and required evidence:</w:t>
      </w:r>
      <w:r>
        <w:rPr>
          <w:rFonts w:ascii="Calibri" w:hAnsi="Calibri" w:eastAsia="Calibri"/>
          <w:color w:val="111827"/>
        </w:rPr>
        <w:t xml:space="preserve"> Unconfirmed / Blocked. Data-flow/threat model, fail-closed decisions, worker escape tests, request limits and profile approval</w:t>
      </w:r>
    </w:p>
    <w:p>
      <w:pPr>
        <w:pStyle w:val="Heading3"/>
        <w:keepNext/>
        <w:keepLines/>
      </w:pPr>
      <w:r>
        <w:t>D07</w:t>
      </w:r>
    </w:p>
    <w:p>
      <w:pPr/>
      <w:r>
        <w:rPr>
          <w:rFonts w:ascii="Calibri" w:hAnsi="Calibri" w:eastAsia="Calibri"/>
          <w:b/>
          <w:color w:val="0B2545"/>
        </w:rPr>
        <w:t>Decision / artifact:</w:t>
      </w:r>
      <w:r>
        <w:rPr>
          <w:rFonts w:ascii="Calibri" w:hAnsi="Calibri" w:eastAsia="Calibri"/>
          <w:color w:val="111827"/>
        </w:rPr>
        <w:t xml:space="preserve"> Select external audit sink and key custody</w:t>
      </w:r>
    </w:p>
    <w:p>
      <w:pPr/>
      <w:r>
        <w:rPr>
          <w:rFonts w:ascii="Calibri" w:hAnsi="Calibri" w:eastAsia="Calibri"/>
          <w:b/>
          <w:color w:val="0B2545"/>
        </w:rPr>
        <w:t>Proposed accountable role:</w:t>
      </w:r>
      <w:r>
        <w:rPr>
          <w:rFonts w:ascii="Calibri" w:hAnsi="Calibri" w:eastAsia="Calibri"/>
          <w:color w:val="111827"/>
        </w:rPr>
        <w:t xml:space="preserve"> Platform lead with assurance reviewer</w:t>
      </w:r>
    </w:p>
    <w:p>
      <w:pPr/>
      <w:r>
        <w:rPr>
          <w:rFonts w:ascii="Calibri" w:hAnsi="Calibri" w:eastAsia="Calibri"/>
          <w:b/>
          <w:color w:val="0B2545"/>
        </w:rPr>
        <w:t>Status and required evidence:</w:t>
      </w:r>
      <w:r>
        <w:rPr>
          <w:rFonts w:ascii="Calibri" w:hAnsi="Calibri" w:eastAsia="Calibri"/>
          <w:color w:val="111827"/>
        </w:rPr>
        <w:t xml:space="preserve"> Unconfirmed / Blocked. Independent administration, retention lock, signing/key rotation, anchor acknowledgment and failure behavior; no claim of external trust from a local mock</w:t>
      </w:r>
    </w:p>
    <w:p>
      <w:pPr>
        <w:pStyle w:val="Heading3"/>
        <w:keepNext/>
        <w:keepLines/>
      </w:pPr>
      <w:r>
        <w:t>D08</w:t>
      </w:r>
    </w:p>
    <w:p>
      <w:pPr/>
      <w:r>
        <w:rPr>
          <w:rFonts w:ascii="Calibri" w:hAnsi="Calibri" w:eastAsia="Calibri"/>
          <w:b/>
          <w:color w:val="0B2545"/>
        </w:rPr>
        <w:t>Decision / artifact:</w:t>
      </w:r>
      <w:r>
        <w:rPr>
          <w:rFonts w:ascii="Calibri" w:hAnsi="Calibri" w:eastAsia="Calibri"/>
          <w:color w:val="111827"/>
        </w:rPr>
        <w:t xml:space="preserve"> Approve privacy and evidence handling</w:t>
      </w:r>
    </w:p>
    <w:p>
      <w:pPr/>
      <w:r>
        <w:rPr>
          <w:rFonts w:ascii="Calibri" w:hAnsi="Calibri" w:eastAsia="Calibri"/>
          <w:b/>
          <w:color w:val="0B2545"/>
        </w:rPr>
        <w:t>Proposed accountable role:</w:t>
      </w:r>
      <w:r>
        <w:rPr>
          <w:rFonts w:ascii="Calibri" w:hAnsi="Calibri" w:eastAsia="Calibri"/>
          <w:color w:val="111827"/>
        </w:rPr>
        <w:t xml:space="preserve"> Privacy reviewer</w:t>
      </w:r>
    </w:p>
    <w:p>
      <w:pPr/>
      <w:r>
        <w:rPr>
          <w:rFonts w:ascii="Calibri" w:hAnsi="Calibri" w:eastAsia="Calibri"/>
          <w:b/>
          <w:color w:val="0B2545"/>
        </w:rPr>
        <w:t>Status and required evidence:</w:t>
      </w:r>
      <w:r>
        <w:rPr>
          <w:rFonts w:ascii="Calibri" w:hAnsi="Calibri" w:eastAsia="Calibri"/>
          <w:color w:val="111827"/>
        </w:rPr>
        <w:t xml:space="preserve"> Unconfirmed / Blocked. Seal PIA, data inventory, processing roles, minimization, access, retention/hold/disposal map; required before real personal data or external evidence</w:t>
      </w:r>
    </w:p>
    <w:p>
      <w:pPr>
        <w:pStyle w:val="Heading3"/>
        <w:keepNext/>
        <w:keepLines/>
      </w:pPr>
      <w:r>
        <w:t>D09</w:t>
      </w:r>
    </w:p>
    <w:p>
      <w:pPr/>
      <w:r>
        <w:rPr>
          <w:rFonts w:ascii="Calibri" w:hAnsi="Calibri" w:eastAsia="Calibri"/>
          <w:b/>
          <w:color w:val="0B2545"/>
        </w:rPr>
        <w:t>Decision / artifact:</w:t>
      </w:r>
      <w:r>
        <w:rPr>
          <w:rFonts w:ascii="Calibri" w:hAnsi="Calibri" w:eastAsia="Calibri"/>
          <w:color w:val="111827"/>
        </w:rPr>
        <w:t xml:space="preserve"> Start regulatory workstream</w:t>
      </w:r>
    </w:p>
    <w:p>
      <w:pPr/>
      <w:r>
        <w:rPr>
          <w:rFonts w:ascii="Calibri" w:hAnsi="Calibri" w:eastAsia="Calibri"/>
          <w:b/>
          <w:color w:val="0B2545"/>
        </w:rPr>
        <w:t>Proposed accountable role:</w:t>
      </w:r>
      <w:r>
        <w:rPr>
          <w:rFonts w:ascii="Calibri" w:hAnsi="Calibri" w:eastAsia="Calibri"/>
          <w:color w:val="111827"/>
        </w:rPr>
        <w:t xml:space="preserve"> Legal/compliance adviser</w:t>
      </w:r>
    </w:p>
    <w:p>
      <w:pPr/>
      <w:r>
        <w:rPr>
          <w:rFonts w:ascii="Calibri" w:hAnsi="Calibri" w:eastAsia="Calibri"/>
          <w:b/>
          <w:color w:val="0B2545"/>
        </w:rPr>
        <w:t>Status and required evidence:</w:t>
      </w:r>
      <w:r>
        <w:rPr>
          <w:rFonts w:ascii="Calibri" w:hAnsi="Calibri" w:eastAsia="Calibri"/>
          <w:color w:val="111827"/>
        </w:rPr>
        <w:t xml:space="preserve"> Unconfirmed / Blocked. Counsel engagement, written instruction covering the four v1.3 determinations, owner and evidence register in Phase 0. Final determination is a separate external-target gate</w:t>
      </w:r>
    </w:p>
    <w:p>
      <w:pPr>
        <w:pStyle w:val="Heading3"/>
        <w:keepNext/>
        <w:keepLines/>
      </w:pPr>
      <w:r>
        <w:t>D10</w:t>
      </w:r>
    </w:p>
    <w:p>
      <w:pPr/>
      <w:r>
        <w:rPr>
          <w:rFonts w:ascii="Calibri" w:hAnsi="Calibri" w:eastAsia="Calibri"/>
          <w:b/>
          <w:color w:val="0B2545"/>
        </w:rPr>
        <w:t>Decision / artifact:</w:t>
      </w:r>
      <w:r>
        <w:rPr>
          <w:rFonts w:ascii="Calibri" w:hAnsi="Calibri" w:eastAsia="Calibri"/>
          <w:color w:val="111827"/>
        </w:rPr>
        <w:t xml:space="preserve"> Set operations policy</w:t>
      </w:r>
    </w:p>
    <w:p>
      <w:pPr/>
      <w:r>
        <w:rPr>
          <w:rFonts w:ascii="Calibri" w:hAnsi="Calibri" w:eastAsia="Calibri"/>
          <w:b/>
          <w:color w:val="0B2545"/>
        </w:rPr>
        <w:t>Proposed accountable role:</w:t>
      </w:r>
      <w:r>
        <w:rPr>
          <w:rFonts w:ascii="Calibri" w:hAnsi="Calibri" w:eastAsia="Calibri"/>
          <w:color w:val="111827"/>
        </w:rPr>
        <w:t xml:space="preserve"> Security lead and service owner</w:t>
      </w:r>
    </w:p>
    <w:p>
      <w:pPr/>
      <w:r>
        <w:rPr>
          <w:rFonts w:ascii="Calibri" w:hAnsi="Calibri" w:eastAsia="Calibri"/>
          <w:b/>
          <w:color w:val="0B2545"/>
        </w:rPr>
        <w:t>Status and required evidence:</w:t>
      </w:r>
      <w:r>
        <w:rPr>
          <w:rFonts w:ascii="Calibri" w:hAnsi="Calibri" w:eastAsia="Calibri"/>
          <w:color w:val="111827"/>
        </w:rPr>
        <w:t xml:space="preserve"> Unconfirmed / Blocked. Approved priority decision tree, validation/remediation deadlines, threat-data freshness, incident contacts, maintenance window and escalation paths</w:t>
      </w:r>
    </w:p>
    <w:p>
      <w:pPr>
        <w:pStyle w:val="Heading3"/>
        <w:keepNext/>
        <w:keepLines/>
      </w:pPr>
      <w:r>
        <w:t>D11</w:t>
      </w:r>
    </w:p>
    <w:p>
      <w:pPr/>
      <w:r>
        <w:rPr>
          <w:rFonts w:ascii="Calibri" w:hAnsi="Calibri" w:eastAsia="Calibri"/>
          <w:b/>
          <w:color w:val="0B2545"/>
        </w:rPr>
        <w:t>Decision / artifact:</w:t>
      </w:r>
      <w:r>
        <w:rPr>
          <w:rFonts w:ascii="Calibri" w:hAnsi="Calibri" w:eastAsia="Calibri"/>
          <w:color w:val="111827"/>
        </w:rPr>
        <w:t xml:space="preserve"> Fund assurance separately</w:t>
      </w:r>
    </w:p>
    <w:p>
      <w:pPr/>
      <w:r>
        <w:rPr>
          <w:rFonts w:ascii="Calibri" w:hAnsi="Calibri" w:eastAsia="Calibri"/>
          <w:b/>
          <w:color w:val="0B2545"/>
        </w:rPr>
        <w:t>Proposed accountable role:</w:t>
      </w:r>
      <w:r>
        <w:rPr>
          <w:rFonts w:ascii="Calibri" w:hAnsi="Calibri" w:eastAsia="Calibri"/>
          <w:color w:val="111827"/>
        </w:rPr>
        <w:t xml:space="preserve"> Project manager</w:t>
      </w:r>
    </w:p>
    <w:p>
      <w:pPr/>
      <w:r>
        <w:rPr>
          <w:rFonts w:ascii="Calibri" w:hAnsi="Calibri" w:eastAsia="Calibri"/>
          <w:b/>
          <w:color w:val="0B2545"/>
        </w:rPr>
        <w:t>Status and required evidence:</w:t>
      </w:r>
      <w:r>
        <w:rPr>
          <w:rFonts w:ascii="Calibri" w:hAnsi="Calibri" w:eastAsia="Calibri"/>
          <w:color w:val="111827"/>
        </w:rPr>
        <w:t xml:space="preserve"> Unconfirmed / Blocked. QA, security, privacy, accessibility, recovery, legal and independent-review effort, cost, owner and dates as a distinct G2 line item</w:t>
      </w:r>
    </w:p>
    <w:p>
      <w:pPr/>
      <w:r>
        <w:rPr>
          <w:rFonts w:ascii="Calibri" w:hAnsi="Calibri" w:eastAsia="Calibri"/>
          <w:color w:val="111827"/>
        </w:rPr>
        <w:t>Phase 0 exit requires the named review and Project Authority decision, no unresolved S2 design decision, confirmed allocations and an approved capacity-matched plan. These are required approvals, not confirmed approvals. Legal lead-time delay may defer an external pilot without preventing permitted laboratory preparation.</w:t>
      </w:r>
    </w:p>
    <w:p>
      <w:pPr/>
      <w:r>
        <w:rPr>
          <w:rFonts w:ascii="Calibri" w:hAnsi="Calibri" w:eastAsia="Calibri"/>
          <w:color w:val="111827"/>
        </w:rPr>
        <w:t>First five working days: the following are proposed assignments:</w:t>
      </w:r>
    </w:p>
    <w:p>
      <w:pPr>
        <w:keepLines/>
        <w:numPr>
          <w:ilvl w:val="0"/>
          <w:numId w:val="15"/>
        </w:numPr>
        <w:spacing w:after="80" w:line="290" w:lineRule="auto"/>
        <w:ind w:left="540" w:hanging="279"/>
      </w:pPr>
      <w:r>
        <w:rPr>
          <w:rFonts w:ascii="Calibri" w:hAnsi="Calibri" w:eastAsia="Calibri"/>
          <w:color w:val="111827"/>
        </w:rPr>
        <w:t>Project manager: prepare D01–D03.</w:t>
      </w:r>
    </w:p>
    <w:p>
      <w:pPr>
        <w:keepLines/>
        <w:numPr>
          <w:ilvl w:val="0"/>
          <w:numId w:val="15"/>
        </w:numPr>
        <w:spacing w:after="80" w:line="290" w:lineRule="auto"/>
        <w:ind w:left="540" w:hanging="279"/>
      </w:pPr>
      <w:r>
        <w:rPr>
          <w:rFonts w:ascii="Calibri" w:hAnsi="Calibri" w:eastAsia="Calibri"/>
          <w:color w:val="111827"/>
        </w:rPr>
        <w:t>Security lead: prepare D04–D06 and requirement traceability.</w:t>
      </w:r>
    </w:p>
    <w:p>
      <w:pPr>
        <w:keepLines/>
        <w:numPr>
          <w:ilvl w:val="0"/>
          <w:numId w:val="15"/>
        </w:numPr>
        <w:spacing w:after="80" w:line="290" w:lineRule="auto"/>
        <w:ind w:left="540" w:hanging="279"/>
      </w:pPr>
      <w:r>
        <w:rPr>
          <w:rFonts w:ascii="Calibri" w:hAnsi="Calibri" w:eastAsia="Calibri"/>
          <w:color w:val="111827"/>
        </w:rPr>
        <w:t>Platform and assurance leads: prepare D07.</w:t>
      </w:r>
    </w:p>
    <w:p>
      <w:pPr>
        <w:keepLines/>
        <w:numPr>
          <w:ilvl w:val="0"/>
          <w:numId w:val="15"/>
        </w:numPr>
        <w:spacing w:after="80" w:line="290" w:lineRule="auto"/>
        <w:ind w:left="540" w:hanging="279"/>
      </w:pPr>
      <w:r>
        <w:rPr>
          <w:rFonts w:ascii="Calibri" w:hAnsi="Calibri" w:eastAsia="Calibri"/>
          <w:color w:val="111827"/>
        </w:rPr>
        <w:t>Privacy and legal reviewers: begin D08–D09.</w:t>
      </w:r>
    </w:p>
    <w:p>
      <w:pPr>
        <w:keepLines/>
        <w:numPr>
          <w:ilvl w:val="0"/>
          <w:numId w:val="15"/>
        </w:numPr>
        <w:spacing w:after="80" w:line="290" w:lineRule="auto"/>
        <w:ind w:left="540" w:hanging="279"/>
      </w:pPr>
      <w:r>
        <w:rPr>
          <w:rFonts w:ascii="Calibri" w:hAnsi="Calibri" w:eastAsia="Calibri"/>
          <w:color w:val="111827"/>
        </w:rPr>
        <w:t>Service owner: prepare D10.</w:t>
      </w:r>
    </w:p>
    <w:p>
      <w:pPr>
        <w:keepLines/>
        <w:numPr>
          <w:ilvl w:val="0"/>
          <w:numId w:val="15"/>
        </w:numPr>
        <w:spacing w:after="80" w:line="290" w:lineRule="auto"/>
        <w:ind w:left="540" w:hanging="279"/>
      </w:pPr>
      <w:r>
        <w:rPr>
          <w:rFonts w:ascii="Calibri" w:hAnsi="Calibri" w:eastAsia="Calibri"/>
          <w:color w:val="111827"/>
        </w:rPr>
        <w:t>Project manager: draft D11.</w:t>
      </w:r>
    </w:p>
    <w:p>
      <w:pPr/>
      <w:r>
        <w:rPr>
          <w:rFonts w:ascii="Calibri" w:hAnsi="Calibri" w:eastAsia="Calibri"/>
          <w:color w:val="111827"/>
        </w:rPr>
        <w:t>These assignments are proposed and remain unconfirmed until accepted by named individuals.</w:t>
      </w:r>
    </w:p>
    <w:p>
      <w:pPr>
        <w:pStyle w:val="Heading2"/>
        <w:keepNext/>
        <w:keepLines/>
      </w:pPr>
      <w:r>
        <w:t>E.4. Work package contract</w:t>
      </w:r>
    </w:p>
    <w:p>
      <w:pPr/>
      <w:r>
        <w:rPr>
          <w:rFonts w:ascii="Calibri" w:hAnsi="Calibri" w:eastAsia="Calibri"/>
          <w:color w:val="111827"/>
        </w:rPr>
        <w:t>Every package below must become a tracked task with: ID, source section, named assignee, reviewer, dependencies, estimate, acceptance test IDs, evidence link and status. Until a named assignee accepts the task, the assignment is Proposed assignment and the task is Blocked.</w:t>
      </w:r>
    </w:p>
    <w:p>
      <w:pPr/>
      <w:r>
        <w:rPr>
          <w:rFonts w:ascii="Calibri" w:hAnsi="Calibri" w:eastAsia="Calibri"/>
          <w:color w:val="111827"/>
        </w:rPr>
        <w:t>Use task statuses Blocked → Ready → In progress → Review → Verified. Failed or incomplete acceptance returns the task to In progress. A missing external approval remains Blocked. No task is Verified merely because its code is merged.</w:t>
      </w:r>
    </w:p>
    <w:p>
      <w:pPr/>
      <w:r>
        <w:rPr>
          <w:rFonts w:ascii="Calibri" w:hAnsi="Calibri" w:eastAsia="Calibri"/>
          <w:color w:val="111827"/>
        </w:rPr>
        <w:t>Common definition of done: reviewed code or controlled artifact; tenant and authorization negatives where relevant; passing repeatable tests; schema/migration compatibility check; security/privacy assessment; updated runbook; evidence tied to commit, environment and dependency versions. A reviewer records residual limitations explicitly.</w:t>
      </w:r>
    </w:p>
    <w:p>
      <w:pPr>
        <w:pStyle w:val="Heading2"/>
        <w:keepNext/>
        <w:keepLines/>
      </w:pPr>
      <w:r>
        <w:t>E.5. Phase 1 — platform foundation</w:t>
      </w:r>
    </w:p>
    <w:p>
      <w:pPr/>
      <w:r>
        <w:rPr>
          <w:rFonts w:ascii="Calibri" w:hAnsi="Calibri" w:eastAsia="Calibri"/>
          <w:color w:val="111827"/>
        </w:rPr>
        <w:t>All rows below are proposed work. The listed owner is the proposed accountable role, not a confirmed assignee. Each package begins Blocked pending accepted assignment and dependencies.</w:t>
      </w:r>
    </w:p>
    <w:p>
      <w:pPr>
        <w:pStyle w:val="Heading3"/>
        <w:keepNext/>
        <w:keepLines/>
      </w:pPr>
      <w:r>
        <w:t>F01 / QA-DevSecOps</w:t>
      </w:r>
    </w:p>
    <w:p>
      <w:pPr/>
      <w:r>
        <w:rPr>
          <w:rFonts w:ascii="Calibri" w:hAnsi="Calibri" w:eastAsia="Calibri"/>
          <w:b/>
          <w:color w:val="0B2545"/>
        </w:rPr>
        <w:t>Deliverable and implementation boundary:</w:t>
      </w:r>
      <w:r>
        <w:rPr>
          <w:rFonts w:ascii="Calibri" w:hAnsi="Calibri" w:eastAsia="Calibri"/>
          <w:color w:val="111827"/>
        </w:rPr>
        <w:t xml:space="preserve"> Versioned repository structure, pinned dependency policy, synthetic lab isolation, internal CI, secret handling and controlled build process</w:t>
      </w:r>
    </w:p>
    <w:p>
      <w:pPr/>
      <w:r>
        <w:rPr>
          <w:rFonts w:ascii="Calibri" w:hAnsi="Calibri" w:eastAsia="Calibri"/>
          <w:b/>
          <w:color w:val="0B2545"/>
        </w:rPr>
        <w:t>Dependencies:</w:t>
      </w:r>
      <w:r>
        <w:rPr>
          <w:rFonts w:ascii="Calibri" w:hAnsi="Calibri" w:eastAsia="Calibri"/>
          <w:color w:val="111827"/>
        </w:rPr>
        <w:t xml:space="preserve"> D03, D05</w:t>
      </w:r>
    </w:p>
    <w:p>
      <w:pPr/>
      <w:r>
        <w:rPr>
          <w:rFonts w:ascii="Calibri" w:hAnsi="Calibri" w:eastAsia="Calibri"/>
          <w:b/>
          <w:color w:val="0B2545"/>
        </w:rPr>
        <w:t>Acceptance evidence:</w:t>
      </w:r>
      <w:r>
        <w:rPr>
          <w:rFonts w:ascii="Calibri" w:hAnsi="Calibri" w:eastAsia="Calibri"/>
          <w:color w:val="111827"/>
        </w:rPr>
        <w:t xml:space="preserve"> Fresh environment reproduces the build and tests; no committed credentials; network boundaries documented</w:t>
      </w:r>
    </w:p>
    <w:p>
      <w:pPr>
        <w:pStyle w:val="Heading3"/>
        <w:keepNext/>
        <w:keepLines/>
      </w:pPr>
      <w:r>
        <w:t>F02 / Platform</w:t>
      </w:r>
    </w:p>
    <w:p>
      <w:pPr/>
      <w:r>
        <w:rPr>
          <w:rFonts w:ascii="Calibri" w:hAnsi="Calibri" w:eastAsia="Calibri"/>
          <w:b/>
          <w:color w:val="0B2545"/>
        </w:rPr>
        <w:t>Deliverable and implementation boundary:</w:t>
      </w:r>
      <w:r>
        <w:rPr>
          <w:rFonts w:ascii="Calibri" w:hAnsi="Calibri" w:eastAsia="Calibri"/>
          <w:color w:val="111827"/>
        </w:rPr>
        <w:t xml:space="preserve"> Identity-provider integration, privileged MFA, role matrix, short-lived worker identity and revocation</w:t>
      </w:r>
    </w:p>
    <w:p>
      <w:pPr/>
      <w:r>
        <w:rPr>
          <w:rFonts w:ascii="Calibri" w:hAnsi="Calibri" w:eastAsia="Calibri"/>
          <w:b/>
          <w:color w:val="0B2545"/>
        </w:rPr>
        <w:t>Dependencies:</w:t>
      </w:r>
      <w:r>
        <w:rPr>
          <w:rFonts w:ascii="Calibri" w:hAnsi="Calibri" w:eastAsia="Calibri"/>
          <w:color w:val="111827"/>
        </w:rPr>
        <w:t xml:space="preserve"> F01, D05</w:t>
      </w:r>
    </w:p>
    <w:p>
      <w:pPr/>
      <w:r>
        <w:rPr>
          <w:rFonts w:ascii="Calibri" w:hAnsi="Calibri" w:eastAsia="Calibri"/>
          <w:b/>
          <w:color w:val="0B2545"/>
        </w:rPr>
        <w:t>Acceptance evidence:</w:t>
      </w:r>
      <w:r>
        <w:rPr>
          <w:rFonts w:ascii="Calibri" w:hAnsi="Calibri" w:eastAsia="Calibri"/>
          <w:color w:val="111827"/>
        </w:rPr>
        <w:t xml:space="preserve"> Assessor cannot approve own authorization; remediation owner cannot approve own closure; denied operations are audited; revoked access fails</w:t>
      </w:r>
    </w:p>
    <w:p>
      <w:pPr>
        <w:pStyle w:val="Heading3"/>
        <w:keepNext/>
        <w:keepLines/>
      </w:pPr>
      <w:r>
        <w:t>F03 / Platform</w:t>
      </w:r>
    </w:p>
    <w:p>
      <w:pPr/>
      <w:r>
        <w:rPr>
          <w:rFonts w:ascii="Calibri" w:hAnsi="Calibri" w:eastAsia="Calibri"/>
          <w:b/>
          <w:color w:val="0B2545"/>
        </w:rPr>
        <w:t>Deliverable and implementation boundary:</w:t>
      </w:r>
      <w:r>
        <w:rPr>
          <w:rFonts w:ascii="Calibri" w:hAnsi="Calibri" w:eastAsia="Calibri"/>
          <w:color w:val="111827"/>
        </w:rPr>
        <w:t xml:space="preserve"> First migrations with organization_id, foreign-key tenant consistency, data-access tenant context and PostgreSQL RLS; separate runtime/migration roles</w:t>
      </w:r>
    </w:p>
    <w:p>
      <w:pPr/>
      <w:r>
        <w:rPr>
          <w:rFonts w:ascii="Calibri" w:hAnsi="Calibri" w:eastAsia="Calibri"/>
          <w:b/>
          <w:color w:val="0B2545"/>
        </w:rPr>
        <w:t>Dependencies:</w:t>
      </w:r>
      <w:r>
        <w:rPr>
          <w:rFonts w:ascii="Calibri" w:hAnsi="Calibri" w:eastAsia="Calibri"/>
          <w:color w:val="111827"/>
        </w:rPr>
        <w:t xml:space="preserve"> F01, D05</w:t>
      </w:r>
    </w:p>
    <w:p>
      <w:pPr/>
      <w:r>
        <w:rPr>
          <w:rFonts w:ascii="Calibri" w:hAnsi="Calibri" w:eastAsia="Calibri"/>
          <w:b/>
          <w:color w:val="0B2545"/>
        </w:rPr>
        <w:t>Acceptance evidence:</w:t>
      </w:r>
      <w:r>
        <w:rPr>
          <w:rFonts w:ascii="Calibri" w:hAnsi="Calibri" w:eastAsia="Calibri"/>
          <w:color w:val="111827"/>
        </w:rPr>
        <w:t xml:space="preserve"> Positive and negative tests across reads, writes, joins, workers, caches and exports; runtime credentials cannot bypass RLS</w:t>
      </w:r>
    </w:p>
    <w:p>
      <w:pPr>
        <w:pStyle w:val="Heading3"/>
        <w:keepNext/>
        <w:keepLines/>
      </w:pPr>
      <w:r>
        <w:t>F04 / Platform-security</w:t>
      </w:r>
    </w:p>
    <w:p>
      <w:pPr/>
      <w:r>
        <w:rPr>
          <w:rFonts w:ascii="Calibri" w:hAnsi="Calibri" w:eastAsia="Calibri"/>
          <w:b/>
          <w:color w:val="0B2545"/>
        </w:rPr>
        <w:t>Deliverable and implementation boundary:</w:t>
      </w:r>
      <w:r>
        <w:rPr>
          <w:rFonts w:ascii="Calibri" w:hAnsi="Calibri" w:eastAsia="Calibri"/>
          <w:color w:val="111827"/>
        </w:rPr>
        <w:t xml:space="preserve"> Target registry and versioned authorization records: ownership, exact target, exclusions, techniques, window, approver, emergency contacts and environment</w:t>
      </w:r>
    </w:p>
    <w:p>
      <w:pPr/>
      <w:r>
        <w:rPr>
          <w:rFonts w:ascii="Calibri" w:hAnsi="Calibri" w:eastAsia="Calibri"/>
          <w:b/>
          <w:color w:val="0B2545"/>
        </w:rPr>
        <w:t>Dependencies:</w:t>
      </w:r>
      <w:r>
        <w:rPr>
          <w:rFonts w:ascii="Calibri" w:hAnsi="Calibri" w:eastAsia="Calibri"/>
          <w:color w:val="111827"/>
        </w:rPr>
        <w:t xml:space="preserve"> F02, F03</w:t>
      </w:r>
    </w:p>
    <w:p>
      <w:pPr/>
      <w:r>
        <w:rPr>
          <w:rFonts w:ascii="Calibri" w:hAnsi="Calibri" w:eastAsia="Calibri"/>
          <w:b/>
          <w:color w:val="0B2545"/>
        </w:rPr>
        <w:t>Acceptance evidence:</w:t>
      </w:r>
      <w:r>
        <w:rPr>
          <w:rFonts w:ascii="Calibri" w:hAnsi="Calibri" w:eastAsia="Calibri"/>
          <w:color w:val="111827"/>
        </w:rPr>
        <w:t xml:space="preserve"> Missing, expired, revoked or mismatched authorization denies execution; target registration does not itself grant scan permission</w:t>
      </w:r>
    </w:p>
    <w:p>
      <w:pPr>
        <w:pStyle w:val="Heading3"/>
        <w:keepNext/>
        <w:keepLines/>
      </w:pPr>
      <w:r>
        <w:t>F05 / Security integration</w:t>
      </w:r>
    </w:p>
    <w:p>
      <w:pPr/>
      <w:r>
        <w:rPr>
          <w:rFonts w:ascii="Calibri" w:hAnsi="Calibri" w:eastAsia="Calibri"/>
          <w:b/>
          <w:color w:val="0B2545"/>
        </w:rPr>
        <w:t>Deliverable and implementation boundary:</w:t>
      </w:r>
      <w:r>
        <w:rPr>
          <w:rFonts w:ascii="Calibri" w:hAnsi="Calibri" w:eastAsia="Calibri"/>
          <w:color w:val="111827"/>
        </w:rPr>
        <w:t xml:space="preserve"> Enforced outbound broker/boundary; approved destination resolution and redirect revalidation; deny direct worker egress</w:t>
      </w:r>
    </w:p>
    <w:p>
      <w:pPr/>
      <w:r>
        <w:rPr>
          <w:rFonts w:ascii="Calibri" w:hAnsi="Calibri" w:eastAsia="Calibri"/>
          <w:b/>
          <w:color w:val="0B2545"/>
        </w:rPr>
        <w:t>Dependencies:</w:t>
      </w:r>
      <w:r>
        <w:rPr>
          <w:rFonts w:ascii="Calibri" w:hAnsi="Calibri" w:eastAsia="Calibri"/>
          <w:color w:val="111827"/>
        </w:rPr>
        <w:t xml:space="preserve"> F04, D06</w:t>
      </w:r>
    </w:p>
    <w:p>
      <w:pPr/>
      <w:r>
        <w:rPr>
          <w:rFonts w:ascii="Calibri" w:hAnsi="Calibri" w:eastAsia="Calibri"/>
          <w:b/>
          <w:color w:val="0B2545"/>
        </w:rPr>
        <w:t>Acceptance evidence:</w:t>
      </w:r>
      <w:r>
        <w:rPr>
          <w:rFonts w:ascii="Calibri" w:hAnsi="Calibri" w:eastAsia="Calibri"/>
          <w:color w:val="111827"/>
        </w:rPr>
        <w:t xml:space="preserve"> Controlled DNS/address changes, redirects and direct worker connections cannot escape scope; checks cover each new connection/request as appropriate, not merely submission</w:t>
      </w:r>
    </w:p>
    <w:p>
      <w:pPr>
        <w:pStyle w:val="Heading3"/>
        <w:keepNext/>
        <w:keepLines/>
      </w:pPr>
      <w:r>
        <w:t>F06 / Platform</w:t>
      </w:r>
    </w:p>
    <w:p>
      <w:pPr/>
      <w:r>
        <w:rPr>
          <w:rFonts w:ascii="Calibri" w:hAnsi="Calibri" w:eastAsia="Calibri"/>
          <w:b/>
          <w:color w:val="0B2545"/>
        </w:rPr>
        <w:t>Deliverable and implementation boundary:</w:t>
      </w:r>
      <w:r>
        <w:rPr>
          <w:rFonts w:ascii="Calibri" w:hAnsi="Calibri" w:eastAsia="Calibri"/>
          <w:color w:val="111827"/>
        </w:rPr>
        <w:t xml:space="preserve"> Queue/job lifecycle, idempotency, leases, bounded retries, health controls, profile budgets and stop control</w:t>
      </w:r>
    </w:p>
    <w:p>
      <w:pPr/>
      <w:r>
        <w:rPr>
          <w:rFonts w:ascii="Calibri" w:hAnsi="Calibri" w:eastAsia="Calibri"/>
          <w:b/>
          <w:color w:val="0B2545"/>
        </w:rPr>
        <w:t>Dependencies:</w:t>
      </w:r>
      <w:r>
        <w:rPr>
          <w:rFonts w:ascii="Calibri" w:hAnsi="Calibri" w:eastAsia="Calibri"/>
          <w:color w:val="111827"/>
        </w:rPr>
        <w:t xml:space="preserve"> F04, F05</w:t>
      </w:r>
    </w:p>
    <w:p>
      <w:pPr/>
      <w:r>
        <w:rPr>
          <w:rFonts w:ascii="Calibri" w:hAnsi="Calibri" w:eastAsia="Calibri"/>
          <w:b/>
          <w:color w:val="0B2545"/>
        </w:rPr>
        <w:t>Acceptance evidence:</w:t>
      </w:r>
      <w:r>
        <w:rPr>
          <w:rFonts w:ascii="Calibri" w:hAnsi="Calibri" w:eastAsia="Calibri"/>
          <w:color w:val="111827"/>
        </w:rPr>
        <w:t xml:space="preserve"> Duplicate delivery does not duplicate unauthorized work; cancellation is not undone by retry; restart requires renewed scope check; stop timings measured</w:t>
      </w:r>
    </w:p>
    <w:p>
      <w:pPr>
        <w:pStyle w:val="Heading3"/>
        <w:keepNext/>
        <w:keepLines/>
      </w:pPr>
      <w:r>
        <w:t>F07 / Platform-assurance</w:t>
      </w:r>
    </w:p>
    <w:p>
      <w:pPr/>
      <w:r>
        <w:rPr>
          <w:rFonts w:ascii="Calibri" w:hAnsi="Calibri" w:eastAsia="Calibri"/>
          <w:b/>
          <w:color w:val="0B2545"/>
        </w:rPr>
        <w:t>Deliverable and implementation boundary:</w:t>
      </w:r>
      <w:r>
        <w:rPr>
          <w:rFonts w:ascii="Calibri" w:hAnsi="Calibri" w:eastAsia="Calibri"/>
          <w:color w:val="111827"/>
        </w:rPr>
        <w:t xml:space="preserve"> Transactional audit append, canonical hash chain, protected NOLOGIN seal_audit_owner, evidence-digest commitment, signed external anchors and monitoring</w:t>
      </w:r>
    </w:p>
    <w:p>
      <w:pPr/>
      <w:r>
        <w:rPr>
          <w:rFonts w:ascii="Calibri" w:hAnsi="Calibri" w:eastAsia="Calibri"/>
          <w:b/>
          <w:color w:val="0B2545"/>
        </w:rPr>
        <w:t>Dependencies:</w:t>
      </w:r>
      <w:r>
        <w:rPr>
          <w:rFonts w:ascii="Calibri" w:hAnsi="Calibri" w:eastAsia="Calibri"/>
          <w:color w:val="111827"/>
        </w:rPr>
        <w:t xml:space="preserve"> F02, F03, D07</w:t>
      </w:r>
    </w:p>
    <w:p>
      <w:pPr/>
      <w:r>
        <w:rPr>
          <w:rFonts w:ascii="Calibri" w:hAnsi="Calibri" w:eastAsia="Calibri"/>
          <w:b/>
          <w:color w:val="0B2545"/>
        </w:rPr>
        <w:t>Acceptance evidence:</w:t>
      </w:r>
      <w:r>
        <w:rPr>
          <w:rFonts w:ascii="Calibri" w:hAnsi="Calibri" w:eastAsia="Calibri"/>
          <w:color w:val="111827"/>
        </w:rPr>
        <w:t xml:space="preserve"> Concurrent writes preserve sequence; altered rows/artifacts and anchor failures detected; no routine role can assume owner; real separated sink verified before trust claims</w:t>
      </w:r>
    </w:p>
    <w:p>
      <w:pPr>
        <w:pStyle w:val="Heading3"/>
        <w:keepNext/>
        <w:keepLines/>
      </w:pPr>
      <w:r>
        <w:t>F08 / Platform-privacy</w:t>
      </w:r>
    </w:p>
    <w:p>
      <w:pPr/>
      <w:r>
        <w:rPr>
          <w:rFonts w:ascii="Calibri" w:hAnsi="Calibri" w:eastAsia="Calibri"/>
          <w:b/>
          <w:color w:val="0B2545"/>
        </w:rPr>
        <w:t>Deliverable and implementation boundary:</w:t>
      </w:r>
      <w:r>
        <w:rPr>
          <w:rFonts w:ascii="Calibri" w:hAnsi="Calibri" w:eastAsia="Calibri"/>
          <w:color w:val="111827"/>
        </w:rPr>
        <w:t xml:space="preserve"> Sanitized encrypted evidence storage, access rules, retention/hold enforcement and disposal workflow</w:t>
      </w:r>
    </w:p>
    <w:p>
      <w:pPr/>
      <w:r>
        <w:rPr>
          <w:rFonts w:ascii="Calibri" w:hAnsi="Calibri" w:eastAsia="Calibri"/>
          <w:b/>
          <w:color w:val="0B2545"/>
        </w:rPr>
        <w:t>Dependencies:</w:t>
      </w:r>
      <w:r>
        <w:rPr>
          <w:rFonts w:ascii="Calibri" w:hAnsi="Calibri" w:eastAsia="Calibri"/>
          <w:color w:val="111827"/>
        </w:rPr>
        <w:t xml:space="preserve"> F03, F07, D08</w:t>
      </w:r>
    </w:p>
    <w:p>
      <w:pPr/>
      <w:r>
        <w:rPr>
          <w:rFonts w:ascii="Calibri" w:hAnsi="Calibri" w:eastAsia="Calibri"/>
          <w:b/>
          <w:color w:val="0B2545"/>
        </w:rPr>
        <w:t>Acceptance evidence:</w:t>
      </w:r>
      <w:r>
        <w:rPr>
          <w:rFonts w:ascii="Calibri" w:hAnsi="Calibri" w:eastAsia="Calibri"/>
          <w:color w:val="111827"/>
        </w:rPr>
        <w:t xml:space="preserve"> Seeded tokens and personal markers removed before retained output/logs; hold prevents deletion; authorized disposal and denied download are audited</w:t>
      </w:r>
    </w:p>
    <w:p>
      <w:pPr/>
      <w:r>
        <w:rPr>
          <w:rFonts w:ascii="Calibri" w:hAnsi="Calibri" w:eastAsia="Calibri"/>
          <w:color w:val="111827"/>
        </w:rPr>
        <w:t>Sequence F01 first; F02/F03 can overlap only after assignments and capacity are confirmed. F04 follows both; F05 precedes any scanner traffic; F06 and F07 can progress independently after their inputs. F08 requires the approved handling design. No scanner worker is admitted until scope, isolation, stop and evidence-path tests pass.</w:t>
      </w:r>
    </w:p>
    <w:p>
      <w:pPr/>
      <w:r>
        <w:rPr>
          <w:rFonts w:ascii="Calibri" w:hAnsi="Calibri" w:eastAsia="Calibri"/>
          <w:color w:val="111827"/>
        </w:rPr>
        <w:t>Audit implementation details to resolve in D07: append through a restricted procedure interface; revoke public execution and avoid unsafe name resolution; keep object ownership out of runtime roles; define transaction boundaries and outbox/retry handling for anchors. A successful API acknowledgment must mean the audit event is durably committed. High-risk actions require visible anchor status; the implementation must not label unanchored decisions externally verified. Pending approval anchors must not activate scan authority; revocation and emergency stop must take effect even if anchoring fails. Record these failure semantics for security review before implementation.</w:t>
      </w:r>
    </w:p>
    <w:p>
      <w:pPr/>
      <w:r>
        <w:rPr>
          <w:rFonts w:ascii="Calibri" w:hAnsi="Calibri" w:eastAsia="Calibri"/>
          <w:color w:val="111827"/>
        </w:rPr>
        <w:t>Foundation exit is a planned approval condition. F01–F08 must be reviewed; mandatory control tests must pass; and the integrated G2 pack must contain architecture, threat model, privacy assessment, test/deployment/operations plans, capacity schedule and funded assurance. Missing controls block live laboratory scanning; fixtures may still be used for permitted design work.</w:t>
      </w:r>
    </w:p>
    <w:p>
      <w:pPr>
        <w:pStyle w:val="Heading2"/>
        <w:keepNext/>
        <w:keepLines/>
      </w:pPr>
      <w:r>
        <w:t>E.6. Phase 2 — laboratory detection MVP</w:t>
      </w:r>
    </w:p>
    <w:p>
      <w:pPr/>
      <w:r>
        <w:rPr>
          <w:rFonts w:ascii="Calibri" w:hAnsi="Calibri" w:eastAsia="Calibri"/>
          <w:color w:val="111827"/>
        </w:rPr>
        <w:t>All rows below are proposed work. The listed owner is the proposed accountable role. No adapter implementation or acceptance result is confirmed.</w:t>
      </w:r>
    </w:p>
    <w:p>
      <w:pPr>
        <w:pStyle w:val="Heading3"/>
        <w:keepNext/>
        <w:keepLines/>
      </w:pPr>
      <w:r>
        <w:t>L01 / Security integration</w:t>
      </w:r>
    </w:p>
    <w:p>
      <w:pPr/>
      <w:r>
        <w:rPr>
          <w:rFonts w:ascii="Calibri" w:hAnsi="Calibri" w:eastAsia="Calibri"/>
          <w:b/>
          <w:color w:val="0B2545"/>
        </w:rPr>
        <w:t>Deliverable and implementation boundary:</w:t>
      </w:r>
      <w:r>
        <w:rPr>
          <w:rFonts w:ascii="Calibri" w:hAnsi="Calibri" w:eastAsia="Calibri"/>
          <w:color w:val="111827"/>
        </w:rPr>
        <w:t xml:space="preserve"> Versioned adapter input/output contracts and bounded parser; no user-supplied shell commands or unrestricted scanner flags</w:t>
      </w:r>
    </w:p>
    <w:p>
      <w:pPr/>
      <w:r>
        <w:rPr>
          <w:rFonts w:ascii="Calibri" w:hAnsi="Calibri" w:eastAsia="Calibri"/>
          <w:b/>
          <w:color w:val="0B2545"/>
        </w:rPr>
        <w:t>Dependencies:</w:t>
      </w:r>
      <w:r>
        <w:rPr>
          <w:rFonts w:ascii="Calibri" w:hAnsi="Calibri" w:eastAsia="Calibri"/>
          <w:color w:val="111827"/>
        </w:rPr>
        <w:t xml:space="preserve"> F01–F08, D04</w:t>
      </w:r>
    </w:p>
    <w:p>
      <w:pPr/>
      <w:r>
        <w:rPr>
          <w:rFonts w:ascii="Calibri" w:hAnsi="Calibri" w:eastAsia="Calibri"/>
          <w:b/>
          <w:color w:val="0B2545"/>
        </w:rPr>
        <w:t>Acceptance evidence:</w:t>
      </w:r>
      <w:r>
        <w:rPr>
          <w:rFonts w:ascii="Calibri" w:hAnsi="Calibri" w:eastAsia="Calibri"/>
          <w:color w:val="111827"/>
        </w:rPr>
        <w:t xml:space="preserve"> Malformed, oversized, unknown-version and cross-tenant output rejected without unsafe processing</w:t>
      </w:r>
    </w:p>
    <w:p>
      <w:pPr>
        <w:pStyle w:val="Heading3"/>
        <w:keepNext/>
        <w:keepLines/>
      </w:pPr>
      <w:r>
        <w:t>L02 / Security integration</w:t>
      </w:r>
    </w:p>
    <w:p>
      <w:pPr/>
      <w:r>
        <w:rPr>
          <w:rFonts w:ascii="Calibri" w:hAnsi="Calibri" w:eastAsia="Calibri"/>
          <w:b/>
          <w:color w:val="0B2545"/>
        </w:rPr>
        <w:t>Deliverable and implementation boundary:</w:t>
      </w:r>
      <w:r>
        <w:rPr>
          <w:rFonts w:ascii="Calibri" w:hAnsi="Calibri" w:eastAsia="Calibri"/>
          <w:color w:val="111827"/>
        </w:rPr>
        <w:t xml:space="preserve"> Restricted ZAP integration; passive default; reviewed target interaction profile; safe-active disabled unless exact lab/profile approval exists</w:t>
      </w:r>
    </w:p>
    <w:p>
      <w:pPr/>
      <w:r>
        <w:rPr>
          <w:rFonts w:ascii="Calibri" w:hAnsi="Calibri" w:eastAsia="Calibri"/>
          <w:b/>
          <w:color w:val="0B2545"/>
        </w:rPr>
        <w:t>Dependencies:</w:t>
      </w:r>
      <w:r>
        <w:rPr>
          <w:rFonts w:ascii="Calibri" w:hAnsi="Calibri" w:eastAsia="Calibri"/>
          <w:color w:val="111827"/>
        </w:rPr>
        <w:t xml:space="preserve"> L01, F05, F06</w:t>
      </w:r>
    </w:p>
    <w:p>
      <w:pPr/>
      <w:r>
        <w:rPr>
          <w:rFonts w:ascii="Calibri" w:hAnsi="Calibri" w:eastAsia="Calibri"/>
          <w:b/>
          <w:color w:val="0B2545"/>
        </w:rPr>
        <w:t>Acceptance evidence:</w:t>
      </w:r>
      <w:r>
        <w:rPr>
          <w:rFonts w:ascii="Calibri" w:hAnsi="Calibri" w:eastAsia="Calibri"/>
          <w:color w:val="111827"/>
        </w:rPr>
        <w:t xml:space="preserve"> Owned lab only; no unrestricted crawler/actions; prohibited write/auth/upload classes denied; per-target limits and stop honored</w:t>
      </w:r>
    </w:p>
    <w:p>
      <w:pPr>
        <w:pStyle w:val="Heading3"/>
        <w:keepNext/>
        <w:keepLines/>
      </w:pPr>
      <w:r>
        <w:t>L03 / Security integration</w:t>
      </w:r>
    </w:p>
    <w:p>
      <w:pPr/>
      <w:r>
        <w:rPr>
          <w:rFonts w:ascii="Calibri" w:hAnsi="Calibri" w:eastAsia="Calibri"/>
          <w:b/>
          <w:color w:val="0B2545"/>
        </w:rPr>
        <w:t>Deliverable and implementation boundary:</w:t>
      </w:r>
      <w:r>
        <w:rPr>
          <w:rFonts w:ascii="Calibri" w:hAnsi="Calibri" w:eastAsia="Calibri"/>
          <w:color w:val="111827"/>
        </w:rPr>
        <w:t xml:space="preserve"> Exactly one selected Semgrep or dependency-only Trivy integration; authorized pinned input artifact</w:t>
      </w:r>
    </w:p>
    <w:p>
      <w:pPr/>
      <w:r>
        <w:rPr>
          <w:rFonts w:ascii="Calibri" w:hAnsi="Calibri" w:eastAsia="Calibri"/>
          <w:b/>
          <w:color w:val="0B2545"/>
        </w:rPr>
        <w:t>Dependencies:</w:t>
      </w:r>
      <w:r>
        <w:rPr>
          <w:rFonts w:ascii="Calibri" w:hAnsi="Calibri" w:eastAsia="Calibri"/>
          <w:color w:val="111827"/>
        </w:rPr>
        <w:t xml:space="preserve"> L01, D04</w:t>
      </w:r>
    </w:p>
    <w:p>
      <w:pPr/>
      <w:r>
        <w:rPr>
          <w:rFonts w:ascii="Calibri" w:hAnsi="Calibri" w:eastAsia="Calibri"/>
          <w:b/>
          <w:color w:val="0B2545"/>
        </w:rPr>
        <w:t>Acceptance evidence:</w:t>
      </w:r>
      <w:r>
        <w:rPr>
          <w:rFonts w:ascii="Calibri" w:hAnsi="Calibri" w:eastAsia="Calibri"/>
          <w:color w:val="111827"/>
        </w:rPr>
        <w:t xml:space="preserve"> Exact tool/rules/input revision recorded; unselected analysis classes disabled; artifact treated as untrusted data, not executed application code</w:t>
      </w:r>
    </w:p>
    <w:p>
      <w:pPr>
        <w:pStyle w:val="Heading3"/>
        <w:keepNext/>
        <w:keepLines/>
      </w:pPr>
      <w:r>
        <w:t>L04 / Platform-security</w:t>
      </w:r>
    </w:p>
    <w:p>
      <w:pPr/>
      <w:r>
        <w:rPr>
          <w:rFonts w:ascii="Calibri" w:hAnsi="Calibri" w:eastAsia="Calibri"/>
          <w:b/>
          <w:color w:val="0B2545"/>
        </w:rPr>
        <w:t>Deliverable and implementation boundary:</w:t>
      </w:r>
      <w:r>
        <w:rPr>
          <w:rFonts w:ascii="Calibri" w:hAnsi="Calibri" w:eastAsia="Calibri"/>
          <w:color w:val="111827"/>
        </w:rPr>
        <w:t xml:space="preserve"> Normalized finding and separate observations, fingerprint versioning, reviewed aliases and reversible merge/split operations</w:t>
      </w:r>
    </w:p>
    <w:p>
      <w:pPr/>
      <w:r>
        <w:rPr>
          <w:rFonts w:ascii="Calibri" w:hAnsi="Calibri" w:eastAsia="Calibri"/>
          <w:b/>
          <w:color w:val="0B2545"/>
        </w:rPr>
        <w:t>Dependencies:</w:t>
      </w:r>
      <w:r>
        <w:rPr>
          <w:rFonts w:ascii="Calibri" w:hAnsi="Calibri" w:eastAsia="Calibri"/>
          <w:color w:val="111827"/>
        </w:rPr>
        <w:t xml:space="preserve"> L02, L03</w:t>
      </w:r>
    </w:p>
    <w:p>
      <w:pPr/>
      <w:r>
        <w:rPr>
          <w:rFonts w:ascii="Calibri" w:hAnsi="Calibri" w:eastAsia="Calibri"/>
          <w:b/>
          <w:color w:val="0B2545"/>
        </w:rPr>
        <w:t>Acceptance evidence:</w:t>
      </w:r>
      <w:r>
        <w:rPr>
          <w:rFonts w:ascii="Calibri" w:hAnsi="Calibri" w:eastAsia="Calibri"/>
          <w:color w:val="111827"/>
        </w:rPr>
        <w:t xml:space="preserve"> &gt;=95% selected same-finding mutations retain/correctly alias identity; zero seeded distinct findings silently merged; tenant/target boundary retained</w:t>
      </w:r>
    </w:p>
    <w:p>
      <w:pPr>
        <w:pStyle w:val="Heading3"/>
        <w:keepNext/>
        <w:keepLines/>
      </w:pPr>
      <w:r>
        <w:t>L05 / QA-security</w:t>
      </w:r>
    </w:p>
    <w:p>
      <w:pPr/>
      <w:r>
        <w:rPr>
          <w:rFonts w:ascii="Calibri" w:hAnsi="Calibri" w:eastAsia="Calibri"/>
          <w:b/>
          <w:color w:val="0B2545"/>
        </w:rPr>
        <w:t>Deliverable and implementation boundary:</w:t>
      </w:r>
      <w:r>
        <w:rPr>
          <w:rFonts w:ascii="Calibri" w:hAnsi="Calibri" w:eastAsia="Calibri"/>
          <w:color w:val="111827"/>
        </w:rPr>
        <w:t xml:space="preserve"> Versioned seeded benchmark and coverage manifest; explicit negative fixtures and collection failures</w:t>
      </w:r>
    </w:p>
    <w:p>
      <w:pPr/>
      <w:r>
        <w:rPr>
          <w:rFonts w:ascii="Calibri" w:hAnsi="Calibri" w:eastAsia="Calibri"/>
          <w:b/>
          <w:color w:val="0B2545"/>
        </w:rPr>
        <w:t>Dependencies:</w:t>
      </w:r>
      <w:r>
        <w:rPr>
          <w:rFonts w:ascii="Calibri" w:hAnsi="Calibri" w:eastAsia="Calibri"/>
          <w:color w:val="111827"/>
        </w:rPr>
        <w:t xml:space="preserve"> L02–L04</w:t>
      </w:r>
    </w:p>
    <w:p>
      <w:pPr/>
      <w:r>
        <w:rPr>
          <w:rFonts w:ascii="Calibri" w:hAnsi="Calibri" w:eastAsia="Calibri"/>
          <w:b/>
          <w:color w:val="0B2545"/>
        </w:rPr>
        <w:t>Acceptance evidence:</w:t>
      </w:r>
      <w:r>
        <w:rPr>
          <w:rFonts w:ascii="Calibri" w:hAnsi="Calibri" w:eastAsia="Calibri"/>
          <w:color w:val="111827"/>
        </w:rPr>
        <w:t xml:space="preserve"> &gt;=90% of selected seeded baseline detected, denominators and uncovered classes reported; synthetic outputs identified separately from actual adapter runs</w:t>
      </w:r>
    </w:p>
    <w:p>
      <w:pPr/>
      <w:r>
        <w:rPr>
          <w:rFonts w:ascii="Calibri" w:hAnsi="Calibri" w:eastAsia="Calibri"/>
          <w:color w:val="111827"/>
        </w:rPr>
        <w:t>Adapter result contract: schema version; organization/target/job/authorization/profile IDs; tool, rule and input revisions; start/end status; coverage and truncation indicators; source observations; sanitization outcome; evidence references. Findings contain fingerprint/version, source identity, separate severity/likelihood/action/confidence dimensions and observation links. A failed or partial scan never implies a finding is fixed.</w:t>
      </w:r>
    </w:p>
    <w:p>
      <w:pPr/>
      <w:r>
        <w:rPr>
          <w:rFonts w:ascii="Calibri" w:hAnsi="Calibri" w:eastAsia="Calibri"/>
          <w:color w:val="111827"/>
        </w:rPr>
        <w:t>Identity rules follow v1.3 §6.10: web identities use alert class, normalized route, method class and parameter within organization/target; source identities use rule and structural context within repository; dependency identities use ecosystem/package/vulnerability within logical artifact. Volatile line/layer/build details remain observation evidence. Dependency identity must preserve distinct deployable artifacts. Route/context ambiguities require review rather than silent merge.</w:t>
      </w:r>
    </w:p>
    <w:p>
      <w:pPr/>
      <w:r>
        <w:rPr>
          <w:rFonts w:ascii="Calibri" w:hAnsi="Calibri" w:eastAsia="Calibri"/>
          <w:color w:val="111827"/>
        </w:rPr>
        <w:t>Before formal testing, collect software G3 code review, build provenance, component inventory, unit/integration results and known-defect evidence. These are required evidence items, not confirmed evidence. No new scanner class may enter via a profile setting alone.</w:t>
      </w:r>
    </w:p>
    <w:p>
      <w:pPr>
        <w:pStyle w:val="Heading2"/>
        <w:keepNext/>
        <w:keepLines/>
      </w:pPr>
      <w:r>
        <w:t>E.7. Phase 3 — find–fix–prove workflow</w:t>
      </w:r>
    </w:p>
    <w:p>
      <w:pPr/>
      <w:r>
        <w:rPr>
          <w:rFonts w:ascii="Calibri" w:hAnsi="Calibri" w:eastAsia="Calibri"/>
          <w:color w:val="111827"/>
        </w:rPr>
        <w:t>All rows below are proposed work. The listed owner is the proposed accountable role. Closure, verification and recurrence outcomes remain unconfirmed until evidence is reviewed.</w:t>
      </w:r>
    </w:p>
    <w:p>
      <w:pPr>
        <w:pStyle w:val="Heading3"/>
        <w:keepNext/>
        <w:keepLines/>
      </w:pPr>
      <w:r>
        <w:t>W01 / Security-platform</w:t>
      </w:r>
    </w:p>
    <w:p>
      <w:pPr/>
      <w:r>
        <w:rPr>
          <w:rFonts w:ascii="Calibri" w:hAnsi="Calibri" w:eastAsia="Calibri"/>
          <w:b/>
          <w:color w:val="0B2545"/>
        </w:rPr>
        <w:t>Deliverable and implementation boundary:</w:t>
      </w:r>
      <w:r>
        <w:rPr>
          <w:rFonts w:ascii="Calibri" w:hAnsi="Calibri" w:eastAsia="Calibri"/>
          <w:color w:val="111827"/>
        </w:rPr>
        <w:t xml:space="preserve"> Separate source and environment-adjusted CVSS fields, dated EPSS, approved SSVC-style tree and independent confidence</w:t>
      </w:r>
    </w:p>
    <w:p>
      <w:pPr/>
      <w:r>
        <w:rPr>
          <w:rFonts w:ascii="Calibri" w:hAnsi="Calibri" w:eastAsia="Calibri"/>
          <w:b/>
          <w:color w:val="0B2545"/>
        </w:rPr>
        <w:t>Dependencies:</w:t>
      </w:r>
      <w:r>
        <w:rPr>
          <w:rFonts w:ascii="Calibri" w:hAnsi="Calibri" w:eastAsia="Calibri"/>
          <w:color w:val="111827"/>
        </w:rPr>
        <w:t xml:space="preserve"> L04, D10</w:t>
      </w:r>
    </w:p>
    <w:p>
      <w:pPr/>
      <w:r>
        <w:rPr>
          <w:rFonts w:ascii="Calibri" w:hAnsi="Calibri" w:eastAsia="Calibri"/>
          <w:b/>
          <w:color w:val="0B2545"/>
        </w:rPr>
        <w:t>Acceptance evidence:</w:t>
      </w:r>
      <w:r>
        <w:rPr>
          <w:rFonts w:ascii="Calibri" w:hAnsi="Calibri" w:eastAsia="Calibri"/>
          <w:color w:val="111827"/>
        </w:rPr>
        <w:t xml:space="preserve"> Source scores/evidence never overwritten; missing signals are unknown, not zero; severe low-confidence findings enter urgent validation; priority floor exception is explicit</w:t>
      </w:r>
    </w:p>
    <w:p>
      <w:pPr>
        <w:pStyle w:val="Heading3"/>
        <w:keepNext/>
        <w:keepLines/>
      </w:pPr>
      <w:r>
        <w:t>W02 / Platform-frontend</w:t>
      </w:r>
    </w:p>
    <w:p>
      <w:pPr/>
      <w:r>
        <w:rPr>
          <w:rFonts w:ascii="Calibri" w:hAnsi="Calibri" w:eastAsia="Calibri"/>
          <w:b/>
          <w:color w:val="0B2545"/>
        </w:rPr>
        <w:t>Deliverable and implementation boundary:</w:t>
      </w:r>
      <w:r>
        <w:rPr>
          <w:rFonts w:ascii="Calibri" w:hAnsi="Calibri" w:eastAsia="Calibri"/>
          <w:color w:val="111827"/>
        </w:rPr>
        <w:t xml:space="preserve"> Authorized triage, assignment, remediation, expiring suppression/exception and reviewer-owned overrides</w:t>
      </w:r>
    </w:p>
    <w:p>
      <w:pPr/>
      <w:r>
        <w:rPr>
          <w:rFonts w:ascii="Calibri" w:hAnsi="Calibri" w:eastAsia="Calibri"/>
          <w:b/>
          <w:color w:val="0B2545"/>
        </w:rPr>
        <w:t>Dependencies:</w:t>
      </w:r>
      <w:r>
        <w:rPr>
          <w:rFonts w:ascii="Calibri" w:hAnsi="Calibri" w:eastAsia="Calibri"/>
          <w:color w:val="111827"/>
        </w:rPr>
        <w:t xml:space="preserve"> W01, F02, F07</w:t>
      </w:r>
    </w:p>
    <w:p>
      <w:pPr/>
      <w:r>
        <w:rPr>
          <w:rFonts w:ascii="Calibri" w:hAnsi="Calibri" w:eastAsia="Calibri"/>
          <w:b/>
          <w:color w:val="0B2545"/>
        </w:rPr>
        <w:t>Acceptance evidence:</w:t>
      </w:r>
      <w:r>
        <w:rPr>
          <w:rFonts w:ascii="Calibri" w:hAnsi="Calibri" w:eastAsia="Calibri"/>
          <w:color w:val="111827"/>
        </w:rPr>
        <w:t xml:space="preserve"> Every transition checks role and organization; reason/reviewer/expiry captured; expired exceptions return to attention; accepted risk is not verified closure</w:t>
      </w:r>
    </w:p>
    <w:p>
      <w:pPr>
        <w:pStyle w:val="Heading3"/>
        <w:keepNext/>
        <w:keepLines/>
      </w:pPr>
      <w:r>
        <w:t>W03 / Security-platform</w:t>
      </w:r>
    </w:p>
    <w:p>
      <w:pPr/>
      <w:r>
        <w:rPr>
          <w:rFonts w:ascii="Calibri" w:hAnsi="Calibri" w:eastAsia="Calibri"/>
          <w:b/>
          <w:color w:val="0B2545"/>
        </w:rPr>
        <w:t>Deliverable and implementation boundary:</w:t>
      </w:r>
      <w:r>
        <w:rPr>
          <w:rFonts w:ascii="Calibri" w:hAnsi="Calibri" w:eastAsia="Calibri"/>
          <w:color w:val="111827"/>
        </w:rPr>
        <w:t xml:space="preserve"> Scoped verification job, coverage comparison, independent closure and automatic recurrence handling</w:t>
      </w:r>
    </w:p>
    <w:p>
      <w:pPr/>
      <w:r>
        <w:rPr>
          <w:rFonts w:ascii="Calibri" w:hAnsi="Calibri" w:eastAsia="Calibri"/>
          <w:b/>
          <w:color w:val="0B2545"/>
        </w:rPr>
        <w:t>Dependencies:</w:t>
      </w:r>
      <w:r>
        <w:rPr>
          <w:rFonts w:ascii="Calibri" w:hAnsi="Calibri" w:eastAsia="Calibri"/>
          <w:color w:val="111827"/>
        </w:rPr>
        <w:t xml:space="preserve"> W02, L05</w:t>
      </w:r>
    </w:p>
    <w:p>
      <w:pPr/>
      <w:r>
        <w:rPr>
          <w:rFonts w:ascii="Calibri" w:hAnsi="Calibri" w:eastAsia="Calibri"/>
          <w:b/>
          <w:color w:val="0B2545"/>
        </w:rPr>
        <w:t>Acceptance evidence:</w:t>
      </w:r>
      <w:r>
        <w:rPr>
          <w:rFonts w:ascii="Calibri" w:hAnsi="Calibri" w:eastAsia="Calibri"/>
          <w:color w:val="111827"/>
        </w:rPr>
        <w:t xml:space="preserve"> Matching complete successful rescan plus reviewer decision can close; error/timeout/partial coverage cannot; unchanged finding remains open; post-closure recurrence reopens</w:t>
      </w:r>
    </w:p>
    <w:p>
      <w:pPr>
        <w:pStyle w:val="Heading3"/>
        <w:keepNext/>
        <w:keepLines/>
      </w:pPr>
      <w:r>
        <w:t>W04 / Frontend</w:t>
      </w:r>
    </w:p>
    <w:p>
      <w:pPr/>
      <w:r>
        <w:rPr>
          <w:rFonts w:ascii="Calibri" w:hAnsi="Calibri" w:eastAsia="Calibri"/>
          <w:b/>
          <w:color w:val="0B2545"/>
        </w:rPr>
        <w:t>Deliverable and implementation boundary:</w:t>
      </w:r>
      <w:r>
        <w:rPr>
          <w:rFonts w:ascii="Calibri" w:hAnsi="Calibri" w:eastAsia="Calibri"/>
          <w:color w:val="111827"/>
        </w:rPr>
        <w:t xml:space="preserve"> Role-based dashboard, evidence views, management summary and tenant-filtered JSON/CSV export</w:t>
      </w:r>
    </w:p>
    <w:p>
      <w:pPr/>
      <w:r>
        <w:rPr>
          <w:rFonts w:ascii="Calibri" w:hAnsi="Calibri" w:eastAsia="Calibri"/>
          <w:b/>
          <w:color w:val="0B2545"/>
        </w:rPr>
        <w:t>Dependencies:</w:t>
      </w:r>
      <w:r>
        <w:rPr>
          <w:rFonts w:ascii="Calibri" w:hAnsi="Calibri" w:eastAsia="Calibri"/>
          <w:color w:val="111827"/>
        </w:rPr>
        <w:t xml:space="preserve"> W01–W03, F08</w:t>
      </w:r>
    </w:p>
    <w:p>
      <w:pPr/>
      <w:r>
        <w:rPr>
          <w:rFonts w:ascii="Calibri" w:hAnsi="Calibri" w:eastAsia="Calibri"/>
          <w:b/>
          <w:color w:val="0B2545"/>
        </w:rPr>
        <w:t>Acceptance evidence:</w:t>
      </w:r>
      <w:r>
        <w:rPr>
          <w:rFonts w:ascii="Calibri" w:hAnsi="Calibri" w:eastAsia="Calibri"/>
          <w:color w:val="111827"/>
        </w:rPr>
        <w:t xml:space="preserve"> Role scenarios work by keyboard; server enforces scope; CSV formula injection mitigated; downloads sanitized; deferred capabilities absent</w:t>
      </w:r>
    </w:p>
    <w:p>
      <w:pPr>
        <w:pStyle w:val="Heading3"/>
        <w:keepNext/>
        <w:keepLines/>
      </w:pPr>
      <w:r>
        <w:t>W05 / QA-product</w:t>
      </w:r>
    </w:p>
    <w:p>
      <w:pPr/>
      <w:r>
        <w:rPr>
          <w:rFonts w:ascii="Calibri" w:hAnsi="Calibri" w:eastAsia="Calibri"/>
          <w:b/>
          <w:color w:val="0B2545"/>
        </w:rPr>
        <w:t>Deliverable and implementation boundary:</w:t>
      </w:r>
      <w:r>
        <w:rPr>
          <w:rFonts w:ascii="Calibri" w:hAnsi="Calibri" w:eastAsia="Calibri"/>
          <w:color w:val="111827"/>
        </w:rPr>
        <w:t xml:space="preserve"> Seeded user acceptance journey and user guides</w:t>
      </w:r>
    </w:p>
    <w:p>
      <w:pPr/>
      <w:r>
        <w:rPr>
          <w:rFonts w:ascii="Calibri" w:hAnsi="Calibri" w:eastAsia="Calibri"/>
          <w:b/>
          <w:color w:val="0B2545"/>
        </w:rPr>
        <w:t>Dependencies:</w:t>
      </w:r>
      <w:r>
        <w:rPr>
          <w:rFonts w:ascii="Calibri" w:hAnsi="Calibri" w:eastAsia="Calibri"/>
          <w:color w:val="111827"/>
        </w:rPr>
        <w:t xml:space="preserve"> W04</w:t>
      </w:r>
    </w:p>
    <w:p>
      <w:pPr/>
      <w:r>
        <w:rPr>
          <w:rFonts w:ascii="Calibri" w:hAnsi="Calibri" w:eastAsia="Calibri"/>
          <w:b/>
          <w:color w:val="0B2545"/>
        </w:rPr>
        <w:t>Acceptance evidence:</w:t>
      </w:r>
      <w:r>
        <w:rPr>
          <w:rFonts w:ascii="Calibri" w:hAnsi="Calibri" w:eastAsia="Calibri"/>
          <w:color w:val="111827"/>
        </w:rPr>
        <w:t xml:space="preserve"> Record authorization → discovery → triage → override → assignment → fix → verification → closure → recurrence, with anchored evidence and actor separation</w:t>
      </w:r>
    </w:p>
    <w:p>
      <w:pPr/>
      <w:r>
        <w:rPr>
          <w:rFonts w:ascii="Calibri" w:hAnsi="Calibri" w:eastAsia="Calibri"/>
          <w:color w:val="111827"/>
        </w:rPr>
        <w:t>Verification is not simply “no alert returned.” Require the same logical target/control, a compatible recorded profile/rule set, completed collection, adequate coverage, authorized current input and a defensible comparison. Removed or inaccessible targets require explicit disposition, not automatic proof of remediation. The original observation and reviewer reasoning remain traceable.</w:t>
      </w:r>
    </w:p>
    <w:p>
      <w:pPr/>
      <w:r>
        <w:rPr>
          <w:rFonts w:ascii="Calibri" w:hAnsi="Calibri" w:eastAsia="Calibri"/>
          <w:color w:val="111827"/>
        </w:rPr>
        <w:t>End-to-end demonstration uses synthetic or permitted owned-lab evidence. A source/dependency example must not be presented as proof that the deployed application is unreachable or safe unless that separate condition was actually verified.</w:t>
      </w:r>
    </w:p>
    <w:p>
      <w:pPr>
        <w:pStyle w:val="Heading2"/>
        <w:keepNext/>
        <w:keepLines/>
      </w:pPr>
      <w:r>
        <w:t>E.8. Phase 4 — hardening and pilot readiness</w:t>
      </w:r>
    </w:p>
    <w:p>
      <w:pPr/>
      <w:r>
        <w:rPr>
          <w:rFonts w:ascii="Calibri" w:hAnsi="Calibri" w:eastAsia="Calibri"/>
          <w:color w:val="111827"/>
        </w:rPr>
        <w:t>All rows below are proposed work. Independent review, readiness approval and pilot authorization are unconfirmed unless separately recorded.</w:t>
      </w:r>
    </w:p>
    <w:p>
      <w:pPr>
        <w:pStyle w:val="Heading3"/>
        <w:keepNext/>
        <w:keepLines/>
      </w:pPr>
      <w:r>
        <w:t>H01 / Independent reviewer</w:t>
      </w:r>
    </w:p>
    <w:p>
      <w:pPr/>
      <w:r>
        <w:rPr>
          <w:rFonts w:ascii="Calibri" w:hAnsi="Calibri" w:eastAsia="Calibri"/>
          <w:b/>
          <w:color w:val="0B2545"/>
        </w:rPr>
        <w:t>Deliverable:</w:t>
      </w:r>
      <w:r>
        <w:rPr>
          <w:rFonts w:ascii="Calibri" w:hAnsi="Calibri" w:eastAsia="Calibri"/>
          <w:color w:val="111827"/>
        </w:rPr>
        <w:t xml:space="preserve"> Independent assessment of Seal and trust boundaries</w:t>
      </w:r>
    </w:p>
    <w:p>
      <w:pPr/>
      <w:r>
        <w:rPr>
          <w:rFonts w:ascii="Calibri" w:hAnsi="Calibri" w:eastAsia="Calibri"/>
          <w:b/>
          <w:color w:val="0B2545"/>
        </w:rPr>
        <w:t>Dependencies:</w:t>
      </w:r>
      <w:r>
        <w:rPr>
          <w:rFonts w:ascii="Calibri" w:hAnsi="Calibri" w:eastAsia="Calibri"/>
          <w:color w:val="111827"/>
        </w:rPr>
        <w:t xml:space="preserve"> F, L and W packages; G3 evidence</w:t>
      </w:r>
    </w:p>
    <w:p>
      <w:pPr/>
      <w:r>
        <w:rPr>
          <w:rFonts w:ascii="Calibri" w:hAnsi="Calibri" w:eastAsia="Calibri"/>
          <w:b/>
          <w:color w:val="0B2545"/>
        </w:rPr>
        <w:t>Acceptance evidence:</w:t>
      </w:r>
      <w:r>
        <w:rPr>
          <w:rFonts w:ascii="Calibri" w:hAnsi="Calibri" w:eastAsia="Calibri"/>
          <w:color w:val="111827"/>
        </w:rPr>
        <w:t xml:space="preserve"> Scope, method, findings, retests and residual risks; unresolved blocking controls prevent readiness approval</w:t>
      </w:r>
    </w:p>
    <w:p>
      <w:pPr>
        <w:pStyle w:val="Heading3"/>
        <w:keepNext/>
        <w:keepLines/>
      </w:pPr>
      <w:r>
        <w:t>H02 / QA-DevSecOps</w:t>
      </w:r>
    </w:p>
    <w:p>
      <w:pPr/>
      <w:r>
        <w:rPr>
          <w:rFonts w:ascii="Calibri" w:hAnsi="Calibri" w:eastAsia="Calibri"/>
          <w:b/>
          <w:color w:val="0B2545"/>
        </w:rPr>
        <w:t>Deliverable:</w:t>
      </w:r>
      <w:r>
        <w:rPr>
          <w:rFonts w:ascii="Calibri" w:hAnsi="Calibri" w:eastAsia="Calibri"/>
          <w:color w:val="111827"/>
        </w:rPr>
        <w:t xml:space="preserve"> Repeatable load, availability, stop, recovery and restore exercises</w:t>
      </w:r>
    </w:p>
    <w:p>
      <w:pPr/>
      <w:r>
        <w:rPr>
          <w:rFonts w:ascii="Calibri" w:hAnsi="Calibri" w:eastAsia="Calibri"/>
          <w:b/>
          <w:color w:val="0B2545"/>
        </w:rPr>
        <w:t>Dependencies:</w:t>
      </w:r>
      <w:r>
        <w:rPr>
          <w:rFonts w:ascii="Calibri" w:hAnsi="Calibri" w:eastAsia="Calibri"/>
          <w:color w:val="111827"/>
        </w:rPr>
        <w:t xml:space="preserve"> Candidate build, approved isolated workload</w:t>
      </w:r>
    </w:p>
    <w:p>
      <w:pPr/>
      <w:r>
        <w:rPr>
          <w:rFonts w:ascii="Calibri" w:hAnsi="Calibri" w:eastAsia="Calibri"/>
          <w:b/>
          <w:color w:val="0B2545"/>
        </w:rPr>
        <w:t>Acceptance evidence:</w:t>
      </w:r>
      <w:r>
        <w:rPr>
          <w:rFonts w:ascii="Calibri" w:hAnsi="Calibri" w:eastAsia="Calibri"/>
          <w:color w:val="111827"/>
        </w:rPr>
        <w:t xml:space="preserve"> Test matrix below with raw measurements, failure cases and hardware/workload description</w:t>
      </w:r>
    </w:p>
    <w:p>
      <w:pPr>
        <w:pStyle w:val="Heading3"/>
        <w:keepNext/>
        <w:keepLines/>
      </w:pPr>
      <w:r>
        <w:t>H03 / Incident coordinator</w:t>
      </w:r>
    </w:p>
    <w:p>
      <w:pPr/>
      <w:r>
        <w:rPr>
          <w:rFonts w:ascii="Calibri" w:hAnsi="Calibri" w:eastAsia="Calibri"/>
          <w:b/>
          <w:color w:val="0B2545"/>
        </w:rPr>
        <w:t>Deliverable:</w:t>
      </w:r>
      <w:r>
        <w:rPr>
          <w:rFonts w:ascii="Calibri" w:hAnsi="Calibri" w:eastAsia="Calibri"/>
          <w:color w:val="111827"/>
        </w:rPr>
        <w:t xml:space="preserve"> Active-compromise tabletop and evidence-preservation exercise</w:t>
      </w:r>
    </w:p>
    <w:p>
      <w:pPr/>
      <w:r>
        <w:rPr>
          <w:rFonts w:ascii="Calibri" w:hAnsi="Calibri" w:eastAsia="Calibri"/>
          <w:b/>
          <w:color w:val="0B2545"/>
        </w:rPr>
        <w:t>Dependencies:</w:t>
      </w:r>
      <w:r>
        <w:rPr>
          <w:rFonts w:ascii="Calibri" w:hAnsi="Calibri" w:eastAsia="Calibri"/>
          <w:color w:val="111827"/>
        </w:rPr>
        <w:t xml:space="preserve"> F06–F08, D09–D10</w:t>
      </w:r>
    </w:p>
    <w:p>
      <w:pPr/>
      <w:r>
        <w:rPr>
          <w:rFonts w:ascii="Calibri" w:hAnsi="Calibri" w:eastAsia="Calibri"/>
          <w:b/>
          <w:color w:val="0B2545"/>
        </w:rPr>
        <w:t>Acceptance evidence:</w:t>
      </w:r>
      <w:r>
        <w:rPr>
          <w:rFonts w:ascii="Calibri" w:hAnsi="Calibri" w:eastAsia="Calibri"/>
          <w:color w:val="111827"/>
        </w:rPr>
        <w:t xml:space="preserve"> Assessment halt, restricted evidence, named owner notification and legal/CERT decision clock recorded; no autonomous regulatory filing assumed</w:t>
      </w:r>
    </w:p>
    <w:p>
      <w:pPr>
        <w:pStyle w:val="Heading3"/>
        <w:keepNext/>
        <w:keepLines/>
      </w:pPr>
      <w:r>
        <w:t>H04 / Service owner</w:t>
      </w:r>
    </w:p>
    <w:p>
      <w:pPr/>
      <w:r>
        <w:rPr>
          <w:rFonts w:ascii="Calibri" w:hAnsi="Calibri" w:eastAsia="Calibri"/>
          <w:b/>
          <w:color w:val="0B2545"/>
        </w:rPr>
        <w:t>Deliverable:</w:t>
      </w:r>
      <w:r>
        <w:rPr>
          <w:rFonts w:ascii="Calibri" w:hAnsi="Calibri" w:eastAsia="Calibri"/>
          <w:color w:val="111827"/>
        </w:rPr>
        <w:t xml:space="preserve"> Candidate release package, admin/assessor/owner/reviewer guides, rollback and support rota</w:t>
      </w:r>
    </w:p>
    <w:p>
      <w:pPr/>
      <w:r>
        <w:rPr>
          <w:rFonts w:ascii="Calibri" w:hAnsi="Calibri" w:eastAsia="Calibri"/>
          <w:b/>
          <w:color w:val="0B2545"/>
        </w:rPr>
        <w:t>Dependencies:</w:t>
      </w:r>
      <w:r>
        <w:rPr>
          <w:rFonts w:ascii="Calibri" w:hAnsi="Calibri" w:eastAsia="Calibri"/>
          <w:color w:val="111827"/>
        </w:rPr>
        <w:t xml:space="preserve"> H01–H03, W05</w:t>
      </w:r>
    </w:p>
    <w:p>
      <w:pPr/>
      <w:r>
        <w:rPr>
          <w:rFonts w:ascii="Calibri" w:hAnsi="Calibri" w:eastAsia="Calibri"/>
          <w:b/>
          <w:color w:val="0B2545"/>
        </w:rPr>
        <w:t>Acceptance evidence:</w:t>
      </w:r>
      <w:r>
        <w:rPr>
          <w:rFonts w:ascii="Calibri" w:hAnsi="Calibri" w:eastAsia="Calibri"/>
          <w:color w:val="111827"/>
        </w:rPr>
        <w:t xml:space="preserve"> Named on-call ownership, deployment rehearsal, restore/rollback rehearsal and known limitations accepted</w:t>
      </w:r>
    </w:p>
    <w:p>
      <w:pPr>
        <w:pStyle w:val="Heading3"/>
        <w:keepNext/>
        <w:keepLines/>
      </w:pPr>
      <w:r>
        <w:t>H05 / Project Authority</w:t>
      </w:r>
    </w:p>
    <w:p>
      <w:pPr/>
      <w:r>
        <w:rPr>
          <w:rFonts w:ascii="Calibri" w:hAnsi="Calibri" w:eastAsia="Calibri"/>
          <w:b/>
          <w:color w:val="0B2545"/>
        </w:rPr>
        <w:t>Deliverable:</w:t>
      </w:r>
      <w:r>
        <w:rPr>
          <w:rFonts w:ascii="Calibri" w:hAnsi="Calibri" w:eastAsia="Calibri"/>
          <w:color w:val="111827"/>
        </w:rPr>
        <w:t xml:space="preserve"> Combined PM Gate 4/software G4 readiness decision and explicit environment scope</w:t>
      </w:r>
    </w:p>
    <w:p>
      <w:pPr/>
      <w:r>
        <w:rPr>
          <w:rFonts w:ascii="Calibri" w:hAnsi="Calibri" w:eastAsia="Calibri"/>
          <w:b/>
          <w:color w:val="0B2545"/>
        </w:rPr>
        <w:t>Dependencies:</w:t>
      </w:r>
      <w:r>
        <w:rPr>
          <w:rFonts w:ascii="Calibri" w:hAnsi="Calibri" w:eastAsia="Calibri"/>
          <w:color w:val="111827"/>
        </w:rPr>
        <w:t xml:space="preserve"> H01–H04</w:t>
      </w:r>
    </w:p>
    <w:p>
      <w:pPr/>
      <w:r>
        <w:rPr>
          <w:rFonts w:ascii="Calibri" w:hAnsi="Calibri" w:eastAsia="Calibri"/>
          <w:b/>
          <w:color w:val="0B2545"/>
        </w:rPr>
        <w:t>Acceptance evidence:</w:t>
      </w:r>
      <w:r>
        <w:rPr>
          <w:rFonts w:ascii="Calibri" w:hAnsi="Calibri" w:eastAsia="Calibri"/>
          <w:color w:val="111827"/>
        </w:rPr>
        <w:t xml:space="preserve"> Signed allow/hold decision; independent reviewer evidence; external pilot separately blocked unless regulatory, privacy and target permissions are recorded</w:t>
      </w:r>
    </w:p>
    <w:p>
      <w:pPr>
        <w:pStyle w:val="Heading3"/>
        <w:keepNext/>
        <w:keepLines/>
      </w:pPr>
      <w:r>
        <w:t>Acceptance matrix</w:t>
      </w:r>
    </w:p>
    <w:p>
      <w:pPr/>
      <w:r>
        <w:rPr>
          <w:rFonts w:ascii="Calibri" w:hAnsi="Calibri" w:eastAsia="Calibri"/>
          <w:color w:val="111827"/>
        </w:rPr>
        <w:t>The thresholds below are proposed baseline criteria derived from v1.3. They are not confirmed results. Dataset size, workload duration, environmental assumptions and measurement exclusions require approval before testing.</w:t>
      </w:r>
    </w:p>
    <w:p>
      <w:pPr>
        <w:pStyle w:val="Heading3"/>
        <w:keepNext/>
        <w:keepLines/>
      </w:pPr>
      <w:r>
        <w:t>T01</w:t>
      </w:r>
    </w:p>
    <w:p>
      <w:pPr/>
      <w:r>
        <w:rPr>
          <w:rFonts w:ascii="Calibri" w:hAnsi="Calibri" w:eastAsia="Calibri"/>
          <w:b/>
          <w:color w:val="0B2545"/>
        </w:rPr>
        <w:t>Test / threshold from v1.3:</w:t>
      </w:r>
      <w:r>
        <w:rPr>
          <w:rFonts w:ascii="Calibri" w:hAnsi="Calibri" w:eastAsia="Calibri"/>
          <w:color w:val="111827"/>
        </w:rPr>
        <w:t xml:space="preserve"> 100% executed jobs linked to valid authorization; zero successful scope-bypass cases</w:t>
      </w:r>
    </w:p>
    <w:p>
      <w:pPr/>
      <w:r>
        <w:rPr>
          <w:rFonts w:ascii="Calibri" w:hAnsi="Calibri" w:eastAsia="Calibri"/>
          <w:b/>
          <w:color w:val="0B2545"/>
        </w:rPr>
        <w:t>Evidence method:</w:t>
      </w:r>
      <w:r>
        <w:rPr>
          <w:rFonts w:ascii="Calibri" w:hAnsi="Calibri" w:eastAsia="Calibri"/>
          <w:color w:val="111827"/>
        </w:rPr>
        <w:t xml:space="preserve"> Reconcile executions to authorization/version/window; controlled expired/revoked/redirect/DNS/direct-egress negatives</w:t>
      </w:r>
    </w:p>
    <w:p>
      <w:pPr>
        <w:pStyle w:val="Heading3"/>
        <w:keepNext/>
        <w:keepLines/>
      </w:pPr>
      <w:r>
        <w:t>T02</w:t>
      </w:r>
    </w:p>
    <w:p>
      <w:pPr/>
      <w:r>
        <w:rPr>
          <w:rFonts w:ascii="Calibri" w:hAnsi="Calibri" w:eastAsia="Calibri"/>
          <w:b/>
          <w:color w:val="0B2545"/>
        </w:rPr>
        <w:t>Test / threshold from v1.3:</w:t>
      </w:r>
      <w:r>
        <w:rPr>
          <w:rFonts w:ascii="Calibri" w:hAnsi="Calibri" w:eastAsia="Calibri"/>
          <w:color w:val="111827"/>
        </w:rPr>
        <w:t xml:space="preserve"> Zero successful cross-organization access in release suite</w:t>
      </w:r>
    </w:p>
    <w:p>
      <w:pPr/>
      <w:r>
        <w:rPr>
          <w:rFonts w:ascii="Calibri" w:hAnsi="Calibri" w:eastAsia="Calibri"/>
          <w:b/>
          <w:color w:val="0B2545"/>
        </w:rPr>
        <w:t>Evidence method:</w:t>
      </w:r>
      <w:r>
        <w:rPr>
          <w:rFonts w:ascii="Calibri" w:hAnsi="Calibri" w:eastAsia="Calibri"/>
          <w:color w:val="111827"/>
        </w:rPr>
        <w:t xml:space="preserve"> Tenant A/B fixtures on every API, worker, cache and export path</w:t>
      </w:r>
    </w:p>
    <w:p>
      <w:pPr>
        <w:pStyle w:val="Heading3"/>
        <w:keepNext/>
        <w:keepLines/>
      </w:pPr>
      <w:r>
        <w:t>T03</w:t>
      </w:r>
    </w:p>
    <w:p>
      <w:pPr/>
      <w:r>
        <w:rPr>
          <w:rFonts w:ascii="Calibri" w:hAnsi="Calibri" w:eastAsia="Calibri"/>
          <w:b/>
          <w:color w:val="0B2545"/>
        </w:rPr>
        <w:t>Test / threshold from v1.3:</w:t>
      </w:r>
      <w:r>
        <w:rPr>
          <w:rFonts w:ascii="Calibri" w:hAnsi="Calibri" w:eastAsia="Calibri"/>
          <w:color w:val="111827"/>
        </w:rPr>
        <w:t xml:space="preserve"> Stop new outbound requests within 5 seconds; workers terminate within 30 seconds, in every stop test</w:t>
      </w:r>
    </w:p>
    <w:p>
      <w:pPr/>
      <w:r>
        <w:rPr>
          <w:rFonts w:ascii="Calibri" w:hAnsi="Calibri" w:eastAsia="Calibri"/>
          <w:b/>
          <w:color w:val="0B2545"/>
        </w:rPr>
        <w:t>Evidence method:</w:t>
      </w:r>
      <w:r>
        <w:rPr>
          <w:rFonts w:ascii="Calibri" w:hAnsi="Calibri" w:eastAsia="Calibri"/>
          <w:color w:val="111827"/>
        </w:rPr>
        <w:t xml:space="preserve"> Independent boundary timestamps under the approved 10-job laboratory workload</w:t>
      </w:r>
    </w:p>
    <w:p>
      <w:pPr>
        <w:pStyle w:val="Heading3"/>
        <w:keepNext/>
        <w:keepLines/>
      </w:pPr>
      <w:r>
        <w:t>T04</w:t>
      </w:r>
    </w:p>
    <w:p>
      <w:pPr/>
      <w:r>
        <w:rPr>
          <w:rFonts w:ascii="Calibri" w:hAnsi="Calibri" w:eastAsia="Calibri"/>
          <w:b/>
          <w:color w:val="0B2545"/>
        </w:rPr>
        <w:t>Test / threshold from v1.3:</w:t>
      </w:r>
      <w:r>
        <w:rPr>
          <w:rFonts w:ascii="Calibri" w:hAnsi="Calibri" w:eastAsia="Calibri"/>
          <w:color w:val="111827"/>
        </w:rPr>
        <w:t xml:space="preserve"> At least 90% of selected seeded vulnerabilities detected</w:t>
      </w:r>
    </w:p>
    <w:p>
      <w:pPr/>
      <w:r>
        <w:rPr>
          <w:rFonts w:ascii="Calibri" w:hAnsi="Calibri" w:eastAsia="Calibri"/>
          <w:b/>
          <w:color w:val="0B2545"/>
        </w:rPr>
        <w:t>Evidence method:</w:t>
      </w:r>
      <w:r>
        <w:rPr>
          <w:rFonts w:ascii="Calibri" w:hAnsi="Calibri" w:eastAsia="Calibri"/>
          <w:color w:val="111827"/>
        </w:rPr>
        <w:t xml:space="preserve"> Pinned fixture set; true detections / eligible seeded findings; report misses and coverage</w:t>
      </w:r>
    </w:p>
    <w:p>
      <w:pPr>
        <w:pStyle w:val="Heading3"/>
        <w:keepNext/>
        <w:keepLines/>
      </w:pPr>
      <w:r>
        <w:t>T05</w:t>
      </w:r>
    </w:p>
    <w:p>
      <w:pPr/>
      <w:r>
        <w:rPr>
          <w:rFonts w:ascii="Calibri" w:hAnsi="Calibri" w:eastAsia="Calibri"/>
          <w:b/>
          <w:color w:val="0B2545"/>
        </w:rPr>
        <w:t>Test / threshold from v1.3:</w:t>
      </w:r>
      <w:r>
        <w:rPr>
          <w:rFonts w:ascii="Calibri" w:hAnsi="Calibri" w:eastAsia="Calibri"/>
          <w:color w:val="111827"/>
        </w:rPr>
        <w:t xml:space="preserve"> At least 95% same-finding identity stability/correct aliases; zero silent distinct merges</w:t>
      </w:r>
    </w:p>
    <w:p>
      <w:pPr/>
      <w:r>
        <w:rPr>
          <w:rFonts w:ascii="Calibri" w:hAnsi="Calibri" w:eastAsia="Calibri"/>
          <w:b/>
          <w:color w:val="0B2545"/>
        </w:rPr>
        <w:t>Evidence method:</w:t>
      </w:r>
      <w:r>
        <w:rPr>
          <w:rFonts w:ascii="Calibri" w:hAnsi="Calibri" w:eastAsia="Calibri"/>
          <w:color w:val="111827"/>
        </w:rPr>
        <w:t xml:space="preserve"> Versioned mutation set and expected identities; report automatic and reviewer-assisted results separately</w:t>
      </w:r>
    </w:p>
    <w:p>
      <w:pPr>
        <w:pStyle w:val="Heading3"/>
        <w:keepNext/>
        <w:keepLines/>
      </w:pPr>
      <w:r>
        <w:t>T06</w:t>
      </w:r>
    </w:p>
    <w:p>
      <w:pPr/>
      <w:r>
        <w:rPr>
          <w:rFonts w:ascii="Calibri" w:hAnsi="Calibri" w:eastAsia="Calibri"/>
          <w:b/>
          <w:color w:val="0B2545"/>
        </w:rPr>
        <w:t>Test / threshold from v1.3:</w:t>
      </w:r>
      <w:r>
        <w:rPr>
          <w:rFonts w:ascii="Calibri" w:hAnsi="Calibri" w:eastAsia="Calibri"/>
          <w:color w:val="111827"/>
        </w:rPr>
        <w:t xml:space="preserve"> 100% defined significant events recorded; evidence mutation and chain tampering detected</w:t>
      </w:r>
    </w:p>
    <w:p>
      <w:pPr/>
      <w:r>
        <w:rPr>
          <w:rFonts w:ascii="Calibri" w:hAnsi="Calibri" w:eastAsia="Calibri"/>
          <w:b/>
          <w:color w:val="0B2545"/>
        </w:rPr>
        <w:t>Evidence method:</w:t>
      </w:r>
      <w:r>
        <w:rPr>
          <w:rFonts w:ascii="Calibri" w:hAnsi="Calibri" w:eastAsia="Calibri"/>
          <w:color w:val="111827"/>
        </w:rPr>
        <w:t xml:space="preserve"> Event-type coverage and failure injection; independent anchor verification</w:t>
      </w:r>
    </w:p>
    <w:p>
      <w:pPr>
        <w:pStyle w:val="Heading3"/>
        <w:keepNext/>
        <w:keepLines/>
      </w:pPr>
      <w:r>
        <w:t>T07</w:t>
      </w:r>
    </w:p>
    <w:p>
      <w:pPr/>
      <w:r>
        <w:rPr>
          <w:rFonts w:ascii="Calibri" w:hAnsi="Calibri" w:eastAsia="Calibri"/>
          <w:b/>
          <w:color w:val="0B2545"/>
        </w:rPr>
        <w:t>Test / threshold from v1.3:</w:t>
      </w:r>
      <w:r>
        <w:rPr>
          <w:rFonts w:ascii="Calibri" w:hAnsi="Calibri" w:eastAsia="Calibri"/>
          <w:color w:val="111827"/>
        </w:rPr>
        <w:t xml:space="preserve"> 100% closed high-risk findings contain verification evidence</w:t>
      </w:r>
    </w:p>
    <w:p>
      <w:pPr/>
      <w:r>
        <w:rPr>
          <w:rFonts w:ascii="Calibri" w:hAnsi="Calibri" w:eastAsia="Calibri"/>
          <w:b/>
          <w:color w:val="0B2545"/>
        </w:rPr>
        <w:t>Evidence method:</w:t>
      </w:r>
      <w:r>
        <w:rPr>
          <w:rFonts w:ascii="Calibri" w:hAnsi="Calibri" w:eastAsia="Calibri"/>
          <w:color w:val="111827"/>
        </w:rPr>
        <w:t xml:space="preserve"> Full population state/evidence audit; reject failed and incomplete verification</w:t>
      </w:r>
    </w:p>
    <w:p>
      <w:pPr>
        <w:pStyle w:val="Heading3"/>
        <w:keepNext/>
        <w:keepLines/>
      </w:pPr>
      <w:r>
        <w:t>T08</w:t>
      </w:r>
    </w:p>
    <w:p>
      <w:pPr/>
      <w:r>
        <w:rPr>
          <w:rFonts w:ascii="Calibri" w:hAnsi="Calibri" w:eastAsia="Calibri"/>
          <w:b/>
          <w:color w:val="0B2545"/>
        </w:rPr>
        <w:t>Test / threshold from v1.3:</w:t>
      </w:r>
      <w:r>
        <w:rPr>
          <w:rFonts w:ascii="Calibri" w:hAnsi="Calibri" w:eastAsia="Calibri"/>
          <w:color w:val="111827"/>
        </w:rPr>
        <w:t xml:space="preserve"> No more than 5% assigned findings later invalidated</w:t>
      </w:r>
    </w:p>
    <w:p>
      <w:pPr/>
      <w:r>
        <w:rPr>
          <w:rFonts w:ascii="Calibri" w:hAnsi="Calibri" w:eastAsia="Calibri"/>
          <w:b/>
          <w:color w:val="0B2545"/>
        </w:rPr>
        <w:t>Evidence method:</w:t>
      </w:r>
      <w:r>
        <w:rPr>
          <w:rFonts w:ascii="Calibri" w:hAnsi="Calibri" w:eastAsia="Calibri"/>
          <w:color w:val="111827"/>
        </w:rPr>
        <w:t xml:space="preserve"> Invalidated assigned findings / assigned findings in the defined cohort; record observation period and sample size. No assignments means not measurable, not 0%</w:t>
      </w:r>
    </w:p>
    <w:p>
      <w:pPr>
        <w:pStyle w:val="Heading3"/>
        <w:keepNext/>
        <w:keepLines/>
      </w:pPr>
      <w:r>
        <w:t>T09</w:t>
      </w:r>
    </w:p>
    <w:p>
      <w:pPr/>
      <w:r>
        <w:rPr>
          <w:rFonts w:ascii="Calibri" w:hAnsi="Calibri" w:eastAsia="Calibri"/>
          <w:b/>
          <w:color w:val="0B2545"/>
        </w:rPr>
        <w:t>Test / threshold from v1.3:</w:t>
      </w:r>
      <w:r>
        <w:rPr>
          <w:rFonts w:ascii="Calibri" w:hAnsi="Calibri" w:eastAsia="Calibri"/>
          <w:color w:val="111827"/>
        </w:rPr>
        <w:t xml:space="preserve"> Dispatch p95 &lt;=30 seconds at 10 concurrent lab jobs; dashboard/API p95 &lt;=2 seconds at 25 viewers and 100,000 findings</w:t>
      </w:r>
    </w:p>
    <w:p>
      <w:pPr/>
      <w:r>
        <w:rPr>
          <w:rFonts w:ascii="Calibri" w:hAnsi="Calibri" w:eastAsia="Calibri"/>
          <w:b/>
          <w:color w:val="0B2545"/>
        </w:rPr>
        <w:t>Evidence method:</w:t>
      </w:r>
      <w:r>
        <w:rPr>
          <w:rFonts w:ascii="Calibri" w:hAnsi="Calibri" w:eastAsia="Calibri"/>
          <w:color w:val="111827"/>
        </w:rPr>
        <w:t xml:space="preserve"> Predeclared duration, warm-up, request mix and hardware; retain raw latency and error data</w:t>
      </w:r>
    </w:p>
    <w:p>
      <w:pPr>
        <w:pStyle w:val="Heading3"/>
        <w:keepNext/>
        <w:keepLines/>
      </w:pPr>
      <w:r>
        <w:t>T10</w:t>
      </w:r>
    </w:p>
    <w:p>
      <w:pPr/>
      <w:r>
        <w:rPr>
          <w:rFonts w:ascii="Calibri" w:hAnsi="Calibri" w:eastAsia="Calibri"/>
          <w:b/>
          <w:color w:val="0B2545"/>
        </w:rPr>
        <w:t>Test / threshold from v1.3:</w:t>
      </w:r>
      <w:r>
        <w:rPr>
          <w:rFonts w:ascii="Calibri" w:hAnsi="Calibri" w:eastAsia="Calibri"/>
          <w:color w:val="111827"/>
        </w:rPr>
        <w:t xml:space="preserve"> Worker failure detection &lt;=30 seconds; safe fail/resume &lt;=5 minutes</w:t>
      </w:r>
    </w:p>
    <w:p>
      <w:pPr/>
      <w:r>
        <w:rPr>
          <w:rFonts w:ascii="Calibri" w:hAnsi="Calibri" w:eastAsia="Calibri"/>
          <w:b/>
          <w:color w:val="0B2545"/>
        </w:rPr>
        <w:t>Evidence method:</w:t>
      </w:r>
      <w:r>
        <w:rPr>
          <w:rFonts w:ascii="Calibri" w:hAnsi="Calibri" w:eastAsia="Calibri"/>
          <w:color w:val="111827"/>
        </w:rPr>
        <w:t xml:space="preserve"> Kill/partition exercises, no duplicate actions and renewed scope validation</w:t>
      </w:r>
    </w:p>
    <w:p>
      <w:pPr>
        <w:pStyle w:val="Heading3"/>
        <w:keepNext/>
        <w:keepLines/>
      </w:pPr>
      <w:r>
        <w:t>T11</w:t>
      </w:r>
    </w:p>
    <w:p>
      <w:pPr/>
      <w:r>
        <w:rPr>
          <w:rFonts w:ascii="Calibri" w:hAnsi="Calibri" w:eastAsia="Calibri"/>
          <w:b/>
          <w:color w:val="0B2545"/>
        </w:rPr>
        <w:t>Test / threshold from v1.3:</w:t>
      </w:r>
      <w:r>
        <w:rPr>
          <w:rFonts w:ascii="Calibri" w:hAnsi="Calibri" w:eastAsia="Calibri"/>
          <w:color w:val="111827"/>
        </w:rPr>
        <w:t xml:space="preserve"> Queue/worker-service recovery &lt;=15 minutes; zero loss of acknowledged audit events</w:t>
      </w:r>
    </w:p>
    <w:p>
      <w:pPr/>
      <w:r>
        <w:rPr>
          <w:rFonts w:ascii="Calibri" w:hAnsi="Calibri" w:eastAsia="Calibri"/>
          <w:b/>
          <w:color w:val="0B2545"/>
        </w:rPr>
        <w:t>Evidence method:</w:t>
      </w:r>
      <w:r>
        <w:rPr>
          <w:rFonts w:ascii="Calibri" w:hAnsi="Calibri" w:eastAsia="Calibri"/>
          <w:color w:val="111827"/>
        </w:rPr>
        <w:t xml:space="preserve"> Restart/restore/partition scenarios, reconcile acknowledged IDs and chain heads; do not infer durability from a healthy-run test</w:t>
      </w:r>
    </w:p>
    <w:p>
      <w:pPr>
        <w:pStyle w:val="Heading3"/>
        <w:keepNext/>
        <w:keepLines/>
      </w:pPr>
      <w:r>
        <w:t>T12</w:t>
      </w:r>
    </w:p>
    <w:p>
      <w:pPr/>
      <w:r>
        <w:rPr>
          <w:rFonts w:ascii="Calibri" w:hAnsi="Calibri" w:eastAsia="Calibri"/>
          <w:b/>
          <w:color w:val="0B2545"/>
        </w:rPr>
        <w:t>Test / threshold from v1.3:</w:t>
      </w:r>
      <w:r>
        <w:rPr>
          <w:rFonts w:ascii="Calibri" w:hAnsi="Calibri" w:eastAsia="Calibri"/>
          <w:color w:val="111827"/>
        </w:rPr>
        <w:t xml:space="preserve"> Passive web &lt;=60 minutes; source &lt;=45; dependency &lt;=30, or lower approved limit</w:t>
      </w:r>
    </w:p>
    <w:p>
      <w:pPr/>
      <w:r>
        <w:rPr>
          <w:rFonts w:ascii="Calibri" w:hAnsi="Calibri" w:eastAsia="Calibri"/>
          <w:b/>
          <w:color w:val="0B2545"/>
        </w:rPr>
        <w:t>Evidence method:</w:t>
      </w:r>
      <w:r>
        <w:rPr>
          <w:rFonts w:ascii="Calibri" w:hAnsi="Calibri" w:eastAsia="Calibri"/>
          <w:color w:val="111827"/>
        </w:rPr>
        <w:t xml:space="preserve"> Profile-ceiling and termination tests; only selected software adapter applies</w:t>
      </w:r>
    </w:p>
    <w:p>
      <w:pPr>
        <w:pStyle w:val="Heading3"/>
        <w:keepNext/>
        <w:keepLines/>
      </w:pPr>
      <w:r>
        <w:t>T13</w:t>
      </w:r>
    </w:p>
    <w:p>
      <w:pPr/>
      <w:r>
        <w:rPr>
          <w:rFonts w:ascii="Calibri" w:hAnsi="Calibri" w:eastAsia="Calibri"/>
          <w:b/>
          <w:color w:val="0B2545"/>
        </w:rPr>
        <w:t>Test / threshold from v1.3:</w:t>
      </w:r>
      <w:r>
        <w:rPr>
          <w:rFonts w:ascii="Calibri" w:hAnsi="Calibri" w:eastAsia="Calibri"/>
          <w:color w:val="111827"/>
        </w:rPr>
        <w:t xml:space="preserve"> 99.5% control-plane availability during approved pilot windows</w:t>
      </w:r>
    </w:p>
    <w:p>
      <w:pPr/>
      <w:r>
        <w:rPr>
          <w:rFonts w:ascii="Calibri" w:hAnsi="Calibri" w:eastAsia="Calibri"/>
          <w:b/>
          <w:color w:val="0B2545"/>
        </w:rPr>
        <w:t>Evidence method:</w:t>
      </w:r>
      <w:r>
        <w:rPr>
          <w:rFonts w:ascii="Calibri" w:hAnsi="Calibri" w:eastAsia="Calibri"/>
          <w:color w:val="111827"/>
        </w:rPr>
        <w:t xml:space="preserve"> Define denominator and planned window treatment before pilot; actual pilot monitoring, not a short laboratory success claim</w:t>
      </w:r>
    </w:p>
    <w:p>
      <w:pPr>
        <w:pStyle w:val="Heading3"/>
        <w:keepNext/>
        <w:keepLines/>
      </w:pPr>
      <w:r>
        <w:t>T14</w:t>
      </w:r>
    </w:p>
    <w:p>
      <w:pPr/>
      <w:r>
        <w:rPr>
          <w:rFonts w:ascii="Calibri" w:hAnsi="Calibri" w:eastAsia="Calibri"/>
          <w:b/>
          <w:color w:val="0B2545"/>
        </w:rPr>
        <w:t>Test / threshold from v1.3:</w:t>
      </w:r>
      <w:r>
        <w:rPr>
          <w:rFonts w:ascii="Calibri" w:hAnsi="Calibri" w:eastAsia="Calibri"/>
          <w:color w:val="111827"/>
        </w:rPr>
        <w:t xml:space="preserve"> Privacy, safe-active allowlist, roles and incident controls pass approved cases</w:t>
      </w:r>
    </w:p>
    <w:p>
      <w:pPr/>
      <w:r>
        <w:rPr>
          <w:rFonts w:ascii="Calibri" w:hAnsi="Calibri" w:eastAsia="Calibri"/>
          <w:b/>
          <w:color w:val="0B2545"/>
        </w:rPr>
        <w:t>Evidence method:</w:t>
      </w:r>
      <w:r>
        <w:rPr>
          <w:rFonts w:ascii="Calibri" w:hAnsi="Calibri" w:eastAsia="Calibri"/>
          <w:color w:val="111827"/>
        </w:rPr>
        <w:t xml:space="preserve"> Seeded secret detection, approved retention/hold/disposal tests, prohibited-class negatives and tabletop evidence</w:t>
      </w:r>
    </w:p>
    <w:p>
      <w:pPr/>
      <w:r>
        <w:rPr>
          <w:rFonts w:ascii="Calibri" w:hAnsi="Calibri" w:eastAsia="Calibri"/>
          <w:color w:val="111827"/>
        </w:rPr>
        <w:t>Numeric criteria are provisional targets. No cherry-picking or post hoc denominator changes are permitted. Security negative tests use owned controlled fixtures, not public targets.</w:t>
      </w:r>
    </w:p>
    <w:p>
      <w:pPr>
        <w:pStyle w:val="Heading2"/>
        <w:keepNext/>
        <w:keepLines/>
      </w:pPr>
      <w:r>
        <w:t>E.9. Pilot, handover, closure and benefits</w:t>
      </w:r>
    </w:p>
    <w:p>
      <w:pPr/>
      <w:r>
        <w:rPr>
          <w:rFonts w:ascii="Calibri" w:hAnsi="Calibri" w:eastAsia="Calibri"/>
          <w:color w:val="111827"/>
        </w:rPr>
        <w:t>External pilot authorization is a required approval packet, not a confirmed approval. It must include: legal determination/required clarification and credential verification evidence specified by v1.3; approved PIA and processing terms; target ownership/permission; explicit methods/exclusions/time window; emergency contacts; incident escalation route; rate/profile limits; independent readiness decision; stop and rollback rehearsal; monitoring; and evidence-retention arrangements. Missing any mandatory entry yields HOLD. No regulatory deadline or licensing applicability is newly determined by this plan; qualified counsel is the accountable role for that workstream.</w:t>
      </w:r>
    </w:p>
    <w:p>
      <w:pPr>
        <w:pStyle w:val="Heading3"/>
        <w:keepNext/>
        <w:keepLines/>
      </w:pPr>
      <w:r>
        <w:t>O01 / Service owner</w:t>
      </w:r>
    </w:p>
    <w:p>
      <w:pPr/>
      <w:r>
        <w:rPr>
          <w:rFonts w:ascii="Calibri" w:hAnsi="Calibri" w:eastAsia="Calibri"/>
          <w:b/>
          <w:color w:val="0B2545"/>
        </w:rPr>
        <w:t>Work to execute:</w:t>
      </w:r>
      <w:r>
        <w:rPr>
          <w:rFonts w:ascii="Calibri" w:hAnsi="Calibri" w:eastAsia="Calibri"/>
          <w:color w:val="111827"/>
        </w:rPr>
        <w:t xml:space="preserve"> Conduct only the approved lab acceptance or separately authorized pilot; collect usability and operational measurements</w:t>
      </w:r>
    </w:p>
    <w:p>
      <w:pPr/>
      <w:r>
        <w:rPr>
          <w:rFonts w:ascii="Calibri" w:hAnsi="Calibri" w:eastAsia="Calibri"/>
          <w:b/>
          <w:color w:val="0B2545"/>
        </w:rPr>
        <w:t>Acceptance / decision evidence:</w:t>
      </w:r>
      <w:r>
        <w:rPr>
          <w:rFonts w:ascii="Calibri" w:hAnsi="Calibri" w:eastAsia="Calibri"/>
          <w:color w:val="111827"/>
        </w:rPr>
        <w:t xml:space="preserve"> Scope-specific report, actual metrics, incidents, false positives, limitations and signed acceptance; laboratory results clearly labeled</w:t>
      </w:r>
    </w:p>
    <w:p>
      <w:pPr>
        <w:pStyle w:val="Heading3"/>
        <w:keepNext/>
        <w:keepLines/>
      </w:pPr>
      <w:r>
        <w:t>O02 / Service owner</w:t>
      </w:r>
    </w:p>
    <w:p>
      <w:pPr/>
      <w:r>
        <w:rPr>
          <w:rFonts w:ascii="Calibri" w:hAnsi="Calibri" w:eastAsia="Calibri"/>
          <w:b/>
          <w:color w:val="0B2545"/>
        </w:rPr>
        <w:t>Work to execute:</w:t>
      </w:r>
      <w:r>
        <w:rPr>
          <w:rFonts w:ascii="Calibri" w:hAnsi="Calibri" w:eastAsia="Calibri"/>
          <w:color w:val="111827"/>
        </w:rPr>
        <w:t xml:space="preserve"> Handover deployments, access custody, backup/restore, updates, monitoring, support and disposal procedures</w:t>
      </w:r>
    </w:p>
    <w:p>
      <w:pPr/>
      <w:r>
        <w:rPr>
          <w:rFonts w:ascii="Calibri" w:hAnsi="Calibri" w:eastAsia="Calibri"/>
          <w:b/>
          <w:color w:val="0B2545"/>
        </w:rPr>
        <w:t>Acceptance / decision evidence:</w:t>
      </w:r>
      <w:r>
        <w:rPr>
          <w:rFonts w:ascii="Calibri" w:hAnsi="Calibri" w:eastAsia="Calibri"/>
          <w:color w:val="111827"/>
        </w:rPr>
        <w:t xml:space="preserve"> Named recipients acknowledge readiness; privileged custody transfer tested; support and rollback ownership accepted; software G5/G6 evidence as applicable</w:t>
      </w:r>
    </w:p>
    <w:p>
      <w:pPr>
        <w:pStyle w:val="Heading3"/>
        <w:keepNext/>
        <w:keepLines/>
      </w:pPr>
      <w:r>
        <w:t>O03 / Project manager</w:t>
      </w:r>
    </w:p>
    <w:p>
      <w:pPr/>
      <w:r>
        <w:rPr>
          <w:rFonts w:ascii="Calibri" w:hAnsi="Calibri" w:eastAsia="Calibri"/>
          <w:b/>
          <w:color w:val="0B2545"/>
        </w:rPr>
        <w:t>Work to execute:</w:t>
      </w:r>
      <w:r>
        <w:rPr>
          <w:rFonts w:ascii="Calibri" w:hAnsi="Calibri" w:eastAsia="Calibri"/>
          <w:color w:val="111827"/>
        </w:rPr>
        <w:t xml:space="preserve"> Reconcile delivered scope, costs, residual risks and open work; archive controlled records</w:t>
      </w:r>
    </w:p>
    <w:p>
      <w:pPr/>
      <w:r>
        <w:rPr>
          <w:rFonts w:ascii="Calibri" w:hAnsi="Calibri" w:eastAsia="Calibri"/>
          <w:b/>
          <w:color w:val="0B2545"/>
        </w:rPr>
        <w:t>Acceptance / decision evidence:</w:t>
      </w:r>
      <w:r>
        <w:rPr>
          <w:rFonts w:ascii="Calibri" w:hAnsi="Calibri" w:eastAsia="Calibri"/>
          <w:color w:val="111827"/>
        </w:rPr>
        <w:t xml:space="preserve"> PM Gate 6 closure decision by required authority; no unresolved item silently marked done; retention mapped to institutional schedule</w:t>
      </w:r>
    </w:p>
    <w:p>
      <w:pPr>
        <w:pStyle w:val="Heading3"/>
        <w:keepNext/>
        <w:keepLines/>
      </w:pPr>
      <w:r>
        <w:t>O04 / Benefits owner</w:t>
      </w:r>
    </w:p>
    <w:p>
      <w:pPr/>
      <w:r>
        <w:rPr>
          <w:rFonts w:ascii="Calibri" w:hAnsi="Calibri" w:eastAsia="Calibri"/>
          <w:b/>
          <w:color w:val="0B2545"/>
        </w:rPr>
        <w:t>Work to execute:</w:t>
      </w:r>
      <w:r>
        <w:rPr>
          <w:rFonts w:ascii="Calibri" w:hAnsi="Calibri" w:eastAsia="Calibri"/>
          <w:color w:val="111827"/>
        </w:rPr>
        <w:t xml:space="preserve"> Compare verified outcomes with an agreed baseline</w:t>
      </w:r>
    </w:p>
    <w:p>
      <w:pPr/>
      <w:r>
        <w:rPr>
          <w:rFonts w:ascii="Calibri" w:hAnsi="Calibri" w:eastAsia="Calibri"/>
          <w:b/>
          <w:color w:val="0B2545"/>
        </w:rPr>
        <w:t>Acceptance / decision evidence:</w:t>
      </w:r>
      <w:r>
        <w:rPr>
          <w:rFonts w:ascii="Calibri" w:hAnsi="Calibri" w:eastAsia="Calibri"/>
          <w:color w:val="111827"/>
        </w:rPr>
        <w:t xml:space="preserve"> PM Gate 7 review: valid assignments, time to verified closure, recurrence, outstanding exposure and operational safety. Record coverage, cohort and limitations</w:t>
      </w:r>
    </w:p>
    <w:p>
      <w:pPr/>
      <w:r>
        <w:rPr>
          <w:rFonts w:ascii="Calibri" w:hAnsi="Calibri" w:eastAsia="Calibri"/>
          <w:color w:val="111827"/>
        </w:rPr>
        <w:t>At handover, assign a named benefits owner and actual review dates. Proposed planning checkpoints are 30 days for stabilization and 90 days for initial benefits review, subject to the governing framework and Project Authority approval. These are proposed checkpoints, not confirmed institutional deadlines. If pilot authority is delayed, accept only a specifically authorized lab deliverable and keep operational benefits marked Unconfirmed / Unmeasured.</w:t>
      </w:r>
    </w:p>
    <w:p>
      <w:pPr>
        <w:pStyle w:val="Heading2"/>
        <w:keepNext/>
        <w:keepLines/>
      </w:pPr>
      <w:r>
        <w:t>E.10. Shared gate evidence and task templates</w:t>
      </w:r>
    </w:p>
    <w:p>
      <w:pPr/>
      <w:r>
        <w:rPr>
          <w:rFonts w:ascii="Calibri" w:hAnsi="Calibri" w:eastAsia="Calibri"/>
          <w:color w:val="111827"/>
        </w:rPr>
        <w:t>Use one evidence index per candidate release and gate. Every entry contains artifact ID, requirement/test IDs, repository commit or document version, environment, tool/data versions, outcome, collector, collection time, integrity reference, reviewer and limitations. Store sensitive test evidence only through the approved evidence path.</w:t>
      </w:r>
    </w:p>
    <w:p>
      <w:pPr/>
      <w:r>
        <w:rPr>
          <w:rFonts w:ascii="Calibri" w:hAnsi="Calibri" w:eastAsia="Calibri"/>
          <w:color w:val="111827"/>
        </w:rPr>
        <w:t>Recommended repository locations once implementation is authorized:</w:t>
      </w:r>
    </w:p>
    <w:p>
      <w:pPr>
        <w:keepLines/>
        <w:numPr>
          <w:ilvl w:val="0"/>
          <w:numId w:val="15"/>
        </w:numPr>
        <w:spacing w:after="80" w:line="290" w:lineRule="auto"/>
        <w:ind w:left="540" w:hanging="279"/>
      </w:pPr>
      <w:r>
        <w:rPr>
          <w:rFonts w:ascii="Calibri" w:hAnsi="Calibri" w:eastAsia="Calibri"/>
          <w:color w:val="111827"/>
        </w:rPr>
        <w:t>docs/requirements/: PRD, exclusions and requirement-to-test mapping.</w:t>
      </w:r>
    </w:p>
    <w:p>
      <w:pPr>
        <w:keepLines/>
        <w:numPr>
          <w:ilvl w:val="0"/>
          <w:numId w:val="15"/>
        </w:numPr>
        <w:spacing w:after="80" w:line="290" w:lineRule="auto"/>
        <w:ind w:left="540" w:hanging="279"/>
      </w:pPr>
      <w:r>
        <w:rPr>
          <w:rFonts w:ascii="Calibri" w:hAnsi="Calibri" w:eastAsia="Calibri"/>
          <w:color w:val="111827"/>
        </w:rPr>
        <w:t>docs/decisions/: D01–D11 and architecture decisions.</w:t>
      </w:r>
    </w:p>
    <w:p>
      <w:pPr>
        <w:keepLines/>
        <w:numPr>
          <w:ilvl w:val="0"/>
          <w:numId w:val="15"/>
        </w:numPr>
        <w:spacing w:after="80" w:line="290" w:lineRule="auto"/>
        <w:ind w:left="540" w:hanging="279"/>
      </w:pPr>
      <w:r>
        <w:rPr>
          <w:rFonts w:ascii="Calibri" w:hAnsi="Calibri" w:eastAsia="Calibri"/>
          <w:color w:val="111827"/>
        </w:rPr>
        <w:t>docs/gates/: signed decisions and evidence indexes, not duplicate evidence copies.</w:t>
      </w:r>
    </w:p>
    <w:p>
      <w:pPr>
        <w:keepLines/>
        <w:numPr>
          <w:ilvl w:val="0"/>
          <w:numId w:val="15"/>
        </w:numPr>
        <w:spacing w:after="80" w:line="290" w:lineRule="auto"/>
        <w:ind w:left="540" w:hanging="279"/>
      </w:pPr>
      <w:r>
        <w:rPr>
          <w:rFonts w:ascii="Calibri" w:hAnsi="Calibri" w:eastAsia="Calibri"/>
          <w:color w:val="111827"/>
        </w:rPr>
        <w:t>services/api/, services/worker/, adapters/, web/: runtime components.</w:t>
      </w:r>
    </w:p>
    <w:p>
      <w:pPr>
        <w:keepLines/>
        <w:numPr>
          <w:ilvl w:val="0"/>
          <w:numId w:val="15"/>
        </w:numPr>
        <w:spacing w:after="80" w:line="290" w:lineRule="auto"/>
        <w:ind w:left="540" w:hanging="279"/>
      </w:pPr>
      <w:r>
        <w:rPr>
          <w:rFonts w:ascii="Calibri" w:hAnsi="Calibri" w:eastAsia="Calibri"/>
          <w:color w:val="111827"/>
        </w:rPr>
        <w:t>db/migrations/, infra/lab/: tenant-aware schema and isolated laboratory deployment.</w:t>
      </w:r>
    </w:p>
    <w:p>
      <w:pPr>
        <w:keepLines/>
        <w:numPr>
          <w:ilvl w:val="0"/>
          <w:numId w:val="15"/>
        </w:numPr>
        <w:spacing w:after="80" w:line="290" w:lineRule="auto"/>
        <w:ind w:left="540" w:hanging="279"/>
      </w:pPr>
      <w:r>
        <w:rPr>
          <w:rFonts w:ascii="Calibri" w:hAnsi="Calibri" w:eastAsia="Calibri"/>
          <w:color w:val="111827"/>
        </w:rPr>
        <w:t>tests/unit/, tests/integration/, tests/safety/, tests/acceptance/: positive and negative tests.</w:t>
      </w:r>
    </w:p>
    <w:p>
      <w:pPr>
        <w:keepLines/>
        <w:numPr>
          <w:ilvl w:val="0"/>
          <w:numId w:val="15"/>
        </w:numPr>
        <w:spacing w:after="80" w:line="290" w:lineRule="auto"/>
        <w:ind w:left="540" w:hanging="279"/>
      </w:pPr>
      <w:r>
        <w:rPr>
          <w:rFonts w:ascii="Calibri" w:hAnsi="Calibri" w:eastAsia="Calibri"/>
          <w:color w:val="111827"/>
        </w:rPr>
        <w:t>fixtures/synthetic/, docs/runbooks/: reproducible seeds and operating procedures.</w:t>
      </w:r>
    </w:p>
    <w:p>
      <w:pPr/>
      <w:r>
        <w:rPr>
          <w:rFonts w:ascii="Calibri" w:hAnsi="Calibri" w:eastAsia="Calibri"/>
          <w:color w:val="111827"/>
        </w:rPr>
        <w:t>Task record:</w:t>
      </w:r>
    </w:p>
    <w:p>
      <w:pPr/>
      <w:r>
        <w:rPr>
          <w:rFonts w:ascii="Calibri" w:hAnsi="Calibri" w:eastAsia="Calibri"/>
          <w:color w:val="111827"/>
        </w:rPr>
        <w:t>Task ID / title:</w:t>
      </w:r>
    </w:p>
    <w:p>
      <w:pPr/>
      <w:r>
        <w:rPr>
          <w:rFonts w:ascii="Calibri" w:hAnsi="Calibri" w:eastAsia="Calibri"/>
          <w:color w:val="111827"/>
        </w:rPr>
        <w:t>Baseline section and requirement IDs:</w:t>
      </w:r>
    </w:p>
    <w:p>
      <w:pPr/>
      <w:r>
        <w:rPr>
          <w:rFonts w:ascii="Calibri" w:hAnsi="Calibri" w:eastAsia="Calibri"/>
          <w:color w:val="111827"/>
        </w:rPr>
        <w:t>Proposed accountable role:</w:t>
      </w:r>
    </w:p>
    <w:p>
      <w:pPr/>
      <w:r>
        <w:rPr>
          <w:rFonts w:ascii="Calibri" w:hAnsi="Calibri" w:eastAsia="Calibri"/>
          <w:color w:val="111827"/>
        </w:rPr>
        <w:t>Named assignee / independent reviewer:</w:t>
      </w:r>
    </w:p>
    <w:p>
      <w:pPr/>
      <w:r>
        <w:rPr>
          <w:rFonts w:ascii="Calibri" w:hAnsi="Calibri" w:eastAsia="Calibri"/>
          <w:color w:val="111827"/>
        </w:rPr>
        <w:t>Assignment status: Proposed | Accepted | Declined | Reassign</w:t>
      </w:r>
    </w:p>
    <w:p>
      <w:pPr/>
      <w:r>
        <w:rPr>
          <w:rFonts w:ascii="Calibri" w:hAnsi="Calibri" w:eastAsia="Calibri"/>
          <w:color w:val="111827"/>
        </w:rPr>
        <w:t>Status: Blocked | Ready | In progress | Review | Verified</w:t>
      </w:r>
    </w:p>
    <w:p>
      <w:pPr/>
      <w:r>
        <w:rPr>
          <w:rFonts w:ascii="Calibri" w:hAnsi="Calibri" w:eastAsia="Calibri"/>
          <w:color w:val="111827"/>
        </w:rPr>
        <w:t>Entry decisions and dependencies:</w:t>
      </w:r>
    </w:p>
    <w:p>
      <w:pPr/>
      <w:r>
        <w:rPr>
          <w:rFonts w:ascii="Calibri" w:hAnsi="Calibri" w:eastAsia="Calibri"/>
          <w:color w:val="111827"/>
        </w:rPr>
        <w:t>Inputs / implementation scope / explicit exclusions:</w:t>
      </w:r>
    </w:p>
    <w:p>
      <w:pPr/>
      <w:r>
        <w:rPr>
          <w:rFonts w:ascii="Calibri" w:hAnsi="Calibri" w:eastAsia="Calibri"/>
          <w:color w:val="111827"/>
        </w:rPr>
        <w:t>Estimate and committed availability:</w:t>
      </w:r>
    </w:p>
    <w:p>
      <w:pPr/>
      <w:r>
        <w:rPr>
          <w:rFonts w:ascii="Calibri" w:hAnsi="Calibri" w:eastAsia="Calibri"/>
          <w:color w:val="111827"/>
        </w:rPr>
        <w:t>Acceptance test IDs and expected results:</w:t>
      </w:r>
    </w:p>
    <w:p>
      <w:pPr/>
      <w:r>
        <w:rPr>
          <w:rFonts w:ascii="Calibri" w:hAnsi="Calibri" w:eastAsia="Calibri"/>
          <w:color w:val="111827"/>
        </w:rPr>
        <w:t>Build or document version / environment:</w:t>
      </w:r>
    </w:p>
    <w:p>
      <w:pPr/>
      <w:r>
        <w:rPr>
          <w:rFonts w:ascii="Calibri" w:hAnsi="Calibri" w:eastAsia="Calibri"/>
          <w:color w:val="111827"/>
        </w:rPr>
        <w:t>Evidence references and limitations:</w:t>
      </w:r>
    </w:p>
    <w:p>
      <w:pPr/>
      <w:r>
        <w:rPr>
          <w:rFonts w:ascii="Calibri" w:hAnsi="Calibri" w:eastAsia="Calibri"/>
          <w:color w:val="111827"/>
        </w:rPr>
        <w:t>Reviewer decision and date:</w:t>
      </w:r>
    </w:p>
    <w:p>
      <w:pPr/>
      <w:r>
        <w:rPr>
          <w:rFonts w:ascii="Calibri" w:hAnsi="Calibri" w:eastAsia="Calibri"/>
          <w:color w:val="111827"/>
        </w:rPr>
        <w:t>Gate record:</w:t>
      </w:r>
    </w:p>
    <w:p>
      <w:pPr/>
      <w:r>
        <w:rPr>
          <w:rFonts w:ascii="Calibri" w:hAnsi="Calibri" w:eastAsia="Calibri"/>
          <w:color w:val="111827"/>
        </w:rPr>
        <w:t>Seal phase / PM gate / software gate:</w:t>
      </w:r>
    </w:p>
    <w:p>
      <w:pPr/>
      <w:r>
        <w:rPr>
          <w:rFonts w:ascii="Calibri" w:hAnsi="Calibri" w:eastAsia="Calibri"/>
          <w:color w:val="111827"/>
        </w:rPr>
        <w:t>Candidate version and evidence index:</w:t>
      </w:r>
    </w:p>
    <w:p>
      <w:pPr/>
      <w:r>
        <w:rPr>
          <w:rFonts w:ascii="Calibri" w:hAnsi="Calibri" w:eastAsia="Calibri"/>
          <w:color w:val="111827"/>
        </w:rPr>
        <w:t>Required authority and named decision-makers:</w:t>
      </w:r>
    </w:p>
    <w:p>
      <w:pPr/>
      <w:r>
        <w:rPr>
          <w:rFonts w:ascii="Calibri" w:hAnsi="Calibri" w:eastAsia="Calibri"/>
          <w:color w:val="111827"/>
        </w:rPr>
        <w:t>Classification and authorized environment:</w:t>
      </w:r>
    </w:p>
    <w:p>
      <w:pPr/>
      <w:r>
        <w:rPr>
          <w:rFonts w:ascii="Calibri" w:hAnsi="Calibri" w:eastAsia="Calibri"/>
          <w:color w:val="111827"/>
        </w:rPr>
        <w:t>Approval status: Unconfirmed | Confirmed | Rejected | Superseded</w:t>
      </w:r>
    </w:p>
    <w:p>
      <w:pPr/>
      <w:r>
        <w:rPr>
          <w:rFonts w:ascii="Calibri" w:hAnsi="Calibri" w:eastAsia="Calibri"/>
          <w:color w:val="111827"/>
        </w:rPr>
        <w:t>Mandatory criteria: pass | fail | not evidenced</w:t>
      </w:r>
    </w:p>
    <w:p>
      <w:pPr/>
      <w:r>
        <w:rPr>
          <w:rFonts w:ascii="Calibri" w:hAnsi="Calibri" w:eastAsia="Calibri"/>
          <w:color w:val="111827"/>
        </w:rPr>
        <w:t>Open defects, residual risks and approved exceptions:</w:t>
      </w:r>
    </w:p>
    <w:p>
      <w:pPr/>
      <w:r>
        <w:rPr>
          <w:rFonts w:ascii="Calibri" w:hAnsi="Calibri" w:eastAsia="Calibri"/>
          <w:color w:val="111827"/>
        </w:rPr>
        <w:t>Decision: Proceed within stated scope | Hold | Rework</w:t>
      </w:r>
    </w:p>
    <w:p>
      <w:pPr/>
      <w:r>
        <w:rPr>
          <w:rFonts w:ascii="Calibri" w:hAnsi="Calibri" w:eastAsia="Calibri"/>
          <w:color w:val="111827"/>
        </w:rPr>
        <w:t>Explicitly prohibited next actions:</w:t>
      </w:r>
    </w:p>
    <w:p>
      <w:pPr/>
      <w:r>
        <w:rPr>
          <w:rFonts w:ascii="Calibri" w:hAnsi="Calibri" w:eastAsia="Calibri"/>
          <w:color w:val="111827"/>
        </w:rPr>
        <w:t>Conditions, owners, deadlines and expiry:</w:t>
      </w:r>
    </w:p>
    <w:p>
      <w:pPr/>
      <w:r>
        <w:rPr>
          <w:rFonts w:ascii="Calibri" w:hAnsi="Calibri" w:eastAsia="Calibri"/>
          <w:color w:val="111827"/>
        </w:rPr>
        <w:t>Signatures / date / next review:</w:t>
      </w:r>
    </w:p>
    <w:p>
      <w:pPr/>
      <w:r>
        <w:rPr>
          <w:rFonts w:ascii="Calibri" w:hAnsi="Calibri" w:eastAsia="Calibri"/>
          <w:color w:val="111827"/>
        </w:rPr>
        <w:t>Baseline traceability: F01–F08 derive from v1.3 §§8–9.1, 11–15; L01–L05 from §§4, 6.3–6.5, 6.10, 14–17; W01–W05 from §§6.6–6.9, 10 and Appendix A; H01–H05 and T01–T14 from §§11–13, 16–17 and Appendix B; O01–O04 from §§12.4, 15, 20–21 and the institutional gate alignment. New implementation failure semantics, repository layout and proposed post-handover checkpoints require review; they do not masquerade as text already approved in v1.3.</w:t>
      </w:r>
    </w:p>
    <w:p>
      <w:pPr>
        <w:pStyle w:val="Heading2"/>
        <w:keepNext/>
        <w:keepLines/>
      </w:pPr>
      <w:r>
        <w:t>E.11. Immediate handoff and completion status</w:t>
      </w:r>
    </w:p>
    <w:p>
      <w:pPr/>
      <w:r>
        <w:rPr>
          <w:rFonts w:ascii="Calibri" w:hAnsi="Calibri" w:eastAsia="Calibri"/>
          <w:color w:val="111827"/>
        </w:rPr>
        <w:t>Prepared now: executive gate-readiness summary, phase-to-gate mapping, 11 decision records to complete, 23 engineering/workflow/hardening packages, four operational/benefits packages, 14 acceptance groups, dependency sequence and reusable task/gate evidence templates. These are prepared planning artifacts, not completed delivery work.</w:t>
      </w:r>
    </w:p>
    <w:p>
      <w:pPr/>
      <w:r>
        <w:rPr>
          <w:rFonts w:ascii="Calibri" w:hAnsi="Calibri" w:eastAsia="Calibri"/>
          <w:color w:val="111827"/>
        </w:rPr>
        <w:t>Confirmed document actions: owner adoption of v1.3 and owner-directed incorporation into v1.6. Formal institutional approvals remain unconfirmed.</w:t>
      </w:r>
    </w:p>
    <w:p>
      <w:pPr/>
      <w:r>
        <w:rPr>
          <w:rFonts w:ascii="Calibri" w:hAnsi="Calibri" w:eastAsia="Calibri"/>
          <w:color w:val="111827"/>
        </w:rPr>
        <w:t>Proposed assignments: D01–D11, F01–F08, L01–L05, W01–W05, H01–H05 and O01–O04, subject to named acceptance, capacity confirmation and dependency readiness.</w:t>
      </w:r>
    </w:p>
    <w:p>
      <w:pPr/>
      <w:r>
        <w:rPr>
          <w:rFonts w:ascii="Calibri" w:hAnsi="Calibri" w:eastAsia="Calibri"/>
          <w:color w:val="111827"/>
        </w:rPr>
        <w:t>Unconfirmed work and approvals: named appointments, formal gate signatures, legal determinations, capacity commitment, PRD approval, software implementation, external anchoring deployment, execution of tests, pilot authorization, operational acceptance, benefits measurement and production release.</w:t>
      </w:r>
    </w:p>
    <w:p>
      <w:pPr/>
      <w:r>
        <w:rPr>
          <w:rFonts w:ascii="Calibri" w:hAnsi="Calibri" w:eastAsia="Calibri"/>
          <w:color w:val="111827"/>
        </w:rPr>
        <w:t>Next executable action: assign D01–D11 and baseline the PRD and architecture under Phase 0. Until those assignments are accepted, the related tasks remain Blocked. Once the recorded exit and readiness conditions are met, submit the Phase 0 pack for the planned end-of-Weeks 1–4 PM Gate 2 / software G1 decision. Release F01–F08 into the approved delivery schedule only after a signed Proceed decision confirms scope, capacity, dependencies and prohibited next actions. This makes later stages assignable and testable without treating concept adoption as evidence of completed engineering or institutional gate approval.</w:t>
      </w:r>
    </w:p>
    <w:p>
      <w:r>
        <w:br w:type="page"/>
      </w:r>
    </w:p>
    <w:p>
      <w:pPr>
        <w:pStyle w:val="Heading1"/>
        <w:keepNext/>
        <w:keepLines/>
      </w:pPr>
      <w:r>
        <w:t>Appendix F. Closure of the v1.5 upgrade review</w:t>
      </w:r>
    </w:p>
    <w:p>
      <w:pPr/>
      <w:r>
        <w:rPr>
          <w:rFonts w:ascii="Calibri" w:hAnsi="Calibri" w:eastAsia="Calibri"/>
          <w:color w:val="111827"/>
        </w:rPr>
        <w:t>Amendment v1.6 | 7 September 2026. Source: the Seal Upgrade Proposal chat review posted 7 September 2026 at 15:14 UTC. Three corrections were recovered from that review. C01–C03 are local tracking IDs assigned for this amendment, not original reviewer IDs or severity grades. All three are closed as specified design gaps; implementation, test execution and independent acceptance remain pending. Existing institutional, privacy, external-assessment and production gates retain precedence.</w:t>
      </w:r>
    </w:p>
    <w:p>
      <w:pPr/>
      <w:r>
        <w:rPr>
          <w:rFonts w:ascii="Calibri" w:hAnsi="Calibri" w:eastAsia="Calibri"/>
          <w:color w:val="111827"/>
        </w:rPr>
        <w:t>Change propagation: C01 updates closure and audit contracts; C02 updates integrity failure and active execution; C03 corrects the dashboard formula. Stage Implementation Plan v1.2 carries the same requirements and acceptance cases. This amendment supersedes conflicting v1.5 wording at those locations and does not assert new signatures or operational approval.</w:t>
      </w:r>
    </w:p>
    <w:p>
      <w:pPr>
        <w:pStyle w:val="Heading2"/>
        <w:keepNext/>
        <w:keepLines/>
      </w:pPr>
      <w:r>
        <w:t>C01 — Reject stale closure intents</w:t>
      </w:r>
    </w:p>
    <w:p>
      <w:pPr/>
      <w:r>
        <w:rPr>
          <w:rFonts w:ascii="Calibri" w:hAnsi="Calibri" w:eastAsia="Calibri"/>
          <w:color w:val="111827"/>
        </w:rPr>
        <w:t>Applies to U04/U05/U07, baseline §§6.8, 6.11 and 9.1, and W03/F07. This amendment governs finalization for every closure; High/Critical closure additionally requires its verified external anchor receipt.</w:t>
      </w:r>
    </w:p>
    <w:p>
      <w:pPr/>
      <w:r>
        <w:rPr>
          <w:rFonts w:ascii="Calibri" w:hAnsi="Calibri" w:eastAsia="Calibri"/>
          <w:color w:val="111827"/>
        </w:rPr>
        <w:t>Persist an immutable-by-version ClosureIntent containing intent ID, organization, target/control, finding ID and expected finding version, evidence-set revision and digest, repaired artifact revision, observation watermark, verification job/coverage/profile/rule versions, reviewer decision ID and closure-intent audit sequence/head. Retain superseded intents as history. A receipt must identify the exact intent and audit event; it cannot authorize a newer decision.</w:t>
      </w:r>
    </w:p>
    <w:p>
      <w:pPr/>
      <w:r>
        <w:rPr>
          <w:rFonts w:ascii="Calibri" w:hAnsi="Calibri" w:eastAsia="Calibri"/>
          <w:color w:val="111827"/>
        </w:rPr>
        <w:t>After independently verifying the receipt, finalize in one database transaction using a row lock or compare-and-swap against the expected finding version. Atomically require the current active intent, unchanged evidence revision, unchanged proof bindings, eligible verification state and no admitted contradictory or proof-invalidating observation after the recorded watermark. Commit Closed and its audit/outbox event together. Observation admission, evidence revision and closure finalization must share the same serialization boundary; checking in application memory before an unconditional write is insufficient.</w:t>
      </w:r>
    </w:p>
    <w:p>
      <w:pPr/>
      <w:r>
        <w:rPr>
          <w:rFonts w:ascii="Calibri" w:hAnsi="Calibri" w:eastAsia="Calibri"/>
          <w:color w:val="111827"/>
        </w:rPr>
        <w:t>Any new contradictory observation, replacement evidence, changed repaired revision, withdrawn reviewer decision or superseding intent invalidates the pending intent and increments the finding version. Reject a late receipt as stale; preserve it without closing the finding. Keep unresolved work visible and require fresh verification/review where needed. Duplicate receipts for the same already-finalized intent are idempotent no-ops. If contradiction is admitted after closure commits, reopen in a subsequent audited transaction. Stop or integrity restrictions still block finalization where the baseline requires them.</w:t>
      </w:r>
    </w:p>
    <w:p>
      <w:pPr/>
      <w:r>
        <w:rPr>
          <w:rFonts w:ascii="Calibri" w:hAnsi="Calibri" w:eastAsia="Calibri"/>
          <w:color w:val="111827"/>
        </w:rPr>
        <w:t>C01-A / T07,T06: delay a valid receipt, admit recurrence or replacement evidence, then deliver it: no closure. C01-B: race two intents and reordered/duplicate receipts: only the current eligible intent may finalize once. C01-C: force both serial orders of recurrence and finalization: contradiction either prevents closure or reopens it; no silent loss. C01-D: crash between receipt verification and commit: recovery repeats eligibility checks and cannot apply a stale decision. Evidence: database interleavings, row versions, audit events and receipt IDs. Acceptance awaits real integration tests.</w:t>
      </w:r>
    </w:p>
    <w:p>
      <w:pPr>
        <w:pStyle w:val="Heading2"/>
        <w:keepNext/>
        <w:keepLines/>
      </w:pPr>
      <w:r>
        <w:t>C02 — Stop active assessment when integrity becomes unavailable</w:t>
      </w:r>
    </w:p>
    <w:p>
      <w:pPr/>
      <w:r>
        <w:rPr>
          <w:rFonts w:ascii="Calibri" w:hAnsi="Calibri" w:eastAsia="Calibri"/>
          <w:color w:val="111827"/>
        </w:rPr>
        <w:t>Applies to U01/U02/U07/U12, baseline §§9.1, 11 and 13, and F05/F06/F07/H02. This extends the existing denial of new jobs and High/Critical closure to work already running.</w:t>
      </w:r>
    </w:p>
    <w:p>
      <w:pPr/>
      <w:r>
        <w:rPr>
          <w:rFonts w:ascii="Calibri" w:hAnsi="Calibri" w:eastAsia="Calibri"/>
          <w:color w:val="111827"/>
        </w:rPr>
        <w:t>Maintain an integrity-admission state and generation at the independent egress boundary. Signature failure, chain mismatch, failure to durably append required audit events, overdue anchor beyond fifteen minutes, or unavailable/stale integrity or revocation state makes it Untrusted. A briefly unavailable sink may remain within the existing anchor interval only while local durable auditing and trusted health remain available; receipt-dependent approvals and closures remain pending. Record the condition and detection time.</w:t>
      </w:r>
    </w:p>
    <w:p>
      <w:pPr/>
      <w:r>
        <w:rPr>
          <w:rFonts w:ascii="Calibri" w:hAnsi="Calibri" w:eastAsia="Calibri"/>
          <w:color w:val="111827"/>
        </w:rPr>
        <w:t>On Untrusted, revoke active execution grants and leases, deny every new outbound request, retry and lease/grant renewal, and stop running jobs. The egress boundary must consult trusted state or a bounded permit whose expiry cannot exceed the stop budget; workers cannot continue on cached approval. Prevent new outbound requests within five seconds of detection or loss of fresh state and terminate affected workers within thirty seconds. Already-transmitted requests cannot be recalled: abort open connections where possible, send no follow-up traffic and record residual exposure. These are provisional measured acceptance ceilings, not instantaneous-stop claims.</w:t>
      </w:r>
    </w:p>
    <w:p>
      <w:pPr/>
      <w:r>
        <w:rPr>
          <w:rFonts w:ascii="Calibri" w:hAnsi="Calibri" w:eastAsia="Calibri"/>
          <w:color w:val="111827"/>
        </w:rPr>
        <w:t>Preserve committed audit/evidence, restricted incident holds and stop/checkpoint state. Mark affected coverage Stopped/Partial or Failed with the cause, never Complete by default. If the primary audit path fails, use an approved restricted durable emergency journal under the existing privacy rules; do not acknowledge undurable events. Stop enforcement must not depend on successful journaling or anchoring. Reconcile the journal and external anchors under assurance review before restoring trust. Recovery needs an explicit authorized resume decision, a new integrity generation and fresh scope/revocation/profile/budget checks; restarting a service does not restart scans.</w:t>
      </w:r>
    </w:p>
    <w:p>
      <w:pPr/>
      <w:r>
        <w:rPr>
          <w:rFonts w:ascii="Calibri" w:hAnsi="Calibri" w:eastAsia="Calibri"/>
          <w:color w:val="111827"/>
        </w:rPr>
        <w:t>C02-A / T03,T06,T10,T11: with ten active lab jobs, inject each Untrusted trigger and measure egress requests, renewal/retry denials and termination against five/thirty seconds. C02-B: partition worker, policy or integrity state: cached grants expire within budget and direct egress stays denied. C02-C: restore services with queued retries: jobs stay stopped until explicit resume and renewed checks. C02-D: lose both sink and primary audit path: stop still works, no undurable acknowledgment, emergency records reconcile. Retain independent boundary timestamps, job coverage and recovery decisions. Acceptance awaits runtime evidence.</w:t>
      </w:r>
    </w:p>
    <w:p>
      <w:pPr>
        <w:pStyle w:val="Heading2"/>
        <w:keepNext/>
        <w:keepLines/>
      </w:pPr>
      <w:r>
        <w:t>C03 — Keep accepted and suppressed risks in exposure measures</w:t>
      </w:r>
    </w:p>
    <w:p>
      <w:pPr/>
      <w:r>
        <w:rPr>
          <w:rFonts w:ascii="Calibri" w:hAnsi="Calibri" w:eastAsia="Calibri"/>
          <w:color w:val="111827"/>
        </w:rPr>
        <w:t>Applies to U13, baseline §17 and Appendix D dashboard definitions, engineering §9, and W04/W05/O04. It replaces any wording that could exclude accepted or suppressed findings from the verified-closure denominator.</w:t>
      </w:r>
    </w:p>
    <w:p>
      <w:pPr/>
      <w:r>
        <w:rPr>
          <w:rFonts w:ascii="Calibri" w:hAnsi="Calibri" w:eastAsia="Calibri"/>
          <w:color w:val="111827"/>
        </w:rPr>
        <w:t>For a declared cohort and observation time, verified closure rate = currently verified Closed findings divided by all confirmed findings in that cohort. Risk accepted and Suppressed remain in the denominator and never enter the verified-Closed numerator. Reopened and Closure awaiting anchor also remain outside the numerator. An unresolved exposure count includes accepted and suppressed findings with separate visible disposition counts. Neither an override nor a change of display filter reduces exposure.</w:t>
      </w:r>
    </w:p>
    <w:p>
      <w:pPr/>
      <w:r>
        <w:rPr>
          <w:rFonts w:ascii="Calibri" w:hAnsi="Calibri" w:eastAsia="Calibri"/>
          <w:color w:val="111827"/>
        </w:rPr>
        <w:t>Declare cohort membership, period, scope, coverage and approved adjustment rules before reporting. Preserve initial and current denominator values and a reasoned adjustment log. A validated False positive may leave the confirmed cohort only under the predeclared reviewed correction rule; preserve the original observation and show the correction separately. Do not silently move exceptions to a new cohort. Expose both all-disposition totals and any explicitly labeled filtered view; never present a filtered view as the overall closure rate.</w:t>
      </w:r>
    </w:p>
    <w:p>
      <w:pPr/>
      <w:r>
        <w:rPr>
          <w:rFonts w:ascii="Calibri" w:hAnsi="Calibri" w:eastAsia="Calibri"/>
          <w:color w:val="111827"/>
        </w:rPr>
        <w:t>Worked acceptance fixture: ten confirmed findings comprise three verified Closed, two Risk accepted, one Suppressed and four other unresolved findings. Closure rate is 3/10 = 30%; unresolved exposure is seven, including the three accepted/suppressed findings. If one Closed finding recurs, the rate becomes 2/10 = 20% and unresolved exposure becomes eight. Changing an unresolved disposition to accepted or suppressed changes neither denominator nor closure numerator. Zero confirmed findings produces Not available, not 100%.</w:t>
      </w:r>
    </w:p>
    <w:p>
      <w:pPr/>
      <w:r>
        <w:rPr>
          <w:rFonts w:ascii="Calibri" w:hAnsi="Calibri" w:eastAsia="Calibri"/>
          <w:color w:val="111827"/>
        </w:rPr>
        <w:t>C03-A / T08,T13 plus W04/W05: reproduce the ten-finding fixture in API, dashboard and JSON/CSV, including recurrence. C03-B: apply disposition filters and verify the overall totals remain visible and unchanged. C03-C: approved false-positive correction emits a denominator adjustment and preserves history. C03-D: zero denominator is Not available. Evidence: fixed fixture IDs, query/filter definitions, before/after totals, export outputs and reviewer comparison; no operational benefit claim before measurement.</w:t>
      </w:r>
    </w:p>
    <w:sectPr w:rsidR="00FC693F" w:rsidRPr="0006063C" w:rsidSect="00034616">
      <w:headerReference w:type="default" r:id="rId9"/>
      <w:footerReference w:type="default" r:id="rId10"/>
      <w:footerReference w:type="first" r:id="rId11"/>
      <w:headerReference w:type="even" r:id="rId29"/>
      <w:footerReference w:type="even" r:id="rId30"/>
      <w:headerReference w:type="first" r:id="rId31"/>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Calibri"/>
        <w:color w:val="4B5563"/>
        <w:sz w:val="18"/>
      </w:rPr>
      <w:t xml:space="preserve">Defensive security use only | Page </w:t>
    </w:r>
    <w:r>
      <w:rPr>
        <w:rFonts w:ascii="Calibri" w:hAnsi="Calibri" w:eastAsia="Calibri"/>
        <w:color w:val="4B5563"/>
        <w:sz w:val="18"/>
      </w:rPr>
      <w:fldChar w:fldCharType="begin"/>
      <w:instrText xml:space="preserve">PAGE</w:instrText>
      <w:fldChar w:fldCharType="separate"/>
      <w:t>1</w:t>
      <w:fldChar w:fldCharType="end"/>
    </w:r>
    <w:r>
      <w:rPr>
        <w:rFonts w:ascii="Calibri" w:hAnsi="Calibri" w:eastAsia="Calibri"/>
        <w:color w:val="4B5563"/>
        <w:sz w:val="18"/>
      </w:rPr>
      <w:t xml:space="preserve"> of </w:t>
    </w:r>
    <w:r>
      <w:rPr>
        <w:rFonts w:ascii="Calibri" w:hAnsi="Calibri" w:eastAsia="Calibri"/>
        <w:color w:val="4B5563"/>
        <w:sz w:val="18"/>
      </w:rPr>
      <w:fldChar w:fldCharType="begin"/>
      <w:instrText xml:space="preserve">NUMPAGES</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olor w:val="4B5563"/>
        <w:sz w:val="18"/>
      </w:rPr>
      <w:t>Integrated Phase 0 Baseline v1.6 | 7 September 2026 | Defensive security use only</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eastAsia="Calibri"/>
        <w:color w:val="4B5563"/>
        <w:sz w:val="18"/>
      </w:rPr>
      <w:t xml:space="preserve">Defensive security use only | Page </w:t>
    </w:r>
    <w:r>
      <w:rPr>
        <w:rFonts w:ascii="Calibri" w:hAnsi="Calibri" w:eastAsia="Calibri"/>
        <w:color w:val="4B5563"/>
        <w:sz w:val="18"/>
      </w:rPr>
      <w:fldChar w:fldCharType="begin"/>
      <w:instrText xml:space="preserve">PAGE</w:instrText>
      <w:fldChar w:fldCharType="separate"/>
      <w:t>1</w:t>
      <w:fldChar w:fldCharType="end"/>
    </w:r>
    <w:r>
      <w:rPr>
        <w:rFonts w:ascii="Calibri" w:hAnsi="Calibri" w:eastAsia="Calibri"/>
        <w:color w:val="4B5563"/>
        <w:sz w:val="18"/>
      </w:rPr>
      <w:t xml:space="preserve"> of </w:t>
    </w:r>
    <w:r>
      <w:rPr>
        <w:rFonts w:ascii="Calibri" w:hAnsi="Calibri" w:eastAsia="Calibri"/>
        <w:color w:val="4B5563"/>
        <w:sz w:val="18"/>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4B5563"/>
        <w:sz w:val="17"/>
      </w:rPr>
      <w:t>SEAL | INTEGRATED BASELINE v1.6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eastAsia="Calibri"/>
        <w:b/>
        <w:color w:val="4B5563"/>
        <w:sz w:val="17"/>
      </w:rPr>
      <w:t>SEAL | INTEGRATED BASELINE v1.6</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lvlJc w:val="left"/>
      <w:pPr>
        <w:tabs>
          <w:tab w:val="num" w:pos="540"/>
        </w:tabs>
        <w:ind w:left="540" w:hanging="279"/>
        <w:spacing w:after="80" w:line="290" w:lineRule="auto"/>
      </w:pPr>
      <w:rPr>
        <w:rFonts w:ascii="Calibri" w:hAnsi="Calibri"/>
      </w:rPr>
    </w:lvl>
  </w:abstractNum>
  <w:num w:numId="10">
    <w:abstractNumId w:val="9"/>
  </w:num>
  <w:abstractNum w:abstractNumId="10">
    <w:multiLevelType w:val="singleLevel"/>
    <w:lvl w:ilvl="0">
      <w:start w:val="1"/>
      <w:numFmt w:val="decimal"/>
      <w:lvlText w:val="%1."/>
      <w:suff w:val="tab"/>
      <w:lvlJc w:val="left"/>
      <w:pPr>
        <w:tabs>
          <w:tab w:val="num" w:pos="540"/>
        </w:tabs>
        <w:ind w:left="540" w:hanging="279"/>
        <w:spacing w:after="80" w:line="290" w:lineRule="auto"/>
      </w:pPr>
      <w:rPr>
        <w:rFonts w:ascii="Calibri" w:hAnsi="Calibri"/>
      </w:rPr>
    </w:lvl>
  </w:abstractNum>
  <w:num w:numId="11">
    <w:abstractNumId w:val="10"/>
  </w:num>
  <w:abstractNum w:abstractNumId="11">
    <w:multiLevelType w:val="singleLevel"/>
    <w:lvl w:ilvl="0">
      <w:start w:val="1"/>
      <w:numFmt w:val="decimal"/>
      <w:lvlText w:val="%1."/>
      <w:suff w:val="tab"/>
      <w:lvlJc w:val="left"/>
      <w:pPr>
        <w:tabs>
          <w:tab w:val="num" w:pos="540"/>
        </w:tabs>
        <w:ind w:left="540" w:hanging="279"/>
        <w:spacing w:after="80" w:line="290" w:lineRule="auto"/>
      </w:pPr>
      <w:rPr>
        <w:rFonts w:ascii="Calibri" w:hAnsi="Calibri"/>
      </w:rPr>
    </w:lvl>
  </w:abstractNum>
  <w:num w:numId="12">
    <w:abstractNumId w:val="11"/>
  </w:num>
  <w:abstractNum w:abstractNumId="12">
    <w:multiLevelType w:val="singleLevel"/>
    <w:lvl w:ilvl="0">
      <w:start w:val="1"/>
      <w:numFmt w:val="decimal"/>
      <w:lvlText w:val="%1."/>
      <w:suff w:val="tab"/>
      <w:lvlJc w:val="left"/>
      <w:pPr>
        <w:tabs>
          <w:tab w:val="num" w:pos="540"/>
        </w:tabs>
        <w:ind w:left="540" w:hanging="279"/>
        <w:spacing w:after="80" w:line="290" w:lineRule="auto"/>
      </w:pPr>
      <w:rPr>
        <w:rFonts w:ascii="Calibri" w:hAnsi="Calibri"/>
      </w:rPr>
    </w:lvl>
  </w:abstractNum>
  <w:num w:numId="13">
    <w:abstractNumId w:val="12"/>
  </w:num>
  <w:abstractNum w:abstractNumId="13">
    <w:multiLevelType w:val="singleLevel"/>
    <w:lvl w:ilvl="0">
      <w:start w:val="1"/>
      <w:numFmt w:val="bullet"/>
      <w:lvlText w:val="☐"/>
      <w:suff w:val="tab"/>
      <w:lvlJc w:val="left"/>
      <w:pPr>
        <w:tabs>
          <w:tab w:val="num" w:pos="540"/>
        </w:tabs>
        <w:ind w:left="540" w:hanging="279"/>
        <w:spacing w:after="80" w:line="290" w:lineRule="auto"/>
      </w:pPr>
      <w:rPr>
        <w:rFonts w:ascii="DejaVu Sans" w:hAnsi="DejaVu Sans"/>
      </w:rPr>
    </w:lvl>
  </w:abstractNum>
  <w:num w:numId="14">
    <w:abstractNumId w:val="13"/>
  </w:num>
  <w:abstractNum w:abstractNumId="14">
    <w:multiLevelType w:val="singleLevel"/>
    <w:lvl w:ilvl="0">
      <w:start w:val="1"/>
      <w:numFmt w:val="bullet"/>
      <w:lvlText w:val="•"/>
      <w:suff w:val="tab"/>
      <w:lvlJc w:val="left"/>
      <w:pPr>
        <w:tabs>
          <w:tab w:val="num" w:pos="540"/>
        </w:tabs>
        <w:ind w:left="540" w:hanging="279"/>
        <w:spacing w:after="80" w:line="290" w:lineRule="auto"/>
      </w:pPr>
      <w:rPr>
        <w:rFonts w:ascii="Calibri" w:hAnsi="Calibri"/>
      </w:rPr>
    </w:lvl>
  </w:abstract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60"/>
    </w:pPr>
    <w:rPr>
      <w:rFonts w:ascii="Calibri" w:hAnsi="Calibri"/>
      <w:b/>
      <w:bCs/>
      <w:i/>
      <w:color w:val="4B556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hyperlink" Target="https://owasp.org/www-project-web-security-testing-guide/" TargetMode="External"/><Relationship Id="rId15" Type="http://schemas.openxmlformats.org/officeDocument/2006/relationships/hyperlink" Target="https://nmap.org/book/man-version-detection.html" TargetMode="External"/><Relationship Id="rId16" Type="http://schemas.openxmlformats.org/officeDocument/2006/relationships/hyperlink" Target="https://www.zaproxy.org/docs/automate/automation-framework/" TargetMode="External"/><Relationship Id="rId17" Type="http://schemas.openxmlformats.org/officeDocument/2006/relationships/hyperlink" Target="https://trivy.dev/docs/latest/guide/" TargetMode="External"/><Relationship Id="rId18" Type="http://schemas.openxmlformats.org/officeDocument/2006/relationships/hyperlink" Target="https://github.com/semgrep/semgrep" TargetMode="External"/><Relationship Id="rId19" Type="http://schemas.openxmlformats.org/officeDocument/2006/relationships/hyperlink" Target="https://owasp.org/www-project-juice-shop/" TargetMode="External"/><Relationship Id="rId20" Type="http://schemas.openxmlformats.org/officeDocument/2006/relationships/hyperlink" Target="https://repository.parliament.gh/server/api/core/bitstreams/5c1b35b6-922b-4291-9eea-00df1c8d9c95/content" TargetMode="External"/><Relationship Id="rId21" Type="http://schemas.openxmlformats.org/officeDocument/2006/relationships/hyperlink" Target="https://dataprotection.org.gh/" TargetMode="External"/><Relationship Id="rId22" Type="http://schemas.openxmlformats.org/officeDocument/2006/relationships/hyperlink" Target="https://www.csa.gov.gh/licensing_and_accreditation" TargetMode="External"/><Relationship Id="rId23" Type="http://schemas.openxmlformats.org/officeDocument/2006/relationships/hyperlink" Target="https://www.csa.gov.gh/licence" TargetMode="External"/><Relationship Id="rId24" Type="http://schemas.openxmlformats.org/officeDocument/2006/relationships/hyperlink" Target="https://www.graphic.com.gh/news/general-news/csa-to-enforce-strict-licensing-of-cybersecurity-providers-from-january-31.html" TargetMode="External"/><Relationship Id="rId25" Type="http://schemas.openxmlformats.org/officeDocument/2006/relationships/hyperlink" Target="https://csa.gov.gh/cert-gh-rfc" TargetMode="External"/><Relationship Id="rId26" Type="http://schemas.openxmlformats.org/officeDocument/2006/relationships/hyperlink" Target="https://www.first.org/cvss/v4.0/specification-document" TargetMode="External"/><Relationship Id="rId27" Type="http://schemas.openxmlformats.org/officeDocument/2006/relationships/hyperlink" Target="https://www.first.org/epss/" TargetMode="External"/><Relationship Id="rId28" Type="http://schemas.openxmlformats.org/officeDocument/2006/relationships/hyperlink" Target="https://www.cisa.gov/resources-tools/resources/stakeholder-specific-vulnerability-categorization-ssvc" TargetMode="External"/><Relationship Id="rId29" Type="http://schemas.openxmlformats.org/officeDocument/2006/relationships/header" Target="header2.xml"/><Relationship Id="rId30" Type="http://schemas.openxmlformats.org/officeDocument/2006/relationships/footer" Target="footer3.xml"/><Relationship Id="rId31"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Seal Integrated Baseline v1.6</dc:title>
  <dc:subject>Owner-directed integration; controlled Phase 0 preparation; formal gates remain pending</dc:subject>
  <dc:creator>Freston Kenny Adedeme</dc:creator>
  <cp:keywords>Seal, vulnerability management, defensive security, remediation, verification</cp:keywords>
  <dc:description>Three v1.5 review gaps closed in design; runtime evidence and independent acceptance pending.</dc:description>
  <cp:lastModifiedBy/>
  <cp:revision>1</cp:revision>
  <dcterms:created xsi:type="dcterms:W3CDTF">2013-12-23T23:15:00Z</dcterms:created>
  <dcterms:modified xsi:type="dcterms:W3CDTF">2013-12-23T23:15:00Z</dcterms:modified>
  <cp:category/>
</cp:coreProperties>
</file>