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BGP Implementation Plan Alignment Findings</w:t>
      </w:r>
    </w:p>
    <w:p>
      <w:pPr>
        <w:pStyle w:val="Subtitle"/>
      </w:pPr>
      <w:r>
        <w:t>Build Governance Platform and PM SDLC Tracker</w:t>
      </w:r>
    </w:p>
    <w:p>
      <w:r>
        <w:t>Record BGP-IPA-001  |  Version 1.0  |  22 September 2026</w:t>
      </w:r>
    </w:p>
    <w:p>
      <w:pPr>
        <w:pStyle w:val="Heading1"/>
      </w:pPr>
      <w:r>
        <w:t>Assessment conclusion</w:t>
      </w:r>
    </w:p>
    <w:p>
      <w:r>
        <w:t>The core implementation broadly follows the approved development plan. Identity, tenant isolation, evidence revisions and decision workflows have substantial implementation and automated checks. The repository is a working development prototype, but mandatory user journeys, assurance evidence and delivery traceability remain incomplete. A green build is not full acceptance of the approved plan.</w:t>
      </w:r>
    </w:p>
    <w:p>
      <w:r>
        <w:t>Recommended next milestone: reconcile the implementation baseline and close mandatory gaps before expanding optional features. This report records findings for action; it does not approve a gate, certify production readiness or alter the approved requirements.</w:t>
      </w:r>
    </w:p>
    <w:p>
      <w:pPr>
        <w:pStyle w:val="Heading1"/>
      </w:pPr>
      <w:r>
        <w:t>Inspected revision and assessment basis</w:t>
      </w:r>
    </w:p>
    <w:p>
      <w:r>
        <w:t>Repository: SageCarter98/pm-sdlc-tracker-bgp</w:t>
        <w:br/>
        <w:t>Branch: master</w:t>
        <w:br/>
        <w:t>Commit: 0b284c6fb95c229307dcb4a1088e58afda9739ce</w:t>
      </w:r>
    </w:p>
    <w:p>
      <w:r>
        <w:t>Baseline: Development Blueprint v0.2 Approved, using its repository working source, and the owner-approved frontend supplement v1.1 under FE-APR-001. Blueprint Section 6 defines the delivery sequence and original WP01–WP14 packages. The controlling Directive v1.2 remains authoritative; it was not independently re-read for this assessment.</w:t>
      </w:r>
    </w:p>
    <w:p>
      <w:r>
        <w:t>Method: inspect repository structure, baseline documents, tracker, source, tests, workflow configuration and recorded GitHub CI results. Trace the browser decision submission into backend authority checks and persistence. No fresh local deployment, full code audit, browser accessibility assessment or independent penetration test was performed.</w:t>
      </w:r>
    </w:p>
    <w:p>
      <w:pPr>
        <w:pStyle w:val="Heading1"/>
      </w:pPr>
      <w:r>
        <w:t>Observed build evidence</w:t>
      </w:r>
    </w:p>
    <w:p>
      <w:r>
        <w:t>The inspected master revision has a successful backend job: run 35670396664, job 106565331468. Logs report 151 tests passed, 2 skipped and 24 warnings; Ruff lint passed and 73 files were already formatted. Dependency scanning reported no known vulnerabilities, and the configured working-tree secret scan reported no leaks.</w:t>
      </w:r>
    </w:p>
    <w:p>
      <w:r>
        <w:t>The live Cloudmersive test module contains two tests configured to skip without a scanner key or a reachable PostgreSQL setup. The CI workflow supplies PostgreSQL but no scanner key. This accounts for the expected two skips; the recorded green result must not be described as a live-scanner pass. TRACKER.md separately reports 153 passing in the developer environment.</w:t>
      </w:r>
    </w:p>
    <w:p>
      <w:pPr>
        <w:spacing w:after="80"/>
      </w:pPr>
      <w:hyperlink r:id="rId9">
        <w:r>
          <w:rPr>
            <w:color w:val="0563C1"/>
          </w:rPr>
          <w:t>Inspect the recorded CI job</w:t>
        </w:r>
      </w:hyperlink>
    </w:p>
    <w:p>
      <w:r>
        <w:br w:type="page"/>
      </w:r>
    </w:p>
    <w:p>
      <w:pPr>
        <w:pStyle w:val="Heading1"/>
      </w:pPr>
      <w:r>
        <w:t>Implementation alignment matrix</w:t>
      </w:r>
    </w:p>
    <w:tbl>
      <w:tblPr>
        <w:tblW w:type="auto" w:w="0"/>
        <w:tblLayout w:type="fixed"/>
        <w:tblLook w:firstColumn="1" w:firstRow="1" w:lastColumn="0" w:lastRow="0" w:noHBand="0" w:noVBand="1" w:val="04A0"/>
      </w:tblPr>
      <w:tblGrid>
        <w:gridCol w:w="1872"/>
        <w:gridCol w:w="4896"/>
        <w:gridCol w:w="3168"/>
      </w:tblGrid>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Planned area</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Observed implementation</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60"/>
            </w:pPr>
            <w:r>
              <w:rPr>
                <w:b/>
                <w:sz w:val="20"/>
              </w:rPr>
              <w:t>Assessment</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WP01 and WP03–WP07</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Source control, migrations, identity/MFA, PostgreSQL RLS, templates, evidence and decision controls</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Substantial implementation; not blanket acceptance</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WP02</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Discovery, privacy, threat and assurance documents exist</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Independent review and open decisions still require evidence</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WP08 and WP09</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Integrity checkpoints, restore script and export/import services exist</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Prototype mechanisms; operational guarantees remain unverified</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WP10</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Project creation, My work, guided evidence, gate dashboard, decision and history pages exist</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Partial; recovery and other mandatory journeys remain incomplete</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WP11</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Responsive styling and accessible markup patterns exist</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Formal usability and accessibility acceptance remains open</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WP12</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Ruff, dependency and secret scanning, security logs and configuration exist</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Hardening implemented in part; operational acceptance remains open</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WP13 in approved plan</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Independent acceptance and release are required</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No complete release evidence pack established by this assessment</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WP14 in approved plan</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Optional attachments implemented as a later increment</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Does not close mandatory assurance or authorize paid use</w:t>
            </w:r>
          </w:p>
        </w:tc>
      </w:tr>
    </w:tbl>
    <w:p>
      <w:pPr>
        <w:spacing w:after="0" w:before="0" w:line="100" w:lineRule="exact"/>
      </w:pPr>
      <w:r>
        <w:rPr>
          <w:sz w:val="10"/>
        </w:rPr>
      </w:r>
    </w:p>
    <w:p>
      <w:pPr>
        <w:pStyle w:val="Heading1"/>
      </w:pPr>
      <w:r>
        <w:t>Human review evidence</w:t>
      </w:r>
    </w:p>
    <w:p>
      <w:r>
        <w:t>GitHub records approving reviews by MiltonBello15 and kenAddme on merged PRs 3 to 7. BGP-HR-001, Human Code Review Approval Record v1.0 Approved, consolidates the reviewed commits and supporting checks. Those records evidence review of the identified changes; they do not certify all repository code, all historical findings or independent release assurance.</w:t>
      </w:r>
    </w:p>
    <w:p>
      <w:pPr>
        <w:pStyle w:val="Heading1"/>
      </w:pPr>
      <w:r>
        <w:t>Evidence interpretation</w:t>
      </w:r>
    </w:p>
    <w:p>
      <w:r>
        <w:t>Implementation means code or a mechanism is present. Verified means a specific observed result supports the stated scope. Missing evidence remains unverified rather than being assumed failed or passed. The matrix does not calculate a completion percentage because coverage and acceptance have not been reconciled requirement by requirement.</w:t>
      </w:r>
    </w:p>
    <w:p>
      <w:r>
        <w:br w:type="page"/>
      </w:r>
    </w:p>
    <w:p>
      <w:pPr>
        <w:pStyle w:val="Heading1"/>
      </w:pPr>
      <w:r>
        <w:t>IPA01 Work package identifiers have drifted</w:t>
      </w:r>
    </w:p>
    <w:p>
      <w:r>
        <w:t>Medium delivery traceability priority | Status: Open at the inspected revision</w:t>
      </w:r>
    </w:p>
    <w:p>
      <w:r>
        <w:t>Finding. Blueprint Section 6 assigns WP13 to independent acceptance and release, and WP14 to optional and paid capabilities. TRACKER.md instead labels frontend pages WP13, in-product guidance WP14 and attachments WP15. A baseline-to-increment mapping is not established in the inspected records.</w:t>
      </w:r>
    </w:p>
    <w:p>
      <w:r>
        <w:t>Effect. A completed frontend increment could be mistaken for completion of the release work package. The finding is about traceability, not proof that the additions lacked user authorization.</w:t>
      </w:r>
    </w:p>
    <w:p>
      <w:r>
        <w:t>Action. The delivery lead should preserve original WP identifiers and map later increments to them through a dated change record. Use separate increment IDs where needed.</w:t>
      </w:r>
    </w:p>
    <w:p>
      <w:r>
        <w:t>Closure evidence. A reviewed mapping identifies each increment, original WP, requirement IDs, authorization reference, dependencies and acceptance evidence. Independent acceptance remains visibly separate.</w:t>
      </w:r>
    </w:p>
    <w:p>
      <w:pPr>
        <w:pStyle w:val="Heading1"/>
      </w:pPr>
      <w:r>
        <w:t>IPA02 Mandatory frontend journeys remain incomplete</w:t>
      </w:r>
    </w:p>
    <w:p>
      <w:r>
        <w:t>High first release scope priority | Status: Open at the inspected revision</w:t>
      </w:r>
    </w:p>
    <w:p>
      <w:r>
        <w:t>Finding. TRACKER.md and frontend requirements retain UI08 guided template authoring and UI09 export/import as API-only. The settings workflow also records missing membership revocation and role-change endpoints. These remain obligations under the approved requirements.</w:t>
      </w:r>
    </w:p>
    <w:p>
      <w:r>
        <w:t>Effect. Users cannot complete all planned administration and portability tasks through the interface. Existing API functionality does not satisfy the guided user journeys.</w:t>
      </w:r>
    </w:p>
    <w:p>
      <w:r>
        <w:t>Action. Resolve the relevant DEC07, DEC06 and DEC12 inputs for the affected scope; implement the missing workflows and current-permission checks without silently reducing requirements.</w:t>
      </w:r>
    </w:p>
    <w:p>
      <w:r>
        <w:t>Closure evidence. Linked UI/API tests show guided authoring, permitted export/import and membership changes, including revoked-user denial, validation failures and appropriate role boundaries.</w:t>
      </w:r>
    </w:p>
    <w:p>
      <w:pPr>
        <w:pStyle w:val="Heading1"/>
      </w:pPr>
      <w:r>
        <w:t>IPA03 Browser decision recovery is incomplete</w:t>
      </w:r>
    </w:p>
    <w:p>
      <w:r>
        <w:t>High correctness and user confidence priority | Status: Open at the inspected revision</w:t>
      </w:r>
    </w:p>
    <w:p>
      <w:r>
        <w:t>Finding. In backend/app/webapp/router.py, decide_submit generates a new UUID for the idempotency key on every submission. The inspected decision form and frontend script do not preserve a request key or provide the planned unknown-outcome recovery flow.</w:t>
      </w:r>
    </w:p>
    <w:p>
      <w:r>
        <w:t>Effect. After a response is lost, resubmission does not reuse the original request identity. Backend uniqueness protections help prevent duplicate records, but do not deliver the required clear recovery experience under REQ-035 and the frontend state requirements.</w:t>
      </w:r>
    </w:p>
    <w:p>
      <w:r>
        <w:t>Action. Keep a stable request identity for a deliberate submission, provide authorized outcome lookup and show pending or unknown state until the server confirms the result.</w:t>
      </w:r>
    </w:p>
    <w:p>
      <w:r>
        <w:t>Closure evidence. A fault test drops the response after commit; recovery returns the original decision, creates no second decision and displays the correct status. This source finding was not reproduced in a live browser during this assessment.</w:t>
      </w:r>
    </w:p>
    <w:p>
      <w:r>
        <w:br w:type="page"/>
      </w:r>
    </w:p>
    <w:p>
      <w:pPr>
        <w:pStyle w:val="Heading1"/>
      </w:pPr>
      <w:r>
        <w:t>IPA04 Durability and independent assurance remain open</w:t>
      </w:r>
    </w:p>
    <w:p>
      <w:r>
        <w:t>High release blocking priority | Status: Open at the inspected revision</w:t>
      </w:r>
    </w:p>
    <w:p>
      <w:r>
        <w:t>Finding. The decision endpoint explicitly states that DEC05 durability is unimplemented. Checkpoint custody remains within the local database, and the restore script limits its claims to a local prototype. The tracker acknowledges outstanding formal accessibility and usability work; complete independent release assurance was not established.</w:t>
      </w:r>
    </w:p>
    <w:p>
      <w:r>
        <w:t>Effect. Local success cannot demonstrate the approved zero-loss failure envelope, separate integrity custody or production recovery and inclusive-use acceptance.</w:t>
      </w:r>
    </w:p>
    <w:p>
      <w:r>
        <w:t>Action. Assign the required decision owners, record DEC05/DEC08/DEC11 dispositions and complete the applicable fault, recovery, usability, accessibility and independent security assessments.</w:t>
      </w:r>
    </w:p>
    <w:p>
      <w:r>
        <w:t>Closure evidence. A candidate-specific assurance pack links the selected architecture, measured results, reviewer acceptance, remaining risks and authorized release decision.</w:t>
      </w:r>
    </w:p>
    <w:p>
      <w:pPr>
        <w:pStyle w:val="Heading1"/>
      </w:pPr>
      <w:r>
        <w:t>IPA05 Current documentation contains contradictory status</w:t>
      </w:r>
    </w:p>
    <w:p>
      <w:r>
        <w:t>Medium handover and governance priority | Status: Open at the inspected revision</w:t>
      </w:r>
    </w:p>
    <w:p>
      <w:r>
        <w:t>Finding. README.md describes the frontend but later says “No frontend”; it also says linting is unconfigured although CI runs Ruff. Historical no-human-review tracker entries coexist with later actual approvals and need a clear current summary.</w:t>
      </w:r>
    </w:p>
    <w:p>
      <w:r>
        <w:t>Effect. Developers and reviewers cannot reliably distinguish historical limitations from current gaps. Stale statements can lead to duplicate work or unsupported closure decisions.</w:t>
      </w:r>
    </w:p>
    <w:p>
      <w:r>
        <w:t>Action. Update the README and current tracker summary against the inspected implementation. Preserve dated history and link later resolutions. Align the defect register and requirement evidence ledger.</w:t>
      </w:r>
    </w:p>
    <w:p>
      <w:r>
        <w:t>Closure evidence. One consistent current status names implemented scope, open gaps, reviewed revisions and evidence. Documentation checks confirm the no-frontend and no-lint claims are corrected.</w:t>
      </w:r>
    </w:p>
    <w:p>
      <w:pPr>
        <w:pStyle w:val="Heading1"/>
      </w:pPr>
      <w:r>
        <w:t>Recommended action order</w:t>
      </w:r>
    </w:p>
    <w:p>
      <w:r>
        <w:t>First reconcile WP identifiers, current status and the requirement ledger. Then complete decision recovery and missing mandatory UI journeys. Resolve durability, custody and acceptance-test decisions before claiming their dependent work packages complete. Finish independent acceptance before requesting release authorization.</w:t>
      </w:r>
    </w:p>
    <w:p>
      <w:r>
        <w:t>Suggested responsibility: delivery lead for traceability and status; frontend/backend leads for missing journeys and recovery; operations/security leads for durability and custody; QA and designated independent reviewers for acceptance evidence. These are role recommendations, not new appointments or promised dates.</w:t>
      </w:r>
    </w:p>
    <w:p>
      <w:pPr>
        <w:pStyle w:val="Heading1"/>
      </w:pPr>
      <w:r>
        <w:t>Record maintenance</w:t>
      </w:r>
    </w:p>
    <w:p>
      <w:r>
        <w:t>All five findings remain open in this report. Close each only against a fixed revision, stated verification result and reviewer disposition. Later repository changes require reassessment. No source changes, gate decisions or repository permission changes were made for this assessment.</w:t>
      </w:r>
    </w:p>
    <w:p>
      <w:r>
        <w:br w:type="page"/>
      </w:r>
    </w:p>
    <w:p>
      <w:pPr>
        <w:pStyle w:val="Heading1"/>
      </w:pPr>
      <w:r>
        <w:t>Evidence references</w:t>
      </w:r>
    </w:p>
    <w:p>
      <w:r>
        <w:t>Repository links below are pinned to the inspected commit, so subsequent edits cannot silently change the basis of this report.</w:t>
      </w:r>
    </w:p>
    <w:p>
      <w:pPr>
        <w:spacing w:after="80"/>
      </w:pPr>
      <w:hyperlink r:id="rId10">
        <w:r>
          <w:rPr>
            <w:color w:val="0563C1"/>
          </w:rPr>
          <w:t>Approved blueprint working source and work package sequence</w:t>
        </w:r>
      </w:hyperlink>
    </w:p>
    <w:p>
      <w:pPr>
        <w:spacing w:after="80"/>
      </w:pPr>
      <w:hyperlink r:id="rId11">
        <w:r>
          <w:rPr>
            <w:color w:val="0563C1"/>
          </w:rPr>
          <w:t>Approved frontend requirements supplement</w:t>
        </w:r>
      </w:hyperlink>
    </w:p>
    <w:p>
      <w:pPr>
        <w:spacing w:after="80"/>
      </w:pPr>
      <w:hyperlink r:id="rId12">
        <w:r>
          <w:rPr>
            <w:color w:val="0563C1"/>
          </w:rPr>
          <w:t>Implementation history and stated limitations</w:t>
        </w:r>
      </w:hyperlink>
    </w:p>
    <w:p>
      <w:pPr>
        <w:spacing w:after="80"/>
      </w:pPr>
      <w:hyperlink r:id="rId13">
        <w:r>
          <w:rPr>
            <w:color w:val="0563C1"/>
          </w:rPr>
          <w:t>Build instructions and current status contradictions</w:t>
        </w:r>
      </w:hyperlink>
    </w:p>
    <w:p>
      <w:pPr>
        <w:spacing w:after="80"/>
      </w:pPr>
      <w:hyperlink r:id="rId14">
        <w:r>
          <w:rPr>
            <w:color w:val="0563C1"/>
          </w:rPr>
          <w:t>Defect register and historical closures</w:t>
        </w:r>
      </w:hyperlink>
    </w:p>
    <w:p>
      <w:pPr>
        <w:spacing w:after="80"/>
      </w:pPr>
      <w:hyperlink r:id="rId15">
        <w:r>
          <w:rPr>
            <w:color w:val="0563C1"/>
          </w:rPr>
          <w:t>Browser routes and decision request identity</w:t>
        </w:r>
      </w:hyperlink>
    </w:p>
    <w:p>
      <w:pPr>
        <w:spacing w:after="80"/>
      </w:pPr>
      <w:hyperlink r:id="rId16">
        <w:r>
          <w:rPr>
            <w:color w:val="0563C1"/>
          </w:rPr>
          <w:t>Decision authority checks and durability limitation</w:t>
        </w:r>
      </w:hyperlink>
    </w:p>
    <w:p>
      <w:pPr>
        <w:spacing w:after="80"/>
      </w:pPr>
      <w:hyperlink r:id="rId17">
        <w:r>
          <w:rPr>
            <w:color w:val="0563C1"/>
          </w:rPr>
          <w:t>Decision form</w:t>
        </w:r>
      </w:hyperlink>
    </w:p>
    <w:p>
      <w:pPr>
        <w:spacing w:after="80"/>
      </w:pPr>
      <w:hyperlink r:id="rId18">
        <w:r>
          <w:rPr>
            <w:color w:val="0563C1"/>
          </w:rPr>
          <w:t>Frontend script</w:t>
        </w:r>
      </w:hyperlink>
    </w:p>
    <w:p>
      <w:pPr>
        <w:spacing w:after="80"/>
      </w:pPr>
      <w:hyperlink r:id="rId19">
        <w:r>
          <w:rPr>
            <w:color w:val="0563C1"/>
          </w:rPr>
          <w:t>Integrity service routes</w:t>
        </w:r>
      </w:hyperlink>
    </w:p>
    <w:p>
      <w:pPr>
        <w:spacing w:after="80"/>
      </w:pPr>
      <w:hyperlink r:id="rId20">
        <w:r>
          <w:rPr>
            <w:color w:val="0563C1"/>
          </w:rPr>
          <w:t>Local restore drill and explicit limits</w:t>
        </w:r>
      </w:hyperlink>
    </w:p>
    <w:p>
      <w:pPr>
        <w:spacing w:after="80"/>
      </w:pPr>
      <w:hyperlink r:id="rId21">
        <w:r>
          <w:rPr>
            <w:color w:val="0563C1"/>
          </w:rPr>
          <w:t>CI workflow and scanner configuration</w:t>
        </w:r>
      </w:hyperlink>
    </w:p>
    <w:p>
      <w:pPr>
        <w:spacing w:after="80"/>
      </w:pPr>
      <w:hyperlink r:id="rId22">
        <w:r>
          <w:rPr>
            <w:color w:val="0563C1"/>
          </w:rPr>
          <w:t>Live scanner tests and skip conditions</w:t>
        </w:r>
      </w:hyperlink>
    </w:p>
    <w:p>
      <w:pPr>
        <w:pStyle w:val="Heading1"/>
      </w:pPr>
      <w:r>
        <w:t>Related project records</w:t>
      </w:r>
    </w:p>
    <w:p>
      <w:r>
        <w:t>BGP-HR-001, BGP_Human_Code_Review_Approval_Record_v1.0_Approved.docx, issued 22 September 2026, provides the consolidated review register for PRs 3–7. BGP-CR-001, Collaborator Review Closure Record v1.0 dated 18 September 2026, remains the earlier requester-confirmed closure record.</w:t>
      </w:r>
    </w:p>
    <w:p>
      <w:pPr>
        <w:pStyle w:val="Heading1"/>
      </w:pPr>
      <w:r>
        <w:t>Assessment boundary</w:t>
      </w:r>
    </w:p>
    <w:p>
      <w:r>
        <w:t>This is an AI-assisted repository assessment and a record of observed evidence. It is not an independent human-review certificate. It does not amend the BGP directive, the approved blueprint, the frontend supplement or the separate KenAddme institutional frameworks.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ageCarter98/pm-sdlc-tracker-bgp/actions/runs/35670396664/job/106565331468" TargetMode="External"/><Relationship Id="rId10" Type="http://schemas.openxmlformats.org/officeDocument/2006/relationships/hyperlink" Target="https://github.com/SageCarter98/pm-sdlc-tracker-bgp/blob/0b284c6fb95c229307dcb4a1088e58afda9739ce/docs/blueprint/Blueprint_Working_Source.md" TargetMode="External"/><Relationship Id="rId11" Type="http://schemas.openxmlformats.org/officeDocument/2006/relationships/hyperlink" Target="https://github.com/SageCarter98/pm-sdlc-tracker-bgp/blob/0b284c6fb95c229307dcb4a1088e58afda9739ce/docs/blueprint/BGP_Frontend_Requirements_v1.1_FE-APR-001.md" TargetMode="External"/><Relationship Id="rId12" Type="http://schemas.openxmlformats.org/officeDocument/2006/relationships/hyperlink" Target="https://github.com/SageCarter98/pm-sdlc-tracker-bgp/blob/0b284c6fb95c229307dcb4a1088e58afda9739ce/TRACKER.md" TargetMode="External"/><Relationship Id="rId13" Type="http://schemas.openxmlformats.org/officeDocument/2006/relationships/hyperlink" Target="https://github.com/SageCarter98/pm-sdlc-tracker-bgp/blob/0b284c6fb95c229307dcb4a1088e58afda9739ce/README.md" TargetMode="External"/><Relationship Id="rId14" Type="http://schemas.openxmlformats.org/officeDocument/2006/relationships/hyperlink" Target="https://github.com/SageCarter98/pm-sdlc-tracker-bgp/blob/0b284c6fb95c229307dcb4a1088e58afda9739ce/docs/DEFECT_REGISTER.md" TargetMode="External"/><Relationship Id="rId15" Type="http://schemas.openxmlformats.org/officeDocument/2006/relationships/hyperlink" Target="https://github.com/SageCarter98/pm-sdlc-tracker-bgp/blob/0b284c6fb95c229307dcb4a1088e58afda9739ce/backend/app/webapp/router.py" TargetMode="External"/><Relationship Id="rId16" Type="http://schemas.openxmlformats.org/officeDocument/2006/relationships/hyperlink" Target="https://github.com/SageCarter98/pm-sdlc-tracker-bgp/blob/0b284c6fb95c229307dcb4a1088e58afda9739ce/backend/app/routers/decisions.py" TargetMode="External"/><Relationship Id="rId17" Type="http://schemas.openxmlformats.org/officeDocument/2006/relationships/hyperlink" Target="https://github.com/SageCarter98/pm-sdlc-tracker-bgp/blob/0b284c6fb95c229307dcb4a1088e58afda9739ce/backend/app/templates/decide.html" TargetMode="External"/><Relationship Id="rId18" Type="http://schemas.openxmlformats.org/officeDocument/2006/relationships/hyperlink" Target="https://github.com/SageCarter98/pm-sdlc-tracker-bgp/blob/0b284c6fb95c229307dcb4a1088e58afda9739ce/backend/app/static/app.js" TargetMode="External"/><Relationship Id="rId19" Type="http://schemas.openxmlformats.org/officeDocument/2006/relationships/hyperlink" Target="https://github.com/SageCarter98/pm-sdlc-tracker-bgp/blob/0b284c6fb95c229307dcb4a1088e58afda9739ce/backend/app/routers/integrity.py" TargetMode="External"/><Relationship Id="rId20" Type="http://schemas.openxmlformats.org/officeDocument/2006/relationships/hyperlink" Target="https://github.com/SageCarter98/pm-sdlc-tracker-bgp/blob/0b284c6fb95c229307dcb4a1088e58afda9739ce/backend/scripts/restore_drill.py" TargetMode="External"/><Relationship Id="rId21" Type="http://schemas.openxmlformats.org/officeDocument/2006/relationships/hyperlink" Target="https://github.com/SageCarter98/pm-sdlc-tracker-bgp/blob/0b284c6fb95c229307dcb4a1088e58afda9739ce/.github/workflows/ci.yml" TargetMode="External"/><Relationship Id="rId22" Type="http://schemas.openxmlformats.org/officeDocument/2006/relationships/hyperlink" Target="https://github.com/SageCarter98/pm-sdlc-tracker-bgp/blob/0b284c6fb95c229307dcb4a1088e58afda9739ce/backend/tests/test_wp15_cloudmersive_scanner.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BGP Implementation Plan Alignment Findings</dc:title>
  <dc:subject>Repository assessment at commit 0b284c6fb95c</dc:subject>
  <dc:creator>Project assessment prepared with AI assistance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