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330"/>
          <w:sz w:val="56"/>
          <w:szCs w:val="56"/>
        </w:rPr>
        <w:t xml:space="preserve">PBSMS</w:t>
      </w:r>
    </w:p>
    <w:p>
      <w:pPr>
        <w:spacing w:after="60"/>
      </w:pPr>
      <w:r>
        <w:rPr>
          <w:rFonts w:ascii="Calibri" w:cs="Calibri" w:eastAsia="Calibri" w:hAnsi="Calibri"/>
          <w:b/>
          <w:bCs/>
          <w:color w:val="12211F"/>
          <w:sz w:val="40"/>
          <w:szCs w:val="40"/>
        </w:rPr>
        <w:t xml:space="preserve">Internal Engineering Agent</w:t>
      </w:r>
    </w:p>
    <w:p>
      <w:pPr>
        <w:pBdr>
          <w:bottom w:val="single" w:color="1F3330" w:sz="8" w:space="8"/>
        </w:pBdr>
        <w:spacing w:after="300"/>
      </w:pPr>
      <w:r>
        <w:rPr>
          <w:rFonts w:ascii="Calibri" w:cs="Calibri" w:eastAsia="Calibri" w:hAnsi="Calibri"/>
          <w:i/>
          <w:iCs/>
          <w:color w:val="5A6663"/>
          <w:sz w:val="21"/>
          <w:szCs w:val="21"/>
        </w:rPr>
        <w:t xml:space="preserve">Engineering Process Specification  ·  Version 2.0  ·  Model B of two AI specifications  ·  Internal — not a product feature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Item</w:t>
            </w:r>
          </w:p>
        </w:tc>
        <w:tc>
          <w:tcPr>
            <w:tcW w:type="dxa" w:w="66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Value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Document</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PBSMS Internal Engineering Agent — Engineering Process Specification</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Version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2.0 — Adopted</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Status</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ADOPTED — APPROVED FOR IMPLEMENTATION. Adopted 27 August 2026. Implementation authorisation is staged; see §1.3.</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Classification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Internal engineering process. Not an SRS chapter. Creates no system requirement. Tenants are never aware of it.</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Requirement prefix</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 (Engineering Agent). These are process rules binding the team, not software requirements binding the product.</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Owner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Whoever holds the Engineering Lead role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Companion</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Model A — Tenant AI Assistant, SRS v2.1 Chapter 47, v2.0. A product feature. Shares nothing with this document except the word "AI".</w:t>
            </w:r>
          </w:p>
        </w:tc>
      </w:tr>
    </w:tbl>
    <w:p>
      <w:pPr>
        <w:pStyle w:val="Heading1"/>
        <w:spacing w:after="180" w:before="400"/>
      </w:pPr>
      <w:r>
        <w:rPr>
          <w:rFonts w:ascii="Calibri" w:cs="Calibri" w:eastAsia="Calibri" w:hAnsi="Calibri"/>
          <w:b/>
          <w:bCs/>
          <w:color w:val="1F3330"/>
          <w:sz w:val="30"/>
          <w:szCs w:val="30"/>
        </w:rPr>
        <w:t xml:space="preserve">Revision Note — v1.1 → v2.0</w:t>
      </w:r>
    </w:p>
    <w:p>
      <w:pPr>
        <w:spacing w:after="140" w:line="276"/>
      </w:pPr>
      <w:r>
        <w:rPr>
          <w:rFonts w:ascii="Calibri" w:cs="Calibri" w:eastAsia="Calibri" w:hAnsi="Calibri"/>
          <w:color w:val="12211F"/>
          <w:sz w:val="21"/>
          <w:szCs w:val="21"/>
        </w:rPr>
        <w:t xml:space="preserve">Adopted as binding engineering process on 27 August 2026. No rule changed at this revision; §1.3 was added to record what adoption authorises and what it does not. The v1.0 → v1.1 corrections are retained below for the record.</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800"/>
        <w:gridCol w:w="3400"/>
        <w:gridCol w:w="4826"/>
      </w:tblGrid>
      <w:tr>
        <w:trPr>
          <w:tblHeader/>
        </w:trPr>
        <w:tc>
          <w:tcPr>
            <w:tcW w:type="dxa" w:w="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t>
            </w:r>
          </w:p>
        </w:tc>
        <w:tc>
          <w:tcPr>
            <w:tcW w:type="dxa" w:w="3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Correction</w:t>
            </w:r>
          </w:p>
        </w:tc>
        <w:tc>
          <w:tcPr>
            <w:tcW w:type="dxa" w:w="48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Reason</w:t>
            </w:r>
          </w:p>
        </w:tc>
      </w:tr>
      <w:tr>
        <w:tc>
          <w:tcPr>
            <w:tcW w:type="dxa" w:w="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1</w:t>
            </w:r>
          </w:p>
        </w:tc>
        <w:tc>
          <w:tcPr>
            <w:tcW w:type="dxa" w:w="3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Renamed throughout from "Internal Engineering Copilot" to "Internal Engineering Agent" (v1.1)</w:t>
            </w:r>
          </w:p>
        </w:tc>
        <w:tc>
          <w:tcPr>
            <w:tcW w:type="dxa" w:w="4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previous name collided with GitHub Copilot, an unrelated product. In a repository where both names could plausibly appear in a commit message, that ambiguity is a real cost for no benefit.</w:t>
            </w:r>
          </w:p>
        </w:tc>
      </w:tr>
      <w:tr>
        <w:tc>
          <w:tcPr>
            <w:tcW w:type="dxa" w:w="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2</w:t>
            </w:r>
          </w:p>
        </w:tc>
        <w:tc>
          <w:tcPr>
            <w:tcW w:type="dxa" w:w="3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Added §1.2 specifying what the Agent actually is, and closed the "no tooling selected" open question (v1.1)</w:t>
            </w:r>
          </w:p>
        </w:tc>
        <w:tc>
          <w:tcPr>
            <w:tcW w:type="dxa" w:w="4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v1.0 read as though an AI system had to be built. It does not. The Agent is Claude Code operating on the repository under the rules in this document, and only two small components need building at all.</w:t>
            </w:r>
          </w:p>
        </w:tc>
      </w:tr>
      <w:tr>
        <w:tc>
          <w:tcPr>
            <w:tcW w:type="dxa" w:w="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3</w:t>
            </w:r>
          </w:p>
        </w:tc>
        <w:tc>
          <w:tcPr>
            <w:tcW w:type="dxa" w:w="3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Added §1.3 — adoption, amendment process and staged implementation authorisation (v2.0)</w:t>
            </w:r>
          </w:p>
        </w:tc>
        <w:tc>
          <w:tcPr>
            <w:tcW w:type="dxa" w:w="4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process document that binds a team needs to say who can change it and what starting is actually permitted today. Without that it is advice, and advice erodes under deadline pressure.</w:t>
            </w:r>
          </w:p>
        </w:tc>
      </w:tr>
    </w:tbl>
    <w:p>
      <w:pPr>
        <w:pStyle w:val="Heading1"/>
        <w:spacing w:after="180" w:before="400"/>
      </w:pPr>
      <w:r>
        <w:rPr>
          <w:rFonts w:ascii="Calibri" w:cs="Calibri" w:eastAsia="Calibri" w:hAnsi="Calibri"/>
          <w:b/>
          <w:bCs/>
          <w:color w:val="1F3330"/>
          <w:sz w:val="30"/>
          <w:szCs w:val="30"/>
        </w:rPr>
        <w:t xml:space="preserve">1.  What This Is, and What It Is Not</w:t>
      </w:r>
    </w:p>
    <w:p>
      <w:pPr>
        <w:spacing w:after="140" w:line="276"/>
      </w:pPr>
      <w:r>
        <w:rPr>
          <w:rFonts w:ascii="Calibri" w:cs="Calibri" w:eastAsia="Calibri" w:hAnsi="Calibri"/>
          <w:color w:val="12211F"/>
          <w:sz w:val="21"/>
          <w:szCs w:val="21"/>
        </w:rPr>
        <w:t xml:space="preserve">The Internal Engineering Agent is an AI coding assistant operating inside the PBSMS repository, used by the PBSMS engineering team. It clusters user feedback into a ranked backlog, answers questions about the codebase, detects gaps between the SRS and the implementation, drafts change proposals, and implements approved ones as pull requests on feature branches.</w:t>
      </w:r>
    </w:p>
    <w:p>
      <w:pPr>
        <w:spacing w:after="140" w:line="276"/>
      </w:pPr>
      <w:r>
        <w:rPr>
          <w:rFonts w:ascii="Calibri" w:cs="Calibri" w:eastAsia="Calibri" w:hAnsi="Calibri"/>
          <w:color w:val="12211F"/>
          <w:sz w:val="21"/>
          <w:szCs w:val="21"/>
        </w:rPr>
        <w:t xml:space="preserve">It is not deployed in the product. It has no tenant. It has no user outside the engineering team. It ships nothing by itself.</w:t>
      </w:r>
    </w:p>
    <w:p>
      <w:pPr>
        <w:spacing w:after="140" w:line="276"/>
      </w:pPr>
      <w:r>
        <w:rPr>
          <w:rFonts w:ascii="Calibri" w:cs="Calibri" w:eastAsia="Calibri" w:hAnsi="Calibri"/>
          <w:color w:val="12211F"/>
          <w:sz w:val="21"/>
          <w:szCs w:val="21"/>
        </w:rPr>
        <w:t xml:space="preserve">This document is separate from Chapter 47 for a specific reason: the original proposal treated both as one system, and treating them as one system is the principal risk this separation exists to remove. Model A is a feature a school pays for and uses. Model B is a tool the engineering team uses to build the thing the school pays for. They have different data, different threat models, different approvers, and no shared infrastructure.</w:t>
      </w:r>
    </w:p>
    <w:p>
      <w:pPr>
        <w:pStyle w:val="Heading2"/>
        <w:spacing w:after="140" w:before="300"/>
      </w:pPr>
      <w:r>
        <w:rPr>
          <w:rFonts w:ascii="Calibri" w:cs="Calibri" w:eastAsia="Calibri" w:hAnsi="Calibri"/>
          <w:b/>
          <w:bCs/>
          <w:color w:val="12211F"/>
          <w:sz w:val="25"/>
          <w:szCs w:val="25"/>
        </w:rPr>
        <w:t xml:space="preserve">1.1  Hard separation from the product</w:t>
      </w:r>
    </w:p>
    <w:p>
      <w:pPr>
        <w:pStyle w:val="ListParagraph"/>
        <w:numPr>
          <w:ilvl w:val="0"/>
          <w:numId w:val="2"/>
        </w:numPr>
        <w:spacing w:after="110" w:line="276"/>
      </w:pPr>
      <w:r>
        <w:rPr>
          <w:rFonts w:ascii="Calibri" w:cs="Calibri" w:eastAsia="Calibri" w:hAnsi="Calibri"/>
          <w:b/>
          <w:bCs/>
          <w:color w:val="1F3330"/>
          <w:sz w:val="21"/>
          <w:szCs w:val="21"/>
        </w:rPr>
        <w:t xml:space="preserve">EC-001 — </w:t>
      </w:r>
      <w:r>
        <w:rPr>
          <w:rFonts w:ascii="Calibri" w:cs="Calibri" w:eastAsia="Calibri" w:hAnsi="Calibri"/>
          <w:color w:val="12211F"/>
          <w:sz w:val="21"/>
          <w:szCs w:val="21"/>
        </w:rPr>
        <w:t xml:space="preserve">The Agent shall not be deployed in, callable from, or reachable by the PBSMS production runtime.</w:t>
      </w:r>
    </w:p>
    <w:p>
      <w:pPr>
        <w:pStyle w:val="ListParagraph"/>
        <w:numPr>
          <w:ilvl w:val="0"/>
          <w:numId w:val="2"/>
        </w:numPr>
        <w:spacing w:after="110" w:line="276"/>
      </w:pPr>
      <w:r>
        <w:rPr>
          <w:rFonts w:ascii="Calibri" w:cs="Calibri" w:eastAsia="Calibri" w:hAnsi="Calibri"/>
          <w:b/>
          <w:bCs/>
          <w:color w:val="1F3330"/>
          <w:sz w:val="21"/>
          <w:szCs w:val="21"/>
        </w:rPr>
        <w:t xml:space="preserve">EC-002 — </w:t>
      </w:r>
      <w:r>
        <w:rPr>
          <w:rFonts w:ascii="Calibri" w:cs="Calibri" w:eastAsia="Calibri" w:hAnsi="Calibri"/>
          <w:color w:val="12211F"/>
          <w:sz w:val="21"/>
          <w:szCs w:val="21"/>
        </w:rPr>
        <w:t xml:space="preserve">The Agent shall hold no credentials to any production database, no production API keys, and no path to any tenant record.</w:t>
      </w:r>
    </w:p>
    <w:p>
      <w:pPr>
        <w:pStyle w:val="ListParagraph"/>
        <w:numPr>
          <w:ilvl w:val="0"/>
          <w:numId w:val="2"/>
        </w:numPr>
        <w:spacing w:after="110" w:line="276"/>
      </w:pPr>
      <w:r>
        <w:rPr>
          <w:rFonts w:ascii="Calibri" w:cs="Calibri" w:eastAsia="Calibri" w:hAnsi="Calibri"/>
          <w:b/>
          <w:bCs/>
          <w:color w:val="1F3330"/>
          <w:sz w:val="21"/>
          <w:szCs w:val="21"/>
        </w:rPr>
        <w:t xml:space="preserve">EC-003 — </w:t>
      </w:r>
      <w:r>
        <w:rPr>
          <w:rFonts w:ascii="Calibri" w:cs="Calibri" w:eastAsia="Calibri" w:hAnsi="Calibri"/>
          <w:color w:val="12211F"/>
          <w:sz w:val="21"/>
          <w:szCs w:val="21"/>
        </w:rPr>
        <w:t xml:space="preserve">The Agent and the Tenant AI Assistant shall share no infrastructure, no credentials and no code path. A compromise of one shall not reach the other.</w:t>
      </w:r>
    </w:p>
    <w:p>
      <w:pPr>
        <w:pStyle w:val="ListParagraph"/>
        <w:numPr>
          <w:ilvl w:val="0"/>
          <w:numId w:val="2"/>
        </w:numPr>
        <w:spacing w:after="110" w:line="276"/>
      </w:pPr>
      <w:r>
        <w:rPr>
          <w:rFonts w:ascii="Calibri" w:cs="Calibri" w:eastAsia="Calibri" w:hAnsi="Calibri"/>
          <w:b/>
          <w:bCs/>
          <w:color w:val="1F3330"/>
          <w:sz w:val="21"/>
          <w:szCs w:val="21"/>
        </w:rPr>
        <w:t xml:space="preserve">EC-004 — </w:t>
      </w:r>
      <w:r>
        <w:rPr>
          <w:rFonts w:ascii="Calibri" w:cs="Calibri" w:eastAsia="Calibri" w:hAnsi="Calibri"/>
          <w:color w:val="12211F"/>
          <w:sz w:val="21"/>
          <w:szCs w:val="21"/>
        </w:rPr>
        <w:t xml:space="preserve">No output of the Agent shall reach a tenant except as reviewed, merged, tested, released code — on exactly the same path as any human engineer's work, with no shortcut and no separate channel.</w:t>
      </w:r>
    </w:p>
    <w:p>
      <w:pPr>
        <w:pStyle w:val="ListParagraph"/>
        <w:numPr>
          <w:ilvl w:val="0"/>
          <w:numId w:val="2"/>
        </w:numPr>
        <w:spacing w:after="110" w:line="276"/>
      </w:pPr>
      <w:r>
        <w:rPr>
          <w:rFonts w:ascii="Calibri" w:cs="Calibri" w:eastAsia="Calibri" w:hAnsi="Calibri"/>
          <w:b/>
          <w:bCs/>
          <w:color w:val="A32017"/>
          <w:sz w:val="21"/>
          <w:szCs w:val="21"/>
        </w:rPr>
        <w:t xml:space="preserve">EC-005 — </w:t>
      </w:r>
      <w:r>
        <w:rPr>
          <w:rFonts w:ascii="Calibri" w:cs="Calibri" w:eastAsia="Calibri" w:hAnsi="Calibri"/>
          <w:color w:val="12211F"/>
          <w:sz w:val="21"/>
          <w:szCs w:val="21"/>
        </w:rPr>
        <w:t xml:space="preserve">The Agent shall not modify Chapter 47 artefacts — the Assistant's prompts, scope configuration, retrieval rules or evaluation gates. This is a prohibition, not a review requirement. A tool that can edit the constraints on another AI system is a tool with a much larger blast radius than its purpose justifies.</w:t>
      </w:r>
    </w:p>
    <w:p>
      <w:pPr>
        <w:pStyle w:val="Heading2"/>
        <w:spacing w:after="140" w:before="300"/>
      </w:pPr>
      <w:r>
        <w:rPr>
          <w:rFonts w:ascii="Calibri" w:cs="Calibri" w:eastAsia="Calibri" w:hAnsi="Calibri"/>
          <w:b/>
          <w:bCs/>
          <w:color w:val="12211F"/>
          <w:sz w:val="25"/>
          <w:szCs w:val="25"/>
        </w:rPr>
        <w:t xml:space="preserve">1.2  What this is actually made of</w:t>
      </w:r>
    </w:p>
    <w:p>
      <w:pPr>
        <w:spacing w:after="140" w:line="276"/>
      </w:pPr>
      <w:r>
        <w:rPr>
          <w:rFonts w:ascii="Calibri" w:cs="Calibri" w:eastAsia="Calibri" w:hAnsi="Calibri"/>
          <w:color w:val="12211F"/>
          <w:sz w:val="21"/>
          <w:szCs w:val="21"/>
        </w:rPr>
        <w:t xml:space="preserve">Nothing in this document requires building an AI system. The Agent is Claude Code, operating on the PBSMS repository under the rules that follow. Of the six components below, four are configuration and two are small internal builds. None of them is a model.</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4400"/>
        <w:gridCol w:w="22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Component</w:t>
            </w:r>
          </w:p>
        </w:tc>
        <w:tc>
          <w:tcPr>
            <w:tcW w:type="dxa" w:w="4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What it is</w:t>
            </w:r>
          </w:p>
        </w:tc>
        <w:tc>
          <w:tcPr>
            <w:tcW w:type="dxa" w:w="22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Build or configure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Engineering Agent</w:t>
            </w:r>
          </w:p>
        </w:tc>
        <w:tc>
          <w:tcPr>
            <w:tcW w:type="dxa" w:w="4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Claude Code — run locally by an engineer against the repository, or invoked in GitHub Actions by mentioning @claude on an issue or pull request</w:t>
            </w:r>
          </w:p>
        </w:tc>
        <w:tc>
          <w:tcPr>
            <w:tcW w:type="dxa" w:w="2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Configure</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Agent rulebook</w:t>
            </w:r>
          </w:p>
        </w:tc>
        <w:tc>
          <w:tcPr>
            <w:tcW w:type="dxa" w:w="4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CLAUDE.md in the repository root, carrying the prohibitions in §3 and the protected zones in §5. Claude Code reads and follows it on every invocation.</w:t>
            </w:r>
          </w:p>
        </w:tc>
        <w:tc>
          <w:tcPr>
            <w:tcW w:type="dxa" w:w="2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Write once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Backlog</w:t>
            </w:r>
          </w:p>
        </w:tc>
        <w:tc>
          <w:tcPr>
            <w:tcW w:type="dxa" w:w="4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GitHub Issues. Clustered themes are written as issues carrying the affected requirement IDs, tenant count and severity, and are reviewed in the tracker like any other work.</w:t>
            </w:r>
          </w:p>
        </w:tc>
        <w:tc>
          <w:tcPr>
            <w:tcW w:type="dxa" w:w="2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Configure</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Protected-zone enforcement</w:t>
            </w:r>
          </w:p>
        </w:tc>
        <w:tc>
          <w:tcPr>
            <w:tcW w:type="dxa" w:w="4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CODEOWNERS plus branch protection rules, backed by the CI checks in §6</w:t>
            </w:r>
          </w:p>
        </w:tc>
        <w:tc>
          <w:tcPr>
            <w:tcW w:type="dxa" w:w="2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Configure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Feedback ingestion and clustering (EC-100, EC-101)</w:t>
            </w:r>
          </w:p>
        </w:tc>
        <w:tc>
          <w:tcPr>
            <w:tcW w:type="dxa" w:w="4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scheduled job reading tickets, in-app feedback and telemetry; anonymises per EC-300, clusters, writes issues</w:t>
            </w:r>
          </w:p>
        </w:tc>
        <w:tc>
          <w:tcPr>
            <w:tcW w:type="dxa" w:w="2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Build</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CI gates (EC-500 to EC-506)</w:t>
            </w:r>
          </w:p>
        </w:tc>
        <w:tc>
          <w:tcPr>
            <w:tcW w:type="dxa" w:w="4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Jobs added to the existing .github/workflows/ci.yml, alongside SAST, the RLS coverage gate and the accessibility gate already there</w:t>
            </w:r>
          </w:p>
        </w:tc>
        <w:tc>
          <w:tcPr>
            <w:tcW w:type="dxa" w:w="2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Build</w:t>
            </w:r>
          </w:p>
        </w:tc>
      </w:tr>
    </w:tbl>
    <w:p>
      <w:pPr>
        <w:spacing w:after="120"/>
      </w:pPr>
    </w:p>
    <w:p>
      <w:pPr>
        <w:spacing w:after="140" w:line="276"/>
      </w:pPr>
      <w:r>
        <w:rPr>
          <w:rFonts w:ascii="Calibri" w:cs="Calibri" w:eastAsia="Calibri" w:hAnsi="Calibri"/>
          <w:color w:val="12211F"/>
          <w:sz w:val="21"/>
          <w:szCs w:val="21"/>
        </w:rPr>
        <w:t xml:space="preserve">Two properties of the default behaviour are worth stating, because they mean less has to be engineered than §3 implies:</w:t>
      </w:r>
    </w:p>
    <w:p>
      <w:pPr>
        <w:pStyle w:val="ListParagraph"/>
        <w:numPr>
          <w:ilvl w:val="0"/>
          <w:numId w:val="2"/>
        </w:numPr>
        <w:spacing w:after="90" w:line="276"/>
      </w:pPr>
      <w:r>
        <w:rPr>
          <w:rFonts w:ascii="Calibri" w:cs="Calibri" w:eastAsia="Calibri" w:hAnsi="Calibri"/>
          <w:color w:val="12211F"/>
          <w:sz w:val="21"/>
          <w:szCs w:val="21"/>
        </w:rPr>
        <w:t xml:space="preserve">Claude Code commits to a branch and returns a link to the pull-request page rather than opening and merging one itself. EC-200's merge boundary is therefore the tool's shipped behaviour, not a constraint bolted onto it. What §3 adds is the reasoning for never changing that, and the branch protection that makes it unchangeable by accident.</w:t>
      </w:r>
    </w:p>
    <w:p>
      <w:pPr>
        <w:pStyle w:val="ListParagraph"/>
        <w:numPr>
          <w:ilvl w:val="0"/>
          <w:numId w:val="2"/>
        </w:numPr>
        <w:spacing w:after="90" w:line="276"/>
      </w:pPr>
      <w:r>
        <w:rPr>
          <w:rFonts w:ascii="Calibri" w:cs="Calibri" w:eastAsia="Calibri" w:hAnsi="Calibri"/>
          <w:color w:val="12211F"/>
          <w:sz w:val="21"/>
          <w:szCs w:val="21"/>
        </w:rPr>
        <w:t xml:space="preserve">Credentials are repository-scoped — an API key or OAuth token held in repository secrets. This satisfies EC-002 without additional work, on the sole condition that no production credential is ever added to the same secret store. That condition is the one thing in this section a person can quietly break.</w:t>
      </w:r>
    </w:p>
    <w:p>
      <w:pPr>
        <w:spacing w:after="140" w:line="276"/>
      </w:pPr>
      <w:r>
        <w:rPr>
          <w:rFonts w:ascii="Calibri" w:cs="Calibri" w:eastAsia="Calibri" w:hAnsi="Calibri"/>
          <w:b/>
          <w:bCs/>
          <w:color w:val="12211F"/>
          <w:sz w:val="21"/>
          <w:szCs w:val="21"/>
        </w:rPr>
        <w:t xml:space="preserve">What remains genuinely undecided </w:t>
      </w:r>
      <w:r>
        <w:rPr>
          <w:rFonts w:ascii="Calibri" w:cs="Calibri" w:eastAsia="Calibri" w:hAnsi="Calibri"/>
          <w:color w:val="12211F"/>
          <w:sz w:val="21"/>
          <w:szCs w:val="21"/>
        </w:rPr>
        <w:t xml:space="preserve">is whether the Agent runs primarily from engineers' machines or primarily in GitHub Actions. Local invocation gives tighter control and no repository-level API credential at all; Actions invocation gives a shared audit trail and lets a backlog issue become a branch without anyone opening a terminal. The rules in this document hold either way, so this can be settled at stage 3 from experience rather than argued now.</w:t>
      </w:r>
    </w:p>
    <w:p>
      <w:pPr>
        <w:pStyle w:val="Heading2"/>
        <w:spacing w:after="140" w:before="300"/>
      </w:pPr>
      <w:r>
        <w:rPr>
          <w:rFonts w:ascii="Calibri" w:cs="Calibri" w:eastAsia="Calibri" w:hAnsi="Calibri"/>
          <w:b/>
          <w:bCs/>
          <w:color w:val="12211F"/>
          <w:sz w:val="25"/>
          <w:szCs w:val="25"/>
        </w:rPr>
        <w:t xml:space="preserve">1.3  Adoption, amendment and implementation authorisation</w:t>
      </w:r>
    </w:p>
    <w:p>
      <w:pPr>
        <w:spacing w:after="140" w:line="276"/>
      </w:pPr>
      <w:r>
        <w:rPr>
          <w:rFonts w:ascii="Calibri" w:cs="Calibri" w:eastAsia="Calibri" w:hAnsi="Calibri"/>
          <w:color w:val="12211F"/>
          <w:sz w:val="21"/>
          <w:szCs w:val="21"/>
        </w:rPr>
        <w:t xml:space="preserve">This document is adopted as binding engineering process on 27 August 2026. It is not advisory. An engineer working outside these rules is working outside process, in the same sense as bypassing code review.</w:t>
      </w:r>
    </w:p>
    <w:p>
      <w:pPr>
        <w:pStyle w:val="ListParagraph"/>
        <w:numPr>
          <w:ilvl w:val="0"/>
          <w:numId w:val="2"/>
        </w:numPr>
        <w:spacing w:after="90" w:line="276"/>
      </w:pPr>
      <w:r>
        <w:rPr>
          <w:rFonts w:ascii="Calibri" w:cs="Calibri" w:eastAsia="Calibri" w:hAnsi="Calibri"/>
          <w:color w:val="12211F"/>
          <w:sz w:val="21"/>
          <w:szCs w:val="21"/>
        </w:rPr>
        <w:t xml:space="preserve">Amendment requires a version increment and re-adoption by whoever holds the Engineering Lead role. EC- identifiers are permanent; a withdrawn rule is marked withdrawn and retained.</w:t>
      </w:r>
    </w:p>
    <w:p>
      <w:pPr>
        <w:pStyle w:val="ListParagraph"/>
        <w:numPr>
          <w:ilvl w:val="0"/>
          <w:numId w:val="2"/>
        </w:numPr>
        <w:spacing w:after="90" w:line="276"/>
      </w:pPr>
      <w:r>
        <w:rPr>
          <w:rFonts w:ascii="Calibri" w:cs="Calibri" w:eastAsia="Calibri" w:hAnsi="Calibri"/>
          <w:color w:val="12211F"/>
          <w:sz w:val="21"/>
          <w:szCs w:val="21"/>
        </w:rPr>
        <w:t xml:space="preserve">EC-005, EC-302 and EC-400 are not amendable by the ordinary process. Changing any of the three requires re-adoption of this document as a whole. They are the three rules whose entire value is that they cannot be relaxed by whoever is under pressure at the time.</w:t>
      </w:r>
    </w:p>
    <w:p>
      <w:pPr>
        <w:pStyle w:val="ListParagraph"/>
        <w:numPr>
          <w:ilvl w:val="0"/>
          <w:numId w:val="2"/>
        </w:numPr>
        <w:spacing w:after="90" w:line="276"/>
      </w:pPr>
      <w:r>
        <w:rPr>
          <w:rFonts w:ascii="Calibri" w:cs="Calibri" w:eastAsia="Calibri" w:hAnsi="Calibri"/>
          <w:color w:val="12211F"/>
          <w:sz w:val="21"/>
          <w:szCs w:val="21"/>
        </w:rPr>
        <w:t xml:space="preserve">Advancing a rollout stage (§11) is an explicit decision by the Engineering Lead against the stated advance condition, recorded. Stages do not advance by drift, by consensus, or because the previous stage has been running a while without incident.</w:t>
      </w:r>
    </w:p>
    <w:p>
      <w:pPr>
        <w:spacing w:after="60"/>
      </w:pPr>
    </w:p>
    <w:p>
      <w:pPr>
        <w:spacing w:after="140" w:line="276"/>
      </w:pPr>
      <w:r>
        <w:rPr>
          <w:rFonts w:ascii="Calibri" w:cs="Calibri" w:eastAsia="Calibri" w:hAnsi="Calibri"/>
          <w:color w:val="12211F"/>
          <w:sz w:val="21"/>
          <w:szCs w:val="21"/>
        </w:rPr>
        <w:t xml:space="preserve">Adoption authorises implementation, staged as follows: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3200"/>
        <w:gridCol w:w="3226"/>
      </w:tblGrid>
      <w:tr>
        <w:trPr>
          <w:tblHeader/>
        </w:trPr>
        <w:tc>
          <w:tcPr>
            <w:tcW w:type="dxa" w:w="2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Item</w:t>
            </w:r>
          </w:p>
        </w:tc>
        <w:tc>
          <w:tcPr>
            <w:tcW w:type="dxa" w:w="32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Scope</w:t>
            </w:r>
          </w:p>
        </w:tc>
        <w:tc>
          <w:tcPr>
            <w:tcW w:type="dxa" w:w="32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Authorisation</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CLAUDE.md rulebook</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prohibitions in §3 and protected zones in §5, written into the repository root</w:t>
            </w:r>
          </w:p>
        </w:tc>
        <w:tc>
          <w:tcPr>
            <w:tcW w:type="dxa" w:w="3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do this first. It is the cheapest item here and everything else assumes it exists.</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CODEOWNERS and branch protection</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Two-approver enforcement on protected zones (EC-202)</w:t>
            </w:r>
          </w:p>
        </w:tc>
        <w:tc>
          <w:tcPr>
            <w:tcW w:type="dxa" w:w="3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begin immediately.</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EC-501 immutable-suite CI check</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Fails any diff modifying or deleting a protected test file</w:t>
            </w:r>
          </w:p>
        </w:tc>
        <w:tc>
          <w:tcPr>
            <w:tcW w:type="dxa" w:w="3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required before stage 3, which is the first stage the Agent touches test files.</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EC-500, EC-502 to EC-506 gates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Remaining CI gates in .github/workflows/ci.yml</w:t>
            </w:r>
          </w:p>
        </w:tc>
        <w:tc>
          <w:tcPr>
            <w:tcW w:type="dxa" w:w="3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begin immediately.</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Repository question answering (EC-102)</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Engineers using Claude Code against the repo</w:t>
            </w:r>
          </w:p>
        </w:tc>
        <w:tc>
          <w:tcPr>
            <w:tcW w:type="dxa" w:w="3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usable today. It reads code and answers questions; it merges nothing.</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Feedback ingestion and clustering (EC-100, EC-101)</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scheduled clustering job</w:t>
            </w:r>
          </w:p>
        </w:tc>
        <w:tc>
          <w:tcPr>
            <w:tcW w:type="dxa" w:w="3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BUILD CLEARED, OPERATION DEFERRED — there are no tenants and therefore no feedback. Build when there is signal to cluster, not before.</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Gap detection (EC-107)</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SRS-to-implementation comparison</w:t>
            </w:r>
          </w:p>
        </w:tc>
        <w:tc>
          <w:tcPr>
            <w:tcW w:type="dxa" w:w="3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CLEARED — genuinely useful now, with a large SRS and a small implementation.</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Stage 3 — test-only pull requests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Added coverage, no production code</w:t>
            </w:r>
          </w:p>
        </w:tc>
        <w:tc>
          <w:tcPr>
            <w:tcW w:type="dxa" w:w="3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GATED on EC-501 existing.</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Stage 4 onward — implementation PRs</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Code changes on branches</w:t>
            </w:r>
          </w:p>
        </w:tc>
        <w:tc>
          <w:tcPr>
            <w:tcW w:type="dxa" w:w="3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GATED on a human defect-escape baseline existing (§13). That takes roughly a quarter of ordinary development to produce and cannot be shortcut.</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Stage 6 — protected zones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Drafting inside the isolation boundary</w:t>
            </w:r>
          </w:p>
        </w:tc>
        <w:tc>
          <w:tcPr>
            <w:tcW w:type="dxa" w:w="3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NOT AUTHORISED by this adoption. A separate decision on its own merits.</w:t>
            </w:r>
          </w:p>
        </w:tc>
      </w:tr>
    </w:tbl>
    <w:p>
      <w:pPr>
        <w:spacing w:after="120"/>
      </w:pPr>
    </w:p>
    <w:p>
      <w:pPr>
        <w:spacing w:after="140" w:line="276"/>
      </w:pPr>
      <w:r>
        <w:rPr>
          <w:rFonts w:ascii="Calibri" w:cs="Calibri" w:eastAsia="Calibri" w:hAnsi="Calibri"/>
          <w:b/>
          <w:bCs/>
          <w:color w:val="12211F"/>
          <w:sz w:val="21"/>
          <w:szCs w:val="21"/>
        </w:rPr>
        <w:t xml:space="preserve">Note what is cleared today versus what waits. </w:t>
      </w:r>
      <w:r>
        <w:rPr>
          <w:rFonts w:ascii="Calibri" w:cs="Calibri" w:eastAsia="Calibri" w:hAnsi="Calibri"/>
          <w:color w:val="12211F"/>
          <w:sz w:val="21"/>
          <w:szCs w:val="21"/>
        </w:rPr>
        <w:t xml:space="preserve">Every safeguard is cleared immediately; every capability that can cause harm is gated on a safeguard existing first. That ordering is the whole point, and it is also why adoption today costs nothing — there is no tenant feedback to cluster and no baseline to measure against, so the only work actually available right now is the work that makes the rest of it safe.</w:t>
      </w:r>
    </w:p>
    <w:p>
      <w:pPr>
        <w:pStyle w:val="Heading1"/>
        <w:spacing w:after="180" w:before="400"/>
      </w:pPr>
      <w:r>
        <w:rPr>
          <w:rFonts w:ascii="Calibri" w:cs="Calibri" w:eastAsia="Calibri" w:hAnsi="Calibri"/>
          <w:b/>
          <w:bCs/>
          <w:color w:val="1F3330"/>
          <w:sz w:val="30"/>
          <w:szCs w:val="30"/>
        </w:rPr>
        <w:t xml:space="preserve">2.  Capabilities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500"/>
        <w:gridCol w:w="3000"/>
        <w:gridCol w:w="4526"/>
      </w:tblGrid>
      <w:tr>
        <w:trPr>
          <w:tblHeader/>
        </w:trPr>
        <w:tc>
          <w:tcPr>
            <w:tcW w:type="dxa" w:w="15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Capability</w:t>
            </w:r>
          </w:p>
        </w:tc>
        <w:tc>
          <w:tcPr>
            <w:tcW w:type="dxa" w:w="45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Output</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EC-100</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Feedback aggregation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Deduplicated, clustered themes from in-app feedback, support tickets and telemetry friction signals</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EC-101</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Impact ranking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ranked backlog with request volume, affected roles, affected tenant count and severity — an input to prioritisation, never prioritisation itself</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EC-102</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Repository question answering</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Answers about the codebase with file and line references, for engineers</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EC-103</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Change proposal drafting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 RFC: problem, affected SRS requirement IDs, proposed change, schema impact, tenant impact, rollback plan, test plan</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EC-104</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Implementation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pull request on a feature branch, with tests and a migration where needed</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EC-105</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 authoring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Tests covering its own changes, subject to §5</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EC-106</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Documentation drift detection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report of where a merged change has made the SRS or the Frontend Design Specification inaccurate, plus a drafted amendment. It does not amend either document.</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EC-107</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Gap detection</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Requirements in the SRS with no corresponding implementation, no test, or both — reported, not fixed</w:t>
            </w:r>
          </w:p>
        </w:tc>
      </w:tr>
    </w:tbl>
    <w:p>
      <w:pPr>
        <w:spacing w:after="120"/>
      </w:pPr>
    </w:p>
    <w:p>
      <w:pPr>
        <w:spacing w:after="140" w:line="276"/>
      </w:pPr>
      <w:r>
        <w:rPr>
          <w:rFonts w:ascii="Calibri" w:cs="Calibri" w:eastAsia="Calibri" w:hAnsi="Calibri"/>
          <w:b/>
          <w:bCs/>
          <w:color w:val="12211F"/>
          <w:sz w:val="21"/>
          <w:szCs w:val="21"/>
        </w:rPr>
        <w:t xml:space="preserve">EC-107 is the "find and fix gaps" capability from the original proposal, split in two. </w:t>
      </w:r>
      <w:r>
        <w:rPr>
          <w:rFonts w:ascii="Calibri" w:cs="Calibri" w:eastAsia="Calibri" w:hAnsi="Calibri"/>
          <w:color w:val="12211F"/>
          <w:sz w:val="21"/>
          <w:szCs w:val="21"/>
        </w:rPr>
        <w:t xml:space="preserve">Finding is automated and safe: it is a comparison between two documents the Agent can read. Fixing is not automated, because deciding whether an unimplemented requirement should be implemented, deferred, or deleted from the SRS is a product judgement, and roughly a third of the time the correct fix is to change the requirement rather than the code. Gaps go to the backlog. The backlog goes to a person.</w:t>
      </w:r>
    </w:p>
    <w:p>
      <w:pPr>
        <w:pStyle w:val="Heading1"/>
        <w:spacing w:after="180" w:before="400"/>
      </w:pPr>
      <w:r>
        <w:rPr>
          <w:rFonts w:ascii="Calibri" w:cs="Calibri" w:eastAsia="Calibri" w:hAnsi="Calibri"/>
          <w:b/>
          <w:bCs/>
          <w:color w:val="1F3330"/>
          <w:sz w:val="30"/>
          <w:szCs w:val="30"/>
        </w:rPr>
        <w:t xml:space="preserve">3.  The Merge Boundary</w:t>
      </w:r>
    </w:p>
    <w:p>
      <w:pPr>
        <w:pStyle w:val="ListParagraph"/>
        <w:numPr>
          <w:ilvl w:val="0"/>
          <w:numId w:val="2"/>
        </w:numPr>
        <w:spacing w:after="110" w:line="276"/>
      </w:pPr>
      <w:r>
        <w:rPr>
          <w:rFonts w:ascii="Calibri" w:cs="Calibri" w:eastAsia="Calibri" w:hAnsi="Calibri"/>
          <w:b/>
          <w:bCs/>
          <w:color w:val="A32017"/>
          <w:sz w:val="21"/>
          <w:szCs w:val="21"/>
        </w:rPr>
        <w:t xml:space="preserve">EC-200 — </w:t>
      </w:r>
      <w:r>
        <w:rPr>
          <w:rFonts w:ascii="Calibri" w:cs="Calibri" w:eastAsia="Calibri" w:hAnsi="Calibri"/>
          <w:color w:val="12211F"/>
          <w:sz w:val="21"/>
          <w:szCs w:val="21"/>
        </w:rPr>
        <w:t xml:space="preserve">The Agent shall never merge to main. There is no maturity threshold, no accumulated success rate, and no trusted-mode flag that unlocks this.</w:t>
      </w:r>
    </w:p>
    <w:p>
      <w:pPr>
        <w:spacing w:after="140" w:line="276"/>
      </w:pPr>
      <w:r>
        <w:rPr>
          <w:rFonts w:ascii="Calibri" w:cs="Calibri" w:eastAsia="Calibri" w:hAnsi="Calibri"/>
          <w:color w:val="12211F"/>
          <w:sz w:val="21"/>
          <w:szCs w:val="21"/>
        </w:rPr>
        <w:t xml:space="preserve">The original proposal was that the Agent be trained repeatedly, and once its success rate was high enough, be permitted to push and merge to main. Three specific things are wrong with that, in order of seriousness.</w:t>
      </w:r>
    </w:p>
    <w:p>
      <w:pPr>
        <w:pStyle w:val="Heading2"/>
        <w:spacing w:after="140" w:before="300"/>
      </w:pPr>
      <w:r>
        <w:rPr>
          <w:rFonts w:ascii="Calibri" w:cs="Calibri" w:eastAsia="Calibri" w:hAnsi="Calibri"/>
          <w:b/>
          <w:bCs/>
          <w:color w:val="12211F"/>
          <w:sz w:val="25"/>
          <w:szCs w:val="25"/>
        </w:rPr>
        <w:t xml:space="preserve">3.1  Self-referential validation proves the wrong thing</w:t>
      </w:r>
    </w:p>
    <w:p>
      <w:pPr>
        <w:spacing w:after="140" w:line="276"/>
      </w:pPr>
      <w:r>
        <w:rPr>
          <w:rFonts w:ascii="Calibri" w:cs="Calibri" w:eastAsia="Calibri" w:hAnsi="Calibri"/>
          <w:color w:val="12211F"/>
          <w:sz w:val="21"/>
          <w:szCs w:val="21"/>
        </w:rPr>
        <w:t xml:space="preserve">A change the Agent wrote, covered by tests the Agent wrote, passing a suite the Agent can influence, demonstrates that the Agent is internally consistent. It demonstrates nothing about whether an RLS policy still isolates one school's records from another, whether a published result is still immutable under FR-RES-030, or whether a fee proration rule still matches a Ghanaian three-term year. Those are questions about intent, and intent is not recoverable from the code that was supposed to express it. This is why §5 makes certain test suites human-authored and immutable to the Agent — they are the only part of the pipeline that is not downstream of the Agent's own understanding.</w:t>
      </w:r>
    </w:p>
    <w:p>
      <w:pPr>
        <w:pStyle w:val="Heading2"/>
        <w:spacing w:after="140" w:before="300"/>
      </w:pPr>
      <w:r>
        <w:rPr>
          <w:rFonts w:ascii="Calibri" w:cs="Calibri" w:eastAsia="Calibri" w:hAnsi="Calibri"/>
          <w:b/>
          <w:bCs/>
          <w:color w:val="12211F"/>
          <w:sz w:val="25"/>
          <w:szCs w:val="25"/>
        </w:rPr>
        <w:t xml:space="preserve">3.2  Accountability is a legal requirement, not a cultural preference</w:t>
      </w:r>
    </w:p>
    <w:p>
      <w:pPr>
        <w:spacing w:after="140" w:line="276"/>
      </w:pPr>
      <w:r>
        <w:rPr>
          <w:rFonts w:ascii="Calibri" w:cs="Calibri" w:eastAsia="Calibri" w:hAnsi="Calibri"/>
          <w:color w:val="12211F"/>
          <w:sz w:val="21"/>
          <w:szCs w:val="21"/>
        </w:rPr>
        <w:t xml:space="preserve">Ghana's Data Protection Act requires an identifiable controller accountable for decisions about how personal data is processed. PBSMS processes the personal data of children. A merge that changes how that data is stored, exposed, retained or shared is a processing decision and needs a name against it. "The model merged it" is not a position available to a data controller under audit, and the point at which it becomes unavailable is the point at which the incident has already happened.</w:t>
      </w:r>
    </w:p>
    <w:p>
      <w:pPr>
        <w:pStyle w:val="Heading2"/>
        <w:spacing w:after="140" w:before="300"/>
      </w:pPr>
      <w:r>
        <w:rPr>
          <w:rFonts w:ascii="Calibri" w:cs="Calibri" w:eastAsia="Calibri" w:hAnsi="Calibri"/>
          <w:b/>
          <w:bCs/>
          <w:color w:val="12211F"/>
          <w:sz w:val="25"/>
          <w:szCs w:val="25"/>
        </w:rPr>
        <w:t xml:space="preserve">3.3  Success rate is the wrong instrument</w:t>
      </w:r>
    </w:p>
    <w:p>
      <w:pPr>
        <w:spacing w:after="140" w:line="276"/>
      </w:pPr>
      <w:r>
        <w:rPr>
          <w:rFonts w:ascii="Calibri" w:cs="Calibri" w:eastAsia="Calibri" w:hAnsi="Calibri"/>
          <w:color w:val="12211F"/>
          <w:sz w:val="21"/>
          <w:szCs w:val="21"/>
        </w:rPr>
        <w:t xml:space="preserve">A 99% success rate over a thousand merged changes is ten defects shipped into a shared-database, shared-schema system holding minors' records and school finances. The useful question is not how often the tool is right; it is what happens on the occasion it is wrong. In this architecture the tail risk is cross-tenant data exposure, which is silent, unbounded in scope, not detected by the tenant, and not undone by a rollback — the data has already been seen. A metric that averages that event with a thousand successful button-colour changes is not measuring the thing that matters.</w:t>
      </w:r>
    </w:p>
    <w:p>
      <w:pPr>
        <w:pStyle w:val="Heading2"/>
        <w:spacing w:after="140" w:before="300"/>
      </w:pPr>
      <w:r>
        <w:rPr>
          <w:rFonts w:ascii="Calibri" w:cs="Calibri" w:eastAsia="Calibri" w:hAnsi="Calibri"/>
          <w:b/>
          <w:bCs/>
          <w:color w:val="12211F"/>
          <w:sz w:val="25"/>
          <w:szCs w:val="25"/>
        </w:rPr>
        <w:t xml:space="preserve">3.4  The rules that follow from this</w:t>
      </w:r>
    </w:p>
    <w:p>
      <w:pPr>
        <w:pStyle w:val="ListParagraph"/>
        <w:numPr>
          <w:ilvl w:val="0"/>
          <w:numId w:val="2"/>
        </w:numPr>
        <w:spacing w:after="110" w:line="276"/>
      </w:pPr>
      <w:r>
        <w:rPr>
          <w:rFonts w:ascii="Calibri" w:cs="Calibri" w:eastAsia="Calibri" w:hAnsi="Calibri"/>
          <w:b/>
          <w:bCs/>
          <w:color w:val="1F3330"/>
          <w:sz w:val="21"/>
          <w:szCs w:val="21"/>
        </w:rPr>
        <w:t xml:space="preserve">EC-201 — </w:t>
      </w:r>
      <w:r>
        <w:rPr>
          <w:rFonts w:ascii="Calibri" w:cs="Calibri" w:eastAsia="Calibri" w:hAnsi="Calibri"/>
          <w:color w:val="12211F"/>
          <w:sz w:val="21"/>
          <w:szCs w:val="21"/>
        </w:rPr>
        <w:t xml:space="preserve">Every Agent pull request requires review and approval by a named human engineer before merge, on the same terms as a human-authored pull request.</w:t>
      </w:r>
    </w:p>
    <w:p>
      <w:pPr>
        <w:pStyle w:val="ListParagraph"/>
        <w:numPr>
          <w:ilvl w:val="0"/>
          <w:numId w:val="2"/>
        </w:numPr>
        <w:spacing w:after="110" w:line="276"/>
      </w:pPr>
      <w:r>
        <w:rPr>
          <w:rFonts w:ascii="Calibri" w:cs="Calibri" w:eastAsia="Calibri" w:hAnsi="Calibri"/>
          <w:b/>
          <w:bCs/>
          <w:color w:val="1F3330"/>
          <w:sz w:val="21"/>
          <w:szCs w:val="21"/>
        </w:rPr>
        <w:t xml:space="preserve">EC-202 — </w:t>
      </w:r>
      <w:r>
        <w:rPr>
          <w:rFonts w:ascii="Calibri" w:cs="Calibri" w:eastAsia="Calibri" w:hAnsi="Calibri"/>
          <w:color w:val="12211F"/>
          <w:sz w:val="21"/>
          <w:szCs w:val="21"/>
        </w:rPr>
        <w:t xml:space="preserve">Pull requests touching a protected zone (§5) require two human approvers, one of whom holds the Engineering Lead role.</w:t>
      </w:r>
    </w:p>
    <w:p>
      <w:pPr>
        <w:pStyle w:val="ListParagraph"/>
        <w:numPr>
          <w:ilvl w:val="0"/>
          <w:numId w:val="2"/>
        </w:numPr>
        <w:spacing w:after="110" w:line="276"/>
      </w:pPr>
      <w:r>
        <w:rPr>
          <w:rFonts w:ascii="Calibri" w:cs="Calibri" w:eastAsia="Calibri" w:hAnsi="Calibri"/>
          <w:b/>
          <w:bCs/>
          <w:color w:val="1F3330"/>
          <w:sz w:val="21"/>
          <w:szCs w:val="21"/>
        </w:rPr>
        <w:t xml:space="preserve">EC-203 — </w:t>
      </w:r>
      <w:r>
        <w:rPr>
          <w:rFonts w:ascii="Calibri" w:cs="Calibri" w:eastAsia="Calibri" w:hAnsi="Calibri"/>
          <w:color w:val="12211F"/>
          <w:sz w:val="21"/>
          <w:szCs w:val="21"/>
        </w:rPr>
        <w:t xml:space="preserve">Deployment to production is human-triggered. The Agent shall hold no deploy permission.</w:t>
      </w:r>
    </w:p>
    <w:p>
      <w:pPr>
        <w:pStyle w:val="ListParagraph"/>
        <w:numPr>
          <w:ilvl w:val="0"/>
          <w:numId w:val="2"/>
        </w:numPr>
        <w:spacing w:after="110" w:line="276"/>
      </w:pPr>
      <w:r>
        <w:rPr>
          <w:rFonts w:ascii="Calibri" w:cs="Calibri" w:eastAsia="Calibri" w:hAnsi="Calibri"/>
          <w:b/>
          <w:bCs/>
          <w:color w:val="1F3330"/>
          <w:sz w:val="21"/>
          <w:szCs w:val="21"/>
        </w:rPr>
        <w:t xml:space="preserve">EC-204 — </w:t>
      </w:r>
      <w:r>
        <w:rPr>
          <w:rFonts w:ascii="Calibri" w:cs="Calibri" w:eastAsia="Calibri" w:hAnsi="Calibri"/>
          <w:color w:val="12211F"/>
          <w:sz w:val="21"/>
          <w:szCs w:val="21"/>
        </w:rPr>
        <w:t xml:space="preserve">The Agent shall not approve any pull request, including one it did not author.</w:t>
      </w:r>
    </w:p>
    <w:p>
      <w:pPr>
        <w:pStyle w:val="ListParagraph"/>
        <w:numPr>
          <w:ilvl w:val="0"/>
          <w:numId w:val="2"/>
        </w:numPr>
        <w:spacing w:after="110" w:line="276"/>
      </w:pPr>
      <w:r>
        <w:rPr>
          <w:rFonts w:ascii="Calibri" w:cs="Calibri" w:eastAsia="Calibri" w:hAnsi="Calibri"/>
          <w:b/>
          <w:bCs/>
          <w:color w:val="A32017"/>
          <w:sz w:val="21"/>
          <w:szCs w:val="21"/>
        </w:rPr>
        <w:t xml:space="preserve">EC-205 — </w:t>
      </w:r>
      <w:r>
        <w:rPr>
          <w:rFonts w:ascii="Calibri" w:cs="Calibri" w:eastAsia="Calibri" w:hAnsi="Calibri"/>
          <w:color w:val="12211F"/>
          <w:sz w:val="21"/>
          <w:szCs w:val="21"/>
        </w:rPr>
        <w:t xml:space="preserve">The Agent shall not modify CI configuration, branch protection rules, or repository permissions.</w:t>
      </w:r>
    </w:p>
    <w:p>
      <w:pPr>
        <w:pStyle w:val="Heading1"/>
        <w:spacing w:after="180" w:before="400"/>
      </w:pPr>
      <w:r>
        <w:rPr>
          <w:rFonts w:ascii="Calibri" w:cs="Calibri" w:eastAsia="Calibri" w:hAnsi="Calibri"/>
          <w:b/>
          <w:bCs/>
          <w:color w:val="1F3330"/>
          <w:sz w:val="30"/>
          <w:szCs w:val="30"/>
        </w:rPr>
        <w:t xml:space="preserve">4.  Feedback Pipeline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3200"/>
        <w:gridCol w:w="34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Source</w:t>
            </w:r>
          </w:p>
        </w:tc>
        <w:tc>
          <w:tcPr>
            <w:tcW w:type="dxa" w:w="32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Signal</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Handling</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In-app feedback</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Free-text submission from any surface, with role and screen context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Anonymised at ingestion (EC-300)</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Support tickets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Tenant-raised issues and requests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Anonymised; tenant identity replaced by an opaque identifier</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Telemetry</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Abandonment, repeated retries, dead-end navigation, validation-error clustering</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Recorded against role and screen, never against an identified user</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Assistant error reports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Answers reported as incorrect under FR-AIT-602</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Question text is personal data — stripped before it reaches the Agent; only the failure class crosses</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Tenant success conversations</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Notes from calls with schools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Summarised by a human before ingestion, never raw</w:t>
            </w:r>
          </w:p>
        </w:tc>
      </w:tr>
    </w:tbl>
    <w:p>
      <w:pPr>
        <w:spacing w:after="120"/>
      </w:pPr>
    </w:p>
    <w:p>
      <w:pPr>
        <w:pStyle w:val="ListParagraph"/>
        <w:numPr>
          <w:ilvl w:val="0"/>
          <w:numId w:val="2"/>
        </w:numPr>
        <w:spacing w:after="110" w:line="276"/>
      </w:pPr>
      <w:r>
        <w:rPr>
          <w:rFonts w:ascii="Calibri" w:cs="Calibri" w:eastAsia="Calibri" w:hAnsi="Calibri"/>
          <w:b/>
          <w:bCs/>
          <w:color w:val="1F3330"/>
          <w:sz w:val="21"/>
          <w:szCs w:val="21"/>
        </w:rPr>
        <w:t xml:space="preserve">EC-300 — </w:t>
      </w:r>
      <w:r>
        <w:rPr>
          <w:rFonts w:ascii="Calibri" w:cs="Calibri" w:eastAsia="Calibri" w:hAnsi="Calibri"/>
          <w:color w:val="12211F"/>
          <w:sz w:val="21"/>
          <w:szCs w:val="21"/>
        </w:rPr>
        <w:t xml:space="preserve">Anonymisation at ingestion. Student names, guardian names, staff names, contact details, admission numbers, invoice numbers, BECE index numbers and any free-text identifier shall be stripped before feedback reaches the Agent's context. The Agent works on the shape of a problem, not on who reported it.</w:t>
      </w:r>
    </w:p>
    <w:p>
      <w:pPr>
        <w:pStyle w:val="ListParagraph"/>
        <w:numPr>
          <w:ilvl w:val="0"/>
          <w:numId w:val="2"/>
        </w:numPr>
        <w:spacing w:after="110" w:line="276"/>
      </w:pPr>
      <w:r>
        <w:rPr>
          <w:rFonts w:ascii="Calibri" w:cs="Calibri" w:eastAsia="Calibri" w:hAnsi="Calibri"/>
          <w:b/>
          <w:bCs/>
          <w:color w:val="1F3330"/>
          <w:sz w:val="21"/>
          <w:szCs w:val="21"/>
        </w:rPr>
        <w:t xml:space="preserve">EC-301 — </w:t>
      </w:r>
      <w:r>
        <w:rPr>
          <w:rFonts w:ascii="Calibri" w:cs="Calibri" w:eastAsia="Calibri" w:hAnsi="Calibri"/>
          <w:color w:val="12211F"/>
          <w:sz w:val="21"/>
          <w:szCs w:val="21"/>
        </w:rPr>
        <w:t xml:space="preserve">Tenant attribution shall be by opaque identifier only. The Agent may know that fourteen distinct tenants reported the same friction. It shall not know which fourteen.</w:t>
      </w:r>
    </w:p>
    <w:p>
      <w:pPr>
        <w:pStyle w:val="ListParagraph"/>
        <w:numPr>
          <w:ilvl w:val="0"/>
          <w:numId w:val="2"/>
        </w:numPr>
        <w:spacing w:after="110" w:line="276"/>
      </w:pPr>
      <w:r>
        <w:rPr>
          <w:rFonts w:ascii="Calibri" w:cs="Calibri" w:eastAsia="Calibri" w:hAnsi="Calibri"/>
          <w:b/>
          <w:bCs/>
          <w:color w:val="A32017"/>
          <w:sz w:val="21"/>
          <w:szCs w:val="21"/>
        </w:rPr>
        <w:t xml:space="preserve">EC-302 — </w:t>
      </w:r>
      <w:r>
        <w:rPr>
          <w:rFonts w:ascii="Calibri" w:cs="Calibri" w:eastAsia="Calibri" w:hAnsi="Calibri"/>
          <w:color w:val="12211F"/>
          <w:sz w:val="21"/>
          <w:szCs w:val="21"/>
        </w:rPr>
        <w:t xml:space="preserve">No production data in the Agent's context, at any time, in any form — not a sample, not an export, not a temporary copy for debugging. Where a defect cannot be diagnosed without real data, a human diagnoses it.</w:t>
      </w:r>
    </w:p>
    <w:p>
      <w:pPr>
        <w:pStyle w:val="ListParagraph"/>
        <w:numPr>
          <w:ilvl w:val="0"/>
          <w:numId w:val="2"/>
        </w:numPr>
        <w:spacing w:after="110" w:line="276"/>
      </w:pPr>
      <w:r>
        <w:rPr>
          <w:rFonts w:ascii="Calibri" w:cs="Calibri" w:eastAsia="Calibri" w:hAnsi="Calibri"/>
          <w:b/>
          <w:bCs/>
          <w:color w:val="1F3330"/>
          <w:sz w:val="21"/>
          <w:szCs w:val="21"/>
        </w:rPr>
        <w:t xml:space="preserve">EC-303 — </w:t>
      </w:r>
      <w:r>
        <w:rPr>
          <w:rFonts w:ascii="Calibri" w:cs="Calibri" w:eastAsia="Calibri" w:hAnsi="Calibri"/>
          <w:color w:val="12211F"/>
          <w:sz w:val="21"/>
          <w:szCs w:val="21"/>
        </w:rPr>
        <w:t xml:space="preserve">Telemetry shall be behavioural, not personal: events against role and screen, with no user identifier and no tenant identifier beyond the opaque one.</w:t>
      </w:r>
    </w:p>
    <w:p>
      <w:pPr>
        <w:pStyle w:val="Heading2"/>
        <w:spacing w:after="140" w:before="300"/>
      </w:pPr>
      <w:r>
        <w:rPr>
          <w:rFonts w:ascii="Calibri" w:cs="Calibri" w:eastAsia="Calibri" w:hAnsi="Calibri"/>
          <w:b/>
          <w:bCs/>
          <w:color w:val="12211F"/>
          <w:sz w:val="25"/>
          <w:szCs w:val="25"/>
        </w:rPr>
        <w:t xml:space="preserve">4.1  Cross-tenant contamination</w:t>
      </w:r>
    </w:p>
    <w:p>
      <w:pPr>
        <w:spacing w:after="140" w:line="276"/>
      </w:pPr>
      <w:r>
        <w:rPr>
          <w:rFonts w:ascii="Calibri" w:cs="Calibri" w:eastAsia="Calibri" w:hAnsi="Calibri"/>
          <w:color w:val="12211F"/>
          <w:sz w:val="21"/>
          <w:szCs w:val="21"/>
        </w:rPr>
        <w:t xml:space="preserve">This is the failure mode specific to a shared-schema multi-tenant product, and it is not a security failure — it is a product failure that looks like a feature.</w:t>
      </w:r>
    </w:p>
    <w:p>
      <w:pPr>
        <w:pStyle w:val="ListParagraph"/>
        <w:numPr>
          <w:ilvl w:val="0"/>
          <w:numId w:val="2"/>
        </w:numPr>
        <w:spacing w:after="110" w:line="276"/>
      </w:pPr>
      <w:r>
        <w:rPr>
          <w:rFonts w:ascii="Calibri" w:cs="Calibri" w:eastAsia="Calibri" w:hAnsi="Calibri"/>
          <w:b/>
          <w:bCs/>
          <w:color w:val="1F3330"/>
          <w:sz w:val="21"/>
          <w:szCs w:val="21"/>
        </w:rPr>
        <w:t xml:space="preserve">EC-310 — </w:t>
      </w:r>
      <w:r>
        <w:rPr>
          <w:rFonts w:ascii="Calibri" w:cs="Calibri" w:eastAsia="Calibri" w:hAnsi="Calibri"/>
          <w:color w:val="12211F"/>
          <w:sz w:val="21"/>
          <w:szCs w:val="21"/>
        </w:rPr>
        <w:t xml:space="preserve">Volume is not a mandate. A change requested by many tenants does not thereby become a change every tenant receives. The ranked backlog is an input to a decision made by a named human product owner, who is accountable for that decision.</w:t>
      </w:r>
    </w:p>
    <w:p>
      <w:pPr>
        <w:pStyle w:val="ListParagraph"/>
        <w:numPr>
          <w:ilvl w:val="0"/>
          <w:numId w:val="2"/>
        </w:numPr>
        <w:spacing w:after="110" w:line="276"/>
      </w:pPr>
      <w:r>
        <w:rPr>
          <w:rFonts w:ascii="Calibri" w:cs="Calibri" w:eastAsia="Calibri" w:hAnsi="Calibri"/>
          <w:b/>
          <w:bCs/>
          <w:color w:val="1F3330"/>
          <w:sz w:val="21"/>
          <w:szCs w:val="21"/>
        </w:rPr>
        <w:t xml:space="preserve">EC-311 — </w:t>
      </w:r>
      <w:r>
        <w:rPr>
          <w:rFonts w:ascii="Calibri" w:cs="Calibri" w:eastAsia="Calibri" w:hAnsi="Calibri"/>
          <w:color w:val="12211F"/>
          <w:sz w:val="21"/>
          <w:szCs w:val="21"/>
        </w:rPr>
        <w:t xml:space="preserve">Shared schema means everyone inherits. Any merged change altering a workflow a tenant depends on shall ship behind a feature flag with tenant-level opt-in, defaulting to existing behaviour. The default protects the tenants who did not ask.</w:t>
      </w:r>
    </w:p>
    <w:p>
      <w:pPr>
        <w:pStyle w:val="ListParagraph"/>
        <w:numPr>
          <w:ilvl w:val="0"/>
          <w:numId w:val="2"/>
        </w:numPr>
        <w:spacing w:after="110" w:line="276"/>
      </w:pPr>
      <w:r>
        <w:rPr>
          <w:rFonts w:ascii="Calibri" w:cs="Calibri" w:eastAsia="Calibri" w:hAnsi="Calibri"/>
          <w:b/>
          <w:bCs/>
          <w:color w:val="1F3330"/>
          <w:sz w:val="21"/>
          <w:szCs w:val="21"/>
        </w:rPr>
        <w:t xml:space="preserve">EC-312 — </w:t>
      </w:r>
      <w:r>
        <w:rPr>
          <w:rFonts w:ascii="Calibri" w:cs="Calibri" w:eastAsia="Calibri" w:hAnsi="Calibri"/>
          <w:color w:val="12211F"/>
          <w:sz w:val="21"/>
          <w:szCs w:val="21"/>
        </w:rPr>
        <w:t xml:space="preserve">No mid-term workflow changes. Changes to attendance, assessment, results or invoicing workflows shall not be released to a tenant during an active term without that tenant's explicit consent. A Ghanaian school year has three terms; a workflow change landing in week six of one is disruption, not improvement, however well-requested it was.</w:t>
      </w:r>
    </w:p>
    <w:p>
      <w:pPr>
        <w:pStyle w:val="ListParagraph"/>
        <w:numPr>
          <w:ilvl w:val="0"/>
          <w:numId w:val="2"/>
        </w:numPr>
        <w:spacing w:after="110" w:line="276"/>
      </w:pPr>
      <w:r>
        <w:rPr>
          <w:rFonts w:ascii="Calibri" w:cs="Calibri" w:eastAsia="Calibri" w:hAnsi="Calibri"/>
          <w:b/>
          <w:bCs/>
          <w:color w:val="1F3330"/>
          <w:sz w:val="21"/>
          <w:szCs w:val="21"/>
        </w:rPr>
        <w:t xml:space="preserve">EC-313 — </w:t>
      </w:r>
      <w:r>
        <w:rPr>
          <w:rFonts w:ascii="Calibri" w:cs="Calibri" w:eastAsia="Calibri" w:hAnsi="Calibri"/>
          <w:color w:val="12211F"/>
          <w:sz w:val="21"/>
          <w:szCs w:val="21"/>
        </w:rPr>
        <w:t xml:space="preserve">A minority tenant shall not be outvoted into breakage. Where a highly-requested change would degrade the workflow of tenants who did not request it, the flag default holds them on existing behaviour until they choose otherwise.</w:t>
      </w:r>
    </w:p>
    <w:p>
      <w:pPr>
        <w:pStyle w:val="Heading1"/>
        <w:spacing w:after="180" w:before="400"/>
      </w:pPr>
      <w:r>
        <w:rPr>
          <w:rFonts w:ascii="Calibri" w:cs="Calibri" w:eastAsia="Calibri" w:hAnsi="Calibri"/>
          <w:b/>
          <w:bCs/>
          <w:color w:val="1F3330"/>
          <w:sz w:val="30"/>
          <w:szCs w:val="30"/>
        </w:rPr>
        <w:t xml:space="preserve">5.  Protected Zones and Immutable Suites</w:t>
      </w:r>
    </w:p>
    <w:p>
      <w:pPr>
        <w:spacing w:after="140" w:line="276"/>
      </w:pPr>
      <w:r>
        <w:rPr>
          <w:rFonts w:ascii="Calibri" w:cs="Calibri" w:eastAsia="Calibri" w:hAnsi="Calibri"/>
          <w:color w:val="12211F"/>
          <w:sz w:val="21"/>
          <w:szCs w:val="21"/>
        </w:rPr>
        <w:t xml:space="preserve">Some parts of this codebase are load-bearing for correctness properties that cannot be recovered after they break. The Agent may draft changes in most of them, under stricter review. In two of them it may not act at all.</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3000"/>
        <w:gridCol w:w="2600"/>
        <w:gridCol w:w="3426"/>
      </w:tblGrid>
      <w:tr>
        <w:trPr>
          <w:tblHeader/>
        </w:trPr>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Zone</w:t>
            </w:r>
          </w:p>
        </w:tc>
        <w:tc>
          <w:tcPr>
            <w:tcW w:type="dxa" w:w="2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Rule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RLS policies; any migration touching a tenant-owned table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entire tenant isolation boundary</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May draft. Two approvers incl. Engineering Lead. RLS coverage gate and cross-tenant isolation suite must pass.</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Tenant context middleware, AsyncLocalStorage scoping, request-scoped DB service</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Carries the isolation boundary into every request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Authentication, authorisation, Chapter 13 scope resolution</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Access control for minors' records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Finance ledger, allocation, reversal (Ch 23–25)</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Money correctness; maker-checker integrity</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May draft. Two approvers, one holding finance domain ownership.</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Results immutability and publication gate (FR-RES-020, FR-RES-030)</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Academic record integrity; BECE and CSSPS depend on it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Subscription metering and billing (TEN-030, TEN-031)</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Revenue correctness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Chapter 47 Assistant prompts, scope config, evaluation gates</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Constraints on another AI system</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 access. Prohibited outright (EC-005).</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 test suites (below)</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only validation not downstream of the Agent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 access. Prohibited outright (EC-400).</w:t>
            </w:r>
          </w:p>
        </w:tc>
      </w:tr>
    </w:tbl>
    <w:p>
      <w:pPr>
        <w:spacing w:after="120"/>
      </w:pPr>
    </w:p>
    <w:p>
      <w:pPr>
        <w:pStyle w:val="ListParagraph"/>
        <w:numPr>
          <w:ilvl w:val="0"/>
          <w:numId w:val="2"/>
        </w:numPr>
        <w:spacing w:after="110" w:line="276"/>
      </w:pPr>
      <w:r>
        <w:rPr>
          <w:rFonts w:ascii="Calibri" w:cs="Calibri" w:eastAsia="Calibri" w:hAnsi="Calibri"/>
          <w:b/>
          <w:bCs/>
          <w:color w:val="A32017"/>
          <w:sz w:val="21"/>
          <w:szCs w:val="21"/>
        </w:rPr>
        <w:t xml:space="preserve">EC-400 — </w:t>
      </w:r>
      <w:r>
        <w:rPr>
          <w:rFonts w:ascii="Calibri" w:cs="Calibri" w:eastAsia="Calibri" w:hAnsi="Calibri"/>
          <w:color w:val="12211F"/>
          <w:sz w:val="21"/>
          <w:szCs w:val="21"/>
        </w:rPr>
        <w:t xml:space="preserve">The following suites shall be human-authored and immutable to the Agent: the cross-tenant isolation suite (NFR-QA-020), the Chapter 47 Assistant isolation and grounding gates, the finance invariant suite, and the results-immutability suite. The Agent may propose additional cases in a pull request that touches nothing else; it may never modify or delete an existing case.</w:t>
      </w:r>
    </w:p>
    <w:p>
      <w:pPr>
        <w:spacing w:after="140" w:line="276"/>
      </w:pPr>
      <w:r>
        <w:rPr>
          <w:rFonts w:ascii="Calibri" w:cs="Calibri" w:eastAsia="Calibri" w:hAnsi="Calibri"/>
          <w:color w:val="12211F"/>
          <w:sz w:val="21"/>
          <w:szCs w:val="21"/>
        </w:rPr>
        <w:t xml:space="preserve">This is the single most important rule in the document. A tool that can edit the tests constraining it is not constrained. Every other safeguard here degrades gracefully under pressure; this one does not degrade at all, which is why it is expressed as an access prohibition enforced by repository permissions and a CI check, rather than as a review convention.</w:t>
      </w:r>
    </w:p>
    <w:p>
      <w:pPr>
        <w:pStyle w:val="ListParagraph"/>
        <w:numPr>
          <w:ilvl w:val="0"/>
          <w:numId w:val="2"/>
        </w:numPr>
        <w:spacing w:after="110" w:line="276"/>
      </w:pPr>
      <w:r>
        <w:rPr>
          <w:rFonts w:ascii="Calibri" w:cs="Calibri" w:eastAsia="Calibri" w:hAnsi="Calibri"/>
          <w:b/>
          <w:bCs/>
          <w:color w:val="1F3330"/>
          <w:sz w:val="21"/>
          <w:szCs w:val="21"/>
        </w:rPr>
        <w:t xml:space="preserve">EC-401 — </w:t>
      </w:r>
      <w:r>
        <w:rPr>
          <w:rFonts w:ascii="Calibri" w:cs="Calibri" w:eastAsia="Calibri" w:hAnsi="Calibri"/>
          <w:color w:val="12211F"/>
          <w:sz w:val="21"/>
          <w:szCs w:val="21"/>
        </w:rPr>
        <w:t xml:space="preserve">Agent-authored tests are evidence, not proof. A reviewer shall assume that such a test encodes the Agent's understanding of the change — the same understanding that produced the change. Review shall check the test against the requirement, not against the code it accompanies.</w:t>
      </w:r>
    </w:p>
    <w:p>
      <w:pPr>
        <w:pStyle w:val="Heading1"/>
        <w:spacing w:after="180" w:before="400"/>
      </w:pPr>
      <w:r>
        <w:rPr>
          <w:rFonts w:ascii="Calibri" w:cs="Calibri" w:eastAsia="Calibri" w:hAnsi="Calibri"/>
          <w:b/>
          <w:bCs/>
          <w:color w:val="1F3330"/>
          <w:sz w:val="30"/>
          <w:szCs w:val="30"/>
        </w:rPr>
        <w:t xml:space="preserve">6.  CI Gates for Agent Pull Requests</w:t>
      </w:r>
    </w:p>
    <w:p>
      <w:pPr>
        <w:spacing w:after="140" w:line="276"/>
      </w:pPr>
      <w:r>
        <w:rPr>
          <w:rFonts w:ascii="Calibri" w:cs="Calibri" w:eastAsia="Calibri" w:hAnsi="Calibri"/>
          <w:color w:val="12211F"/>
          <w:sz w:val="21"/>
          <w:szCs w:val="21"/>
        </w:rPr>
        <w:t xml:space="preserve">A Agent pull request passes every gate below before a human is asked to look at it. Spending a reviewer's attention on a change that an automated check would have rejected is the fastest way to make reviewers stop reading carefully, and reviewer attention is the actual safety mechanism in this whole design.</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600"/>
        <w:gridCol w:w="3200"/>
        <w:gridCol w:w="4226"/>
      </w:tblGrid>
      <w:tr>
        <w:trPr>
          <w:tblHeader/>
        </w:trPr>
        <w:tc>
          <w:tcPr>
            <w:tcW w:type="dxa" w:w="1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32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Gate</w:t>
            </w:r>
          </w:p>
        </w:tc>
        <w:tc>
          <w:tcPr>
            <w:tcW w:type="dxa" w:w="42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Fails when</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Existing pipeline</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SAST, dependency scan, RLS coverage gate, cross-tenant isolation suite, accessibility gate (pa11y-ci), performance budget — all as already configured</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EC-500</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Protected-path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diff touches a protected zone without the required label and approver count</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EC-501</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Immutable-suite check</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protected test file is modified or deleted</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EC-502</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Migration safety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destructive migration appears without an explicit, separately reviewed exception</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EC-503</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change exceeds the reviewable size limit (proposed 400 changed lines) and has not been split</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EC-504</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Traceability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pull request does not reference the SRS requirement IDs it implements or changes</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EC-505</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Behaviour-change flag check</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user-visible workflow change ships without a feature flag (EC-311)</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EC-506</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Attribution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commit and pull request are not labelled as Agent-authored</w:t>
            </w:r>
          </w:p>
        </w:tc>
      </w:tr>
    </w:tbl>
    <w:p>
      <w:pPr>
        <w:pStyle w:val="Heading1"/>
        <w:spacing w:after="180" w:before="400"/>
      </w:pPr>
      <w:r>
        <w:rPr>
          <w:rFonts w:ascii="Calibri" w:cs="Calibri" w:eastAsia="Calibri" w:hAnsi="Calibri"/>
          <w:b/>
          <w:bCs/>
          <w:color w:val="1F3330"/>
          <w:sz w:val="30"/>
          <w:szCs w:val="30"/>
        </w:rPr>
        <w:t xml:space="preserve">7.  Change Workflow</w:t>
      </w:r>
    </w:p>
    <w:p>
      <w:pPr>
        <w:shd w:fill="FAF7F0" w:val="clear"/>
        <w:spacing w:after="0" w:line="240"/>
      </w:pPr>
      <w:r>
        <w:rPr>
          <w:rFonts w:ascii="Consolas" w:cs="Consolas" w:eastAsia="Consolas" w:hAnsi="Consolas"/>
          <w:color w:val="12211F"/>
          <w:sz w:val="17"/>
          <w:szCs w:val="17"/>
        </w:rPr>
        <w:t xml:space="preserve">  1  Signal            feedback, tickets, telemetry, gap detection   AGENT</w:t>
      </w:r>
    </w:p>
    <w:p>
      <w:pPr>
        <w:shd w:fill="FAF7F0" w:val="clear"/>
        <w:spacing w:after="0" w:line="240"/>
      </w:pPr>
      <w:r>
        <w:rPr>
          <w:rFonts w:ascii="Consolas" w:cs="Consolas" w:eastAsia="Consolas" w:hAnsi="Consolas"/>
          <w:color w:val="12211F"/>
          <w:sz w:val="17"/>
          <w:szCs w:val="17"/>
        </w:rPr>
        <w:t xml:space="preserve">  2  Cluster &amp; rank    deduplicated themes, ranked backlog           AGENT</w:t>
      </w:r>
    </w:p>
    <w:p>
      <w:pPr>
        <w:shd w:fill="FAF7F0" w:val="clear"/>
        <w:spacing w:after="0" w:line="240"/>
      </w:pPr>
      <w:r>
        <w:rPr>
          <w:rFonts w:ascii="Consolas" w:cs="Consolas" w:eastAsia="Consolas" w:hAnsi="Consolas"/>
          <w:color w:val="12211F"/>
          <w:sz w:val="17"/>
          <w:szCs w:val="17"/>
        </w:rPr>
        <w:t xml:space="preserve">  3  Product decision  what gets built, and for whom                 HUMAN</w:t>
      </w:r>
    </w:p>
    <w:p>
      <w:pPr>
        <w:shd w:fill="FAF7F0" w:val="clear"/>
        <w:spacing w:after="0" w:line="240"/>
      </w:pPr>
      <w:r>
        <w:rPr>
          <w:rFonts w:ascii="Consolas" w:cs="Consolas" w:eastAsia="Consolas" w:hAnsi="Consolas"/>
          <w:color w:val="12211F"/>
          <w:sz w:val="17"/>
          <w:szCs w:val="17"/>
        </w:rPr>
        <w:t xml:space="preserve">  4  RFC draft         problem, impact, schema, rollback, tests      AGENT</w:t>
      </w:r>
    </w:p>
    <w:p>
      <w:pPr>
        <w:shd w:fill="FAF7F0" w:val="clear"/>
        <w:spacing w:after="0" w:line="240"/>
      </w:pPr>
      <w:r>
        <w:rPr>
          <w:rFonts w:ascii="Consolas" w:cs="Consolas" w:eastAsia="Consolas" w:hAnsi="Consolas"/>
          <w:color w:val="12211F"/>
          <w:sz w:val="17"/>
          <w:szCs w:val="17"/>
        </w:rPr>
        <w:t xml:space="preserve">  5  RFC approval      technical approach signed off                 HUMAN</w:t>
      </w:r>
    </w:p>
    <w:p>
      <w:pPr>
        <w:shd w:fill="FAF7F0" w:val="clear"/>
        <w:spacing w:after="0" w:line="240"/>
      </w:pPr>
      <w:r>
        <w:rPr>
          <w:rFonts w:ascii="Consolas" w:cs="Consolas" w:eastAsia="Consolas" w:hAnsi="Consolas"/>
          <w:color w:val="12211F"/>
          <w:sz w:val="17"/>
          <w:szCs w:val="17"/>
        </w:rPr>
        <w:t xml:space="preserve">  6  Implementation    feature branch, code, tests, migration        AGENT</w:t>
      </w:r>
    </w:p>
    <w:p>
      <w:pPr>
        <w:shd w:fill="FAF7F0" w:val="clear"/>
        <w:spacing w:after="0" w:line="240"/>
      </w:pPr>
      <w:r>
        <w:rPr>
          <w:rFonts w:ascii="Consolas" w:cs="Consolas" w:eastAsia="Consolas" w:hAnsi="Consolas"/>
          <w:color w:val="12211F"/>
          <w:sz w:val="17"/>
          <w:szCs w:val="17"/>
        </w:rPr>
        <w:t xml:space="preserve">  7  CI gates          §6 — all must pass before review is requested AUTOMATED</w:t>
      </w:r>
    </w:p>
    <w:p>
      <w:pPr>
        <w:shd w:fill="FAF7F0" w:val="clear"/>
        <w:spacing w:after="0" w:line="240"/>
      </w:pPr>
      <w:r>
        <w:rPr>
          <w:rFonts w:ascii="Consolas" w:cs="Consolas" w:eastAsia="Consolas" w:hAnsi="Consolas"/>
          <w:color w:val="12211F"/>
          <w:sz w:val="17"/>
          <w:szCs w:val="17"/>
        </w:rPr>
        <w:t xml:space="preserve">  8  Code review       against the requirement, not the code         HUMAN</w:t>
      </w:r>
    </w:p>
    <w:p>
      <w:pPr>
        <w:shd w:fill="FAF7F0" w:val="clear"/>
        <w:spacing w:after="0" w:line="240"/>
      </w:pPr>
      <w:r>
        <w:rPr>
          <w:rFonts w:ascii="Consolas" w:cs="Consolas" w:eastAsia="Consolas" w:hAnsi="Consolas"/>
          <w:color w:val="12211F"/>
          <w:sz w:val="17"/>
          <w:szCs w:val="17"/>
        </w:rPr>
        <w:t xml:space="preserve">  9  Merge             the accountability record                     HUMAN</w:t>
      </w:r>
    </w:p>
    <w:p>
      <w:pPr>
        <w:shd w:fill="FAF7F0" w:val="clear"/>
        <w:spacing w:after="0" w:line="240"/>
      </w:pPr>
      <w:r>
        <w:rPr>
          <w:rFonts w:ascii="Consolas" w:cs="Consolas" w:eastAsia="Consolas" w:hAnsi="Consolas"/>
          <w:color w:val="12211F"/>
          <w:sz w:val="17"/>
          <w:szCs w:val="17"/>
        </w:rPr>
        <w:t xml:space="preserve"> 10  Release           flagged, default off, human-triggered         HUMAN</w:t>
      </w:r>
    </w:p>
    <w:p>
      <w:pPr>
        <w:shd w:fill="FAF7F0" w:val="clear"/>
        <w:spacing w:after="0" w:line="240"/>
      </w:pPr>
      <w:r>
        <w:rPr>
          <w:rFonts w:ascii="Consolas" w:cs="Consolas" w:eastAsia="Consolas" w:hAnsi="Consolas"/>
          <w:color w:val="12211F"/>
          <w:sz w:val="17"/>
          <w:szCs w:val="17"/>
        </w:rPr>
        <w:t xml:space="preserve"> 11  Rollout           tenant opt-in, staged, never mid-term         HUMAN</w:t>
      </w:r>
    </w:p>
    <w:p>
      <w:pPr>
        <w:shd w:fill="FAF7F0" w:val="clear"/>
        <w:spacing w:after="0" w:line="240"/>
      </w:pPr>
      <w:r>
        <w:rPr>
          <w:rFonts w:ascii="Consolas" w:cs="Consolas" w:eastAsia="Consolas" w:hAnsi="Consolas"/>
          <w:color w:val="12211F"/>
          <w:sz w:val="17"/>
          <w:szCs w:val="17"/>
        </w:rPr>
        <w:t xml:space="preserve"> 12  Measurement       adoption, defects, reverts                    AUTOMATED</w:t>
      </w:r>
    </w:p>
    <w:p>
      <w:pPr>
        <w:shd w:fill="FAF7F0" w:val="clear"/>
        <w:spacing w:after="0" w:line="240"/>
      </w:pPr>
      <w:r>
        <w:rPr>
          <w:rFonts w:ascii="Consolas" w:cs="Consolas" w:eastAsia="Consolas" w:hAnsi="Consolas"/>
          <w:color w:val="12211F"/>
          <w:sz w:val="17"/>
          <w:szCs w:val="17"/>
        </w:rPr>
        <w:t xml:space="preserve"> 13  Doc drift         SRS / Frontend Spec amendment drafted         AGENT</w:t>
      </w:r>
    </w:p>
    <w:p>
      <w:pPr>
        <w:shd w:fill="FAF7F0" w:val="clear"/>
        <w:spacing w:after="160" w:line="240"/>
      </w:pPr>
      <w:r>
        <w:rPr>
          <w:rFonts w:ascii="Consolas" w:cs="Consolas" w:eastAsia="Consolas" w:hAnsi="Consolas"/>
          <w:color w:val="12211F"/>
          <w:sz w:val="17"/>
          <w:szCs w:val="17"/>
        </w:rPr>
        <w:t xml:space="preserve"> 14  Doc approval      amendment accepted into the baseline          HUMAN</w:t>
      </w:r>
    </w:p>
    <w:p>
      <w:pPr>
        <w:spacing w:after="140" w:line="276"/>
      </w:pPr>
      <w:r>
        <w:rPr>
          <w:rFonts w:ascii="Calibri" w:cs="Calibri" w:eastAsia="Calibri" w:hAnsi="Calibri"/>
          <w:color w:val="12211F"/>
          <w:sz w:val="21"/>
          <w:szCs w:val="21"/>
        </w:rPr>
        <w:t xml:space="preserve">Humans act at seven of the fourteen stages, and at every stage where something becomes irreversible or reaches a tenant. That is the design, not a transitional arrangement pending greater confidence in the tool.</w:t>
      </w:r>
    </w:p>
    <w:p>
      <w:pPr>
        <w:pStyle w:val="Heading1"/>
        <w:spacing w:after="180" w:before="400"/>
      </w:pPr>
      <w:r>
        <w:rPr>
          <w:rFonts w:ascii="Calibri" w:cs="Calibri" w:eastAsia="Calibri" w:hAnsi="Calibri"/>
          <w:b/>
          <w:bCs/>
          <w:color w:val="1F3330"/>
          <w:sz w:val="30"/>
          <w:szCs w:val="30"/>
        </w:rPr>
        <w:t xml:space="preserve">8.  Accountability</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Role</w:t>
            </w:r>
          </w:p>
        </w:tc>
        <w:tc>
          <w:tcPr>
            <w:tcW w:type="dxa" w:w="66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Accountable for</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Engineering Lead</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This document; protected-zone approvals; the decision to advance a rollout stage; invoking EC-700</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Product Owner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Stage 3 product decisions; which tenants receive which flagged change and when</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Reviewing engineer</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correctness of the merged change. Named in the commit trail as author of record for audit and DPA purposes.</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Data Protection Officer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That EC-300 anonymisation holds in practice; that no processing decision reaches production without a named human behind it</w:t>
            </w:r>
          </w:p>
        </w:tc>
      </w:tr>
    </w:tbl>
    <w:p>
      <w:pPr>
        <w:spacing w:after="120"/>
      </w:pPr>
    </w:p>
    <w:p>
      <w:pPr>
        <w:pStyle w:val="ListParagraph"/>
        <w:numPr>
          <w:ilvl w:val="0"/>
          <w:numId w:val="2"/>
        </w:numPr>
        <w:spacing w:after="110" w:line="276"/>
      </w:pPr>
      <w:r>
        <w:rPr>
          <w:rFonts w:ascii="Calibri" w:cs="Calibri" w:eastAsia="Calibri" w:hAnsi="Calibri"/>
          <w:b/>
          <w:bCs/>
          <w:color w:val="1F3330"/>
          <w:sz w:val="21"/>
          <w:szCs w:val="21"/>
        </w:rPr>
        <w:t xml:space="preserve">EC-600 — </w:t>
      </w:r>
      <w:r>
        <w:rPr>
          <w:rFonts w:ascii="Calibri" w:cs="Calibri" w:eastAsia="Calibri" w:hAnsi="Calibri"/>
          <w:color w:val="12211F"/>
          <w:sz w:val="21"/>
          <w:szCs w:val="21"/>
        </w:rPr>
        <w:t xml:space="preserve">Every merged Agent change shall carry the reviewing engineer's name in the commit trail. That engineer is the author of record.</w:t>
      </w:r>
    </w:p>
    <w:p>
      <w:pPr>
        <w:pStyle w:val="ListParagraph"/>
        <w:numPr>
          <w:ilvl w:val="0"/>
          <w:numId w:val="2"/>
        </w:numPr>
        <w:spacing w:after="110" w:line="276"/>
      </w:pPr>
      <w:r>
        <w:rPr>
          <w:rFonts w:ascii="Calibri" w:cs="Calibri" w:eastAsia="Calibri" w:hAnsi="Calibri"/>
          <w:b/>
          <w:bCs/>
          <w:color w:val="1F3330"/>
          <w:sz w:val="21"/>
          <w:szCs w:val="21"/>
        </w:rPr>
        <w:t xml:space="preserve">EC-601 — </w:t>
      </w:r>
      <w:r>
        <w:rPr>
          <w:rFonts w:ascii="Calibri" w:cs="Calibri" w:eastAsia="Calibri" w:hAnsi="Calibri"/>
          <w:color w:val="12211F"/>
          <w:sz w:val="21"/>
          <w:szCs w:val="21"/>
        </w:rPr>
        <w:t xml:space="preserve">Agent authorship shall be labelled in the pull request and the commit, so the proportion of AI-authored code in the system is measurable rather than folkloric.</w:t>
      </w:r>
    </w:p>
    <w:p>
      <w:pPr>
        <w:pStyle w:val="ListParagraph"/>
        <w:numPr>
          <w:ilvl w:val="0"/>
          <w:numId w:val="2"/>
        </w:numPr>
        <w:spacing w:after="110" w:line="276"/>
      </w:pPr>
      <w:r>
        <w:rPr>
          <w:rFonts w:ascii="Calibri" w:cs="Calibri" w:eastAsia="Calibri" w:hAnsi="Calibri"/>
          <w:b/>
          <w:bCs/>
          <w:color w:val="1F3330"/>
          <w:sz w:val="21"/>
          <w:szCs w:val="21"/>
        </w:rPr>
        <w:t xml:space="preserve">EC-602 — </w:t>
      </w:r>
      <w:r>
        <w:rPr>
          <w:rFonts w:ascii="Calibri" w:cs="Calibri" w:eastAsia="Calibri" w:hAnsi="Calibri"/>
          <w:color w:val="12211F"/>
          <w:sz w:val="21"/>
          <w:szCs w:val="21"/>
        </w:rPr>
        <w:t xml:space="preserve">An incident caused by a Agent-authored change shall be reviewed as a failure of the gates and the process, not of the reviewer alone. A process that depends on a reviewer never having a bad afternoon is not a process.</w:t>
      </w:r>
    </w:p>
    <w:p>
      <w:pPr>
        <w:pStyle w:val="Heading1"/>
        <w:spacing w:after="180" w:before="400"/>
      </w:pPr>
      <w:r>
        <w:rPr>
          <w:rFonts w:ascii="Calibri" w:cs="Calibri" w:eastAsia="Calibri" w:hAnsi="Calibri"/>
          <w:b/>
          <w:bCs/>
          <w:color w:val="1F3330"/>
          <w:sz w:val="30"/>
          <w:szCs w:val="30"/>
        </w:rPr>
        <w:t xml:space="preserve">9.  Metrics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3000"/>
        <w:gridCol w:w="3426"/>
      </w:tblGrid>
      <w:tr>
        <w:trPr>
          <w:tblHeader/>
        </w:trPr>
        <w:tc>
          <w:tcPr>
            <w:tcW w:type="dxa" w:w="2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Metric</w:t>
            </w:r>
          </w:p>
        </w:tc>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 it is tracked</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What a bad number means</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 rejection rate</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Whether review is real</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Very low is the warning sign, not the good sign — it suggests rubber-stamping rather than quality</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Time-to-review</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Reviewer load</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Rising means reviewers are saturated and review quality is falling before defect rates show it</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Defect escape rate, Agent vs human PRs</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core comparison</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Agent exceeding human baseline triggers EC-700</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Share of PRs touching protected zones</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Blast-radius exposure</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Should stay low. Rising means the tool is being pointed at the wrong work.</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Reverts within 30 days</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Change quality</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Rising indicates the gates are passing changes that should not pass</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Signal-to-ship latency</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actual benefit being claimed</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If this does not fall, the tool is not delivering the thing it was adopted for</w:t>
            </w:r>
          </w:p>
        </w:tc>
      </w:tr>
    </w:tbl>
    <w:p>
      <w:pPr>
        <w:spacing w:after="120"/>
      </w:pPr>
    </w:p>
    <w:p>
      <w:pPr>
        <w:pStyle w:val="ListParagraph"/>
        <w:numPr>
          <w:ilvl w:val="0"/>
          <w:numId w:val="2"/>
        </w:numPr>
        <w:spacing w:after="110" w:line="276"/>
      </w:pPr>
      <w:r>
        <w:rPr>
          <w:rFonts w:ascii="Calibri" w:cs="Calibri" w:eastAsia="Calibri" w:hAnsi="Calibri"/>
          <w:b/>
          <w:bCs/>
          <w:color w:val="A32017"/>
          <w:sz w:val="21"/>
          <w:szCs w:val="21"/>
        </w:rPr>
        <w:t xml:space="preserve">EC-700 — </w:t>
      </w:r>
      <w:r>
        <w:rPr>
          <w:rFonts w:ascii="Calibri" w:cs="Calibri" w:eastAsia="Calibri" w:hAnsi="Calibri"/>
          <w:color w:val="12211F"/>
          <w:sz w:val="21"/>
          <w:szCs w:val="21"/>
        </w:rPr>
        <w:t xml:space="preserve">Suspension condition. If the defect escape rate of Agent-authored merged changes exceeds the human baseline over two consecutive quarters, or if any Agent-authored change causes a cross-tenant data exposure, implementation capability (EC-104, EC-105) shall be suspended immediately and only the analysis capabilities (EC-100 to EC-103, EC-107) retained pending review.</w:t>
      </w:r>
    </w:p>
    <w:p>
      <w:pPr>
        <w:spacing w:after="140" w:line="276"/>
      </w:pPr>
      <w:r>
        <w:rPr>
          <w:rFonts w:ascii="Calibri" w:cs="Calibri" w:eastAsia="Calibri" w:hAnsi="Calibri"/>
          <w:color w:val="12211F"/>
          <w:sz w:val="21"/>
          <w:szCs w:val="21"/>
        </w:rPr>
        <w:t xml:space="preserve">Naming the shutdown condition in advance is what makes it possible to actually invoke. A condition agreed after an incident is a negotiation; a condition agreed before one is a rule.</w:t>
      </w:r>
    </w:p>
    <w:p>
      <w:pPr>
        <w:pStyle w:val="Heading1"/>
        <w:spacing w:after="180" w:before="400"/>
      </w:pPr>
      <w:r>
        <w:rPr>
          <w:rFonts w:ascii="Calibri" w:cs="Calibri" w:eastAsia="Calibri" w:hAnsi="Calibri"/>
          <w:b/>
          <w:bCs/>
          <w:color w:val="1F3330"/>
          <w:sz w:val="30"/>
          <w:szCs w:val="30"/>
        </w:rPr>
        <w:t xml:space="preserve">10.  Failure Modes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800"/>
        <w:gridCol w:w="2800"/>
        <w:gridCol w:w="3426"/>
      </w:tblGrid>
      <w:tr>
        <w:trPr>
          <w:tblHeader/>
        </w:trPr>
        <w:tc>
          <w:tcPr>
            <w:tcW w:type="dxa" w:w="2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Failure</w:t>
            </w:r>
          </w:p>
        </w:tc>
        <w:tc>
          <w:tcPr>
            <w:tcW w:type="dxa" w:w="2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How it shows up</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Containment</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Plausible but wrong implementation</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Passes self-authored tests, fails intent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EC-401 review posture; protected suites (EC-400); requirement-referenced review (EC-504)</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Reviewer fatigue</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Approval rate rises, review time falls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 (EC-503); metrics in §9; this is the hardest failure to detect early and has no good leading indicator</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Scope creep in a single PR</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small fix carries an unrelated refactor</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 traceability check; reviewer rejects rather than untangles</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Feedback poisoning</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tenant submits feedback crafted to steer the backlog</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EC-300 anonymisation; EC-310 human product decision; volume is an input, not an instruction</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Protected-zone drift</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Zone boundaries erode as the codebase grows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Zone definitions reviewed each quarter by the Engineering Lead; new isolation-critical code added to the list when written, not later</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Silent dependency on the tool</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Team loses the ability to work without it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Rollout stages are reversible by design; EC-700 suspension must remain survivable</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Cross-tenant exposure from a merged change</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Possibly never detected by the tenant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reason for two approvers, immutable isolation suites, and EC-700 naming this as a single-instance trigger</w:t>
            </w:r>
          </w:p>
        </w:tc>
      </w:tr>
    </w:tbl>
    <w:p>
      <w:pPr>
        <w:pStyle w:val="Heading1"/>
        <w:spacing w:after="180" w:before="400"/>
      </w:pPr>
      <w:r>
        <w:rPr>
          <w:rFonts w:ascii="Calibri" w:cs="Calibri" w:eastAsia="Calibri" w:hAnsi="Calibri"/>
          <w:b/>
          <w:bCs/>
          <w:color w:val="1F3330"/>
          <w:sz w:val="30"/>
          <w:szCs w:val="30"/>
        </w:rPr>
        <w:t xml:space="preserve">11.  Rollout Stages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900"/>
        <w:gridCol w:w="3600"/>
        <w:gridCol w:w="4526"/>
      </w:tblGrid>
      <w:tr>
        <w:trPr>
          <w:tblHeader/>
        </w:trPr>
        <w:tc>
          <w:tcPr>
            <w:tcW w:type="dxa" w:w="9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3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Capability enabled</w:t>
            </w:r>
          </w:p>
        </w:tc>
        <w:tc>
          <w:tcPr>
            <w:tcW w:type="dxa" w:w="45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Advance when</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1</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Feedback clustering and repository Q&amp;A. No pull requests.</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backlog it produces is demonstrably more useful than a product owner reading tickets — which is currently an assumption, not a finding.</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2</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Gap detection (EC-107), reporting only</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Reported gaps are real gaps at an acceptable rate; false-positive rate is tolerable to the team</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3</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Test-only pull requests — added coverage, no production code touched</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Lowest-risk way to calibrate review posture and measure review quality before anything can break</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4</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Implementation PRs outside protected zones, small diffs, flagged</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human defect-escape baseline exists to compare against (see §13)</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5</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Wider implementation, still outside protected zones</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Stage 4 defect escape rate at or below human baseline for two quarters</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6</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Protected zones, drafting only, two approvers</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distinct decision by the Engineering Lead, reviewed on its own merits. Not automatic on the success of stages 1–5.</w:t>
            </w:r>
          </w:p>
        </w:tc>
      </w:tr>
    </w:tbl>
    <w:p>
      <w:pPr>
        <w:spacing w:after="120"/>
      </w:pPr>
    </w:p>
    <w:p>
      <w:pPr>
        <w:spacing w:after="140" w:line="276"/>
      </w:pPr>
      <w:r>
        <w:rPr>
          <w:rFonts w:ascii="Calibri" w:cs="Calibri" w:eastAsia="Calibri" w:hAnsi="Calibri"/>
          <w:b/>
          <w:bCs/>
          <w:color w:val="12211F"/>
          <w:sz w:val="21"/>
          <w:szCs w:val="21"/>
        </w:rPr>
        <w:t xml:space="preserve">Stage 3 before stage 4 is deliberate. </w:t>
      </w:r>
      <w:r>
        <w:rPr>
          <w:rFonts w:ascii="Calibri" w:cs="Calibri" w:eastAsia="Calibri" w:hAnsi="Calibri"/>
          <w:color w:val="12211F"/>
          <w:sz w:val="21"/>
          <w:szCs w:val="21"/>
        </w:rPr>
        <w:t xml:space="preserve">Test-only pull requests let the team find out how carefully it actually reviews Agent output at a point where a missed defect costs nothing. Discovering the answer to that question at stage 5 is considerably more expensive.</w:t>
      </w:r>
    </w:p>
    <w:p>
      <w:pPr>
        <w:pStyle w:val="Heading1"/>
        <w:spacing w:after="180" w:before="400"/>
      </w:pPr>
      <w:r>
        <w:rPr>
          <w:rFonts w:ascii="Calibri" w:cs="Calibri" w:eastAsia="Calibri" w:hAnsi="Calibri"/>
          <w:b/>
          <w:bCs/>
          <w:color w:val="1F3330"/>
          <w:sz w:val="30"/>
          <w:szCs w:val="30"/>
        </w:rPr>
        <w:t xml:space="preserve">12.  On Training, and on Success Rates</w:t>
      </w:r>
    </w:p>
    <w:p>
      <w:pPr>
        <w:spacing w:after="140" w:line="276"/>
      </w:pPr>
      <w:r>
        <w:rPr>
          <w:rFonts w:ascii="Calibri" w:cs="Calibri" w:eastAsia="Calibri" w:hAnsi="Calibri"/>
          <w:color w:val="12211F"/>
          <w:sz w:val="21"/>
          <w:szCs w:val="21"/>
        </w:rPr>
        <w:t xml:space="preserve">Three points, directly on the original proposal, because they change what should be built rather than only what should be permitted.</w:t>
      </w:r>
    </w:p>
    <w:p>
      <w:pPr>
        <w:pStyle w:val="ListParagraph"/>
        <w:numPr>
          <w:ilvl w:val="0"/>
          <w:numId w:val="2"/>
        </w:numPr>
        <w:spacing w:after="90" w:line="276"/>
      </w:pPr>
      <w:r>
        <w:rPr>
          <w:rFonts w:ascii="Calibri" w:cs="Calibri" w:eastAsia="Calibri" w:hAnsi="Calibri"/>
          <w:color w:val="12211F"/>
          <w:sz w:val="21"/>
          <w:szCs w:val="21"/>
        </w:rPr>
        <w:t xml:space="preserve">You do not train a model on the repository. Retrieval over the current codebase is both cheaper and more correct: a fine-tuned model encodes the repository as it was on the day of training and drifts silently as the code changes, with no signal that it has. Retrieval reads what is there now. The improvement path for this tool is better retrieval, better prompts, better evaluation cases and better gates — not model weights.</w:t>
      </w:r>
    </w:p>
    <w:p>
      <w:pPr>
        <w:pStyle w:val="ListParagraph"/>
        <w:numPr>
          <w:ilvl w:val="0"/>
          <w:numId w:val="2"/>
        </w:numPr>
        <w:spacing w:after="90" w:line="276"/>
      </w:pPr>
      <w:r>
        <w:rPr>
          <w:rFonts w:ascii="Calibri" w:cs="Calibri" w:eastAsia="Calibri" w:hAnsi="Calibri"/>
          <w:color w:val="12211F"/>
          <w:sz w:val="21"/>
          <w:szCs w:val="21"/>
        </w:rPr>
        <w:t xml:space="preserve">"Success rate" needs a denominator that means something. Measured against self-authored tests, it measures internal consistency. Measured against human review acceptance, it measures usefulness — worth tracking, and it is the review rejection rate in §9. Neither measures safety. Safety is measured only by the suites the Agent cannot touch, which is the entire reason EC-400 exists.</w:t>
      </w:r>
    </w:p>
    <w:p>
      <w:pPr>
        <w:pStyle w:val="ListParagraph"/>
        <w:numPr>
          <w:ilvl w:val="0"/>
          <w:numId w:val="2"/>
        </w:numPr>
        <w:spacing w:after="90" w:line="276"/>
      </w:pPr>
      <w:r>
        <w:rPr>
          <w:rFonts w:ascii="Calibri" w:cs="Calibri" w:eastAsia="Calibri" w:hAnsi="Calibri"/>
          <w:color w:val="12211F"/>
          <w:sz w:val="21"/>
          <w:szCs w:val="21"/>
        </w:rPr>
        <w:t xml:space="preserve">The merge button is not a bottleneck to be optimised away. It is the accountability record. Removing it does not remove the risk; it removes the name attached to the risk, which under Ghana's Data Protection Act is the one thing that cannot be missing.</w:t>
      </w:r>
    </w:p>
    <w:p>
      <w:pPr>
        <w:pStyle w:val="Heading1"/>
        <w:spacing w:after="180" w:before="400"/>
      </w:pPr>
      <w:r>
        <w:rPr>
          <w:rFonts w:ascii="Calibri" w:cs="Calibri" w:eastAsia="Calibri" w:hAnsi="Calibri"/>
          <w:b/>
          <w:bCs/>
          <w:color w:val="1F3330"/>
          <w:sz w:val="30"/>
          <w:szCs w:val="30"/>
        </w:rPr>
        <w:t xml:space="preserve">13.  Open Questions</w:t>
      </w:r>
    </w:p>
    <w:p>
      <w:pPr>
        <w:pStyle w:val="ListParagraph"/>
        <w:numPr>
          <w:ilvl w:val="0"/>
          <w:numId w:val="2"/>
        </w:numPr>
        <w:spacing w:after="90" w:line="276"/>
      </w:pPr>
      <w:r>
        <w:rPr>
          <w:rFonts w:ascii="Calibri" w:cs="Calibri" w:eastAsia="Calibri" w:hAnsi="Calibri"/>
          <w:color w:val="12211F"/>
          <w:sz w:val="21"/>
          <w:szCs w:val="21"/>
        </w:rPr>
        <w:t xml:space="preserve">Tooling is settled (§1.2) but the invocation model is not — local versus GitHub Actions. Decide at stage 3 from experience, not now from argument.</w:t>
      </w:r>
    </w:p>
    <w:p>
      <w:pPr>
        <w:pStyle w:val="ListParagraph"/>
        <w:numPr>
          <w:ilvl w:val="0"/>
          <w:numId w:val="2"/>
        </w:numPr>
        <w:spacing w:after="90" w:line="276"/>
      </w:pPr>
      <w:r>
        <w:rPr>
          <w:rFonts w:ascii="Calibri" w:cs="Calibri" w:eastAsia="Calibri" w:hAnsi="Calibri"/>
          <w:color w:val="12211F"/>
          <w:sz w:val="21"/>
          <w:szCs w:val="21"/>
        </w:rPr>
        <w:t xml:space="preserve">EC-400's file-level immutability needs a concrete enforcement mechanism, not just a CLAUDE.md instruction. A rulebook the Agent reads is a rule it can be talked out of; a CI check on the diff and a CODEOWNERS entry are not. Build the check before stage 3, because stage 3 is the first stage where the Agent touches test files at all.</w:t>
      </w:r>
    </w:p>
    <w:p>
      <w:pPr>
        <w:pStyle w:val="ListParagraph"/>
        <w:numPr>
          <w:ilvl w:val="0"/>
          <w:numId w:val="2"/>
        </w:numPr>
        <w:spacing w:after="90" w:line="276"/>
      </w:pPr>
      <w:r>
        <w:rPr>
          <w:rFonts w:ascii="Calibri" w:cs="Calibri" w:eastAsia="Calibri" w:hAnsi="Calibri"/>
          <w:color w:val="12211F"/>
          <w:sz w:val="21"/>
          <w:szCs w:val="21"/>
        </w:rPr>
        <w:t xml:space="preserve">The 400-line diff ceiling in EC-503 is a guess. Re-set it from stage 3 measurement of how review quality actually degrades with diff size on this team, which is the only place that number can honestly come from.</w:t>
      </w:r>
    </w:p>
    <w:p>
      <w:pPr>
        <w:pStyle w:val="ListParagraph"/>
        <w:numPr>
          <w:ilvl w:val="0"/>
          <w:numId w:val="2"/>
        </w:numPr>
        <w:spacing w:after="90" w:line="276"/>
      </w:pPr>
      <w:r>
        <w:rPr>
          <w:rFonts w:ascii="Calibri" w:cs="Calibri" w:eastAsia="Calibri" w:hAnsi="Calibri"/>
          <w:color w:val="12211F"/>
          <w:sz w:val="21"/>
          <w:szCs w:val="21"/>
        </w:rPr>
        <w:t xml:space="preserve">No baseline defect escape rate exists for human-authored PBSMS changes, so EC-700's comparison currently has no denominator. Establishing it is a prerequisite for stage 4 and it takes at least a quarter of ordinary development to produce.</w:t>
      </w:r>
    </w:p>
    <w:p>
      <w:pPr>
        <w:pStyle w:val="ListParagraph"/>
        <w:numPr>
          <w:ilvl w:val="0"/>
          <w:numId w:val="2"/>
        </w:numPr>
        <w:spacing w:after="90" w:line="276"/>
      </w:pPr>
      <w:r>
        <w:rPr>
          <w:rFonts w:ascii="Calibri" w:cs="Calibri" w:eastAsia="Calibri" w:hAnsi="Calibri"/>
          <w:color w:val="12211F"/>
          <w:sz w:val="21"/>
          <w:szCs w:val="21"/>
        </w:rPr>
        <w:t xml:space="preserve">Reviewer fatigue is the real failure mode of this entire design and it has no good leading indicator. The metrics in §9 detect it late. If someone finds a better early signal, that is a more valuable contribution to this document than any other change to it.</w:t>
      </w:r>
    </w:p>
    <w:p>
      <w:pPr>
        <w:pStyle w:val="ListParagraph"/>
        <w:numPr>
          <w:ilvl w:val="0"/>
          <w:numId w:val="2"/>
        </w:numPr>
        <w:spacing w:after="90" w:line="276"/>
      </w:pPr>
      <w:r>
        <w:rPr>
          <w:rFonts w:ascii="Calibri" w:cs="Calibri" w:eastAsia="Calibri" w:hAnsi="Calibri"/>
          <w:color w:val="12211F"/>
          <w:sz w:val="21"/>
          <w:szCs w:val="21"/>
        </w:rPr>
        <w:t xml:space="preserve">Cost per merged change is unmodelled, so the economic case for adoption is unquantified.</w:t>
      </w:r>
    </w:p>
    <w:p>
      <w:pPr>
        <w:pStyle w:val="ListParagraph"/>
        <w:numPr>
          <w:ilvl w:val="0"/>
          <w:numId w:val="2"/>
        </w:numPr>
        <w:spacing w:after="90" w:line="276"/>
      </w:pPr>
      <w:r>
        <w:rPr>
          <w:rFonts w:ascii="Calibri" w:cs="Calibri" w:eastAsia="Calibri" w:hAnsi="Calibri"/>
          <w:color w:val="12211F"/>
          <w:sz w:val="21"/>
          <w:szCs w:val="21"/>
        </w:rPr>
        <w:t xml:space="preserve">Whether automated feedback clustering produces a better backlog than a product owner reading tickets directly is an assumption. Stage 1 exists specifically to test it, and stage 1 failing is an acceptable outcome that saves the cost of stages 2 through 6.</w:t>
      </w:r>
    </w:p>
    <w:p>
      <w:pPr>
        <w:pStyle w:val="ListParagraph"/>
        <w:numPr>
          <w:ilvl w:val="0"/>
          <w:numId w:val="2"/>
        </w:numPr>
        <w:spacing w:after="90" w:line="276"/>
      </w:pPr>
      <w:r>
        <w:rPr>
          <w:rFonts w:ascii="Calibri" w:cs="Calibri" w:eastAsia="Calibri" w:hAnsi="Calibri"/>
          <w:color w:val="12211F"/>
          <w:sz w:val="21"/>
          <w:szCs w:val="21"/>
        </w:rPr>
        <w:t xml:space="preserve">This document, like Chapter 47, has been written but not reviewed by anyone other than its author.</w:t>
      </w:r>
    </w:p>
    <w:p>
      <w:pPr>
        <w:spacing w:after="300"/>
      </w:pPr>
    </w:p>
    <w:p>
      <w:pPr>
        <w:spacing w:before="300"/>
        <w:jc w:val="center"/>
      </w:pPr>
      <w:r>
        <w:rPr>
          <w:rFonts w:ascii="Calibri" w:cs="Calibri" w:eastAsia="Calibri" w:hAnsi="Calibri"/>
          <w:i/>
          <w:iCs/>
          <w:color w:val="5A6663"/>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Internal Engineering Agent  ·  Engineering Process Specification  ·  v2.0  ·  ADOPTED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2026-08-27T12:03:28.252Z</dcterms:created>
  <dcterms:modified xsi:type="dcterms:W3CDTF">2026-08-27T12:03:28.252Z</dcterms:modified>
</cp:coreProperties>
</file>

<file path=docProps/custom.xml><?xml version="1.0" encoding="utf-8"?>
<Properties xmlns="http://schemas.openxmlformats.org/officeDocument/2006/custom-properties" xmlns:vt="http://schemas.openxmlformats.org/officeDocument/2006/docPropsVTypes"/>
</file>