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1F3864"/>
          <w:sz w:val="40"/>
          <w:szCs w:val="40"/>
        </w:rPr>
        <w:t xml:space="preserve">PREMIUM BASIC SCHOOL MANAGEMENT SYSTEM</w:t>
      </w:r>
    </w:p>
    <w:p>
      <w:pPr>
        <w:spacing w:after="80"/>
        <w:jc w:val="center"/>
      </w:pPr>
      <w:r>
        <w:rPr>
          <w:sz w:val="28"/>
          <w:szCs w:val="28"/>
        </w:rPr>
        <w:t xml:space="preserve">Multi-Tenant Enterprise Software Requirements Specification</w:t>
      </w:r>
    </w:p>
    <w:p>
      <w:pPr>
        <w:spacing w:after="600"/>
        <w:jc w:val="center"/>
      </w:pPr>
      <w:r>
        <w:rPr>
          <w:i/>
          <w:iCs/>
          <w:sz w:val="22"/>
          <w:szCs w:val="22"/>
        </w:rPr>
        <w:t xml:space="preserve">Version 2.0  |  Consolidated Baseline  |  Nursery – Kindergarten – Primary – Junior High School</w:t>
      </w:r>
    </w:p>
    <w:p>
      <w:pPr>
        <w:spacing w:after="60"/>
        <w:jc w:val="center"/>
      </w:pPr>
      <w:r>
        <w:rPr>
          <w:b/>
          <w:bCs/>
          <w:color w:val="1F3864"/>
          <w:sz w:val="24"/>
          <w:szCs w:val="24"/>
        </w:rPr>
        <w:t xml:space="preserve">Platform-as-a-Service Edition</w:t>
      </w:r>
    </w:p>
    <w:p>
      <w:pPr>
        <w:spacing w:after="1400"/>
        <w:jc w:val="center"/>
      </w:pPr>
      <w:r>
        <w:rPr>
          <w:sz w:val="20"/>
          <w:szCs w:val="20"/>
        </w:rPr>
        <w:t xml:space="preserve">Supersedes Version 1.0 (Single-Institution Baseline, July 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60"/>
              <w:left w:type="dxa" w:w="100"/>
              <w:bottom w:type="dxa" w:w="60"/>
              <w:right w:type="dxa" w:w="100"/>
            </w:tcMar>
            <w:vAlign w:val="center"/>
          </w:tcPr>
          <w:p>
            <w:r>
              <w:rPr>
                <w:b/>
                <w:bCs/>
                <w:color w:val="FFFFFF"/>
                <w:sz w:val="20"/>
                <w:szCs w:val="20"/>
              </w:rPr>
              <w:t xml:space="preserve">Item</w:t>
            </w:r>
          </w:p>
        </w:tc>
        <w:tc>
          <w:tcPr>
            <w:tcW w:type="dxa" w:w="6150"/>
            <w:shd w:fill="1F3864" w:val="clear"/>
            <w:tcMar>
              <w:top w:type="dxa" w:w="60"/>
              <w:left w:type="dxa" w:w="100"/>
              <w:bottom w:type="dxa" w:w="60"/>
              <w:right w:type="dxa" w:w="100"/>
            </w:tcMar>
            <w:vAlign w:val="center"/>
          </w:tcPr>
          <w:p>
            <w:r>
              <w:rPr>
                <w:b/>
                <w:bCs/>
                <w:color w:val="FFFFFF"/>
                <w:sz w:val="20"/>
                <w:szCs w:val="20"/>
              </w:rPr>
              <w:t xml:space="preserve">Value</w:t>
            </w:r>
          </w:p>
        </w:tc>
      </w:tr>
      <w:tr>
        <w:tc>
          <w:tcPr>
            <w:tcW w:type="dxa" w:w="3200"/>
            <w:tcMar>
              <w:top w:type="dxa" w:w="60"/>
              <w:left w:type="dxa" w:w="100"/>
              <w:bottom w:type="dxa" w:w="60"/>
              <w:right w:type="dxa" w:w="100"/>
            </w:tcMar>
            <w:vAlign w:val="center"/>
          </w:tcPr>
          <w:p>
            <w:r>
              <w:rPr>
                <w:b w:val="false"/>
                <w:bCs w:val="false"/>
                <w:sz w:val="20"/>
                <w:szCs w:val="20"/>
              </w:rPr>
              <w:t xml:space="preserve">Document</w:t>
            </w:r>
          </w:p>
        </w:tc>
        <w:tc>
          <w:tcPr>
            <w:tcW w:type="dxa" w:w="6150"/>
            <w:tcMar>
              <w:top w:type="dxa" w:w="60"/>
              <w:left w:type="dxa" w:w="100"/>
              <w:bottom w:type="dxa" w:w="60"/>
              <w:right w:type="dxa" w:w="100"/>
            </w:tcMar>
            <w:vAlign w:val="center"/>
          </w:tcPr>
          <w:p>
            <w:r>
              <w:rPr>
                <w:b w:val="false"/>
                <w:bCs w:val="false"/>
                <w:sz w:val="20"/>
                <w:szCs w:val="20"/>
              </w:rPr>
              <w:t xml:space="preserve">PBSMS Multi-Tenant Enterprise SRS</w:t>
            </w:r>
          </w:p>
        </w:tc>
      </w:tr>
      <w:tr>
        <w:tc>
          <w:tcPr>
            <w:tcW w:type="dxa" w:w="3200"/>
            <w:shd w:fill="DCE6F1" w:val="clear"/>
            <w:tcMar>
              <w:top w:type="dxa" w:w="60"/>
              <w:left w:type="dxa" w:w="100"/>
              <w:bottom w:type="dxa" w:w="60"/>
              <w:right w:type="dxa" w:w="100"/>
            </w:tcMar>
            <w:vAlign w:val="center"/>
          </w:tcPr>
          <w:p>
            <w:r>
              <w:rPr>
                <w:b w:val="false"/>
                <w:bCs w:val="false"/>
                <w:sz w:val="20"/>
                <w:szCs w:val="20"/>
              </w:rPr>
              <w:t xml:space="preserve">Version</w:t>
            </w:r>
          </w:p>
        </w:tc>
        <w:tc>
          <w:tcPr>
            <w:tcW w:type="dxa" w:w="6150"/>
            <w:shd w:fill="DCE6F1" w:val="clear"/>
            <w:tcMar>
              <w:top w:type="dxa" w:w="60"/>
              <w:left w:type="dxa" w:w="100"/>
              <w:bottom w:type="dxa" w:w="60"/>
              <w:right w:type="dxa" w:w="100"/>
            </w:tcMar>
            <w:vAlign w:val="center"/>
          </w:tcPr>
          <w:p>
            <w:r>
              <w:rPr>
                <w:b w:val="false"/>
                <w:bCs w:val="false"/>
                <w:sz w:val="20"/>
                <w:szCs w:val="20"/>
              </w:rPr>
              <w:t xml:space="preserve">2.0</w:t>
            </w:r>
          </w:p>
        </w:tc>
      </w:tr>
      <w:tr>
        <w:tc>
          <w:tcPr>
            <w:tcW w:type="dxa" w:w="3200"/>
            <w:tcMar>
              <w:top w:type="dxa" w:w="60"/>
              <w:left w:type="dxa" w:w="100"/>
              <w:bottom w:type="dxa" w:w="60"/>
              <w:right w:type="dxa" w:w="100"/>
            </w:tcMar>
            <w:vAlign w:val="center"/>
          </w:tcPr>
          <w:p>
            <w:r>
              <w:rPr>
                <w:b w:val="false"/>
                <w:bCs w:val="false"/>
                <w:sz w:val="20"/>
                <w:szCs w:val="20"/>
              </w:rPr>
              <w:t xml:space="preserve">Status</w:t>
            </w:r>
          </w:p>
        </w:tc>
        <w:tc>
          <w:tcPr>
            <w:tcW w:type="dxa" w:w="6150"/>
            <w:tcMar>
              <w:top w:type="dxa" w:w="60"/>
              <w:left w:type="dxa" w:w="100"/>
              <w:bottom w:type="dxa" w:w="60"/>
              <w:right w:type="dxa" w:w="100"/>
            </w:tcMar>
            <w:vAlign w:val="center"/>
          </w:tcPr>
          <w:p>
            <w:r>
              <w:rPr>
                <w:b w:val="false"/>
                <w:bCs w:val="false"/>
                <w:sz w:val="20"/>
                <w:szCs w:val="20"/>
              </w:rPr>
              <w:t xml:space="preserve">Consolidated Baseline — supersedes v1.0</w:t>
            </w:r>
          </w:p>
        </w:tc>
      </w:tr>
      <w:tr>
        <w:tc>
          <w:tcPr>
            <w:tcW w:type="dxa" w:w="3200"/>
            <w:shd w:fill="DCE6F1" w:val="clear"/>
            <w:tcMar>
              <w:top w:type="dxa" w:w="60"/>
              <w:left w:type="dxa" w:w="100"/>
              <w:bottom w:type="dxa" w:w="60"/>
              <w:right w:type="dxa" w:w="100"/>
            </w:tcMar>
            <w:vAlign w:val="center"/>
          </w:tcPr>
          <w:p>
            <w:r>
              <w:rPr>
                <w:b w:val="false"/>
                <w:bCs w:val="false"/>
                <w:sz w:val="20"/>
                <w:szCs w:val="20"/>
              </w:rPr>
              <w:t xml:space="preserve">Deployment Model</w:t>
            </w:r>
          </w:p>
        </w:tc>
        <w:tc>
          <w:tcPr>
            <w:tcW w:type="dxa" w:w="6150"/>
            <w:shd w:fill="DCE6F1" w:val="clear"/>
            <w:tcMar>
              <w:top w:type="dxa" w:w="60"/>
              <w:left w:type="dxa" w:w="100"/>
              <w:bottom w:type="dxa" w:w="60"/>
              <w:right w:type="dxa" w:w="100"/>
            </w:tcMar>
            <w:vAlign w:val="center"/>
          </w:tcPr>
          <w:p>
            <w:r>
              <w:rPr>
                <w:b w:val="false"/>
                <w:bCs w:val="false"/>
                <w:sz w:val="20"/>
                <w:szCs w:val="20"/>
              </w:rPr>
              <w:t xml:space="preserve">Single platform, multiple independent school tenants</w:t>
            </w:r>
          </w:p>
        </w:tc>
      </w:tr>
      <w:tr>
        <w:tc>
          <w:tcPr>
            <w:tcW w:type="dxa" w:w="3200"/>
            <w:tcMar>
              <w:top w:type="dxa" w:w="60"/>
              <w:left w:type="dxa" w:w="100"/>
              <w:bottom w:type="dxa" w:w="60"/>
              <w:right w:type="dxa" w:w="100"/>
            </w:tcMar>
            <w:vAlign w:val="center"/>
          </w:tcPr>
          <w:p>
            <w:r>
              <w:rPr>
                <w:b w:val="false"/>
                <w:bCs w:val="false"/>
                <w:sz w:val="20"/>
                <w:szCs w:val="20"/>
              </w:rPr>
              <w:t xml:space="preserve">Country Context</w:t>
            </w:r>
          </w:p>
        </w:tc>
        <w:tc>
          <w:tcPr>
            <w:tcW w:type="dxa" w:w="6150"/>
            <w:tcMar>
              <w:top w:type="dxa" w:w="60"/>
              <w:left w:type="dxa" w:w="100"/>
              <w:bottom w:type="dxa" w:w="60"/>
              <w:right w:type="dxa" w:w="100"/>
            </w:tcMar>
            <w:vAlign w:val="center"/>
          </w:tcPr>
          <w:p>
            <w:r>
              <w:rPr>
                <w:b w:val="false"/>
                <w:bCs w:val="false"/>
                <w:sz w:val="20"/>
                <w:szCs w:val="20"/>
              </w:rPr>
              <w:t xml:space="preserve">Ghana (default), extensible to other West African markets</w:t>
            </w:r>
          </w:p>
        </w:tc>
      </w:tr>
      <w:tr>
        <w:tc>
          <w:tcPr>
            <w:tcW w:type="dxa" w:w="3200"/>
            <w:shd w:fill="DCE6F1" w:val="clear"/>
            <w:tcMar>
              <w:top w:type="dxa" w:w="60"/>
              <w:left w:type="dxa" w:w="100"/>
              <w:bottom w:type="dxa" w:w="60"/>
              <w:right w:type="dxa" w:w="100"/>
            </w:tcMar>
            <w:vAlign w:val="center"/>
          </w:tcPr>
          <w:p>
            <w:r>
              <w:rPr>
                <w:b w:val="false"/>
                <w:bCs w:val="false"/>
                <w:sz w:val="20"/>
                <w:szCs w:val="20"/>
              </w:rPr>
              <w:t xml:space="preserve">Default Currency</w:t>
            </w:r>
          </w:p>
        </w:tc>
        <w:tc>
          <w:tcPr>
            <w:tcW w:type="dxa" w:w="6150"/>
            <w:shd w:fill="DCE6F1" w:val="clear"/>
            <w:tcMar>
              <w:top w:type="dxa" w:w="60"/>
              <w:left w:type="dxa" w:w="100"/>
              <w:bottom w:type="dxa" w:w="60"/>
              <w:right w:type="dxa" w:w="100"/>
            </w:tcMar>
            <w:vAlign w:val="center"/>
          </w:tcPr>
          <w:p>
            <w:r>
              <w:rPr>
                <w:b w:val="false"/>
                <w:bCs w:val="false"/>
                <w:sz w:val="20"/>
                <w:szCs w:val="20"/>
              </w:rPr>
              <w:t xml:space="preserve">GHS (Ghana Cedi) — configurable per tenant</w:t>
            </w:r>
          </w:p>
        </w:tc>
      </w:tr>
      <w:tr>
        <w:tc>
          <w:tcPr>
            <w:tcW w:type="dxa" w:w="3200"/>
            <w:tcMar>
              <w:top w:type="dxa" w:w="60"/>
              <w:left w:type="dxa" w:w="100"/>
              <w:bottom w:type="dxa" w:w="60"/>
              <w:right w:type="dxa" w:w="100"/>
            </w:tcMar>
            <w:vAlign w:val="center"/>
          </w:tcPr>
          <w:p>
            <w:r>
              <w:rPr>
                <w:b w:val="false"/>
                <w:bCs w:val="false"/>
                <w:sz w:val="20"/>
                <w:szCs w:val="20"/>
              </w:rPr>
              <w:t xml:space="preserve">Default Time Zone</w:t>
            </w:r>
          </w:p>
        </w:tc>
        <w:tc>
          <w:tcPr>
            <w:tcW w:type="dxa" w:w="6150"/>
            <w:tcMar>
              <w:top w:type="dxa" w:w="60"/>
              <w:left w:type="dxa" w:w="100"/>
              <w:bottom w:type="dxa" w:w="60"/>
              <w:right w:type="dxa" w:w="100"/>
            </w:tcMar>
            <w:vAlign w:val="center"/>
          </w:tcPr>
          <w:p>
            <w:r>
              <w:rPr>
                <w:b w:val="false"/>
                <w:bCs w:val="false"/>
                <w:sz w:val="20"/>
                <w:szCs w:val="20"/>
              </w:rPr>
              <w:t xml:space="preserve">Africa/Accra — configurable per tenant</w:t>
            </w:r>
          </w:p>
        </w:tc>
      </w:tr>
      <w:tr>
        <w:tc>
          <w:tcPr>
            <w:tcW w:type="dxa" w:w="3200"/>
            <w:shd w:fill="DCE6F1" w:val="clear"/>
            <w:tcMar>
              <w:top w:type="dxa" w:w="60"/>
              <w:left w:type="dxa" w:w="100"/>
              <w:bottom w:type="dxa" w:w="60"/>
              <w:right w:type="dxa" w:w="100"/>
            </w:tcMar>
            <w:vAlign w:val="center"/>
          </w:tcPr>
          <w:p>
            <w:r>
              <w:rPr>
                <w:b w:val="false"/>
                <w:bCs w:val="false"/>
                <w:sz w:val="20"/>
                <w:szCs w:val="20"/>
              </w:rPr>
              <w:t xml:space="preserve">Education Levels</w:t>
            </w:r>
          </w:p>
        </w:tc>
        <w:tc>
          <w:tcPr>
            <w:tcW w:type="dxa" w:w="6150"/>
            <w:shd w:fill="DCE6F1" w:val="clear"/>
            <w:tcMar>
              <w:top w:type="dxa" w:w="60"/>
              <w:left w:type="dxa" w:w="100"/>
              <w:bottom w:type="dxa" w:w="60"/>
              <w:right w:type="dxa" w:w="100"/>
            </w:tcMar>
            <w:vAlign w:val="center"/>
          </w:tcPr>
          <w:p>
            <w:r>
              <w:rPr>
                <w:b w:val="false"/>
                <w:bCs w:val="false"/>
                <w:sz w:val="20"/>
                <w:szCs w:val="20"/>
              </w:rPr>
              <w:t xml:space="preserve">Nursery, Kindergarten, Primary (Basic 1–6), Junior High School (JHS 1–3)</w:t>
            </w:r>
          </w:p>
        </w:tc>
      </w:tr>
      <w:tr>
        <w:tc>
          <w:tcPr>
            <w:tcW w:type="dxa" w:w="3200"/>
            <w:tcMar>
              <w:top w:type="dxa" w:w="60"/>
              <w:left w:type="dxa" w:w="100"/>
              <w:bottom w:type="dxa" w:w="60"/>
              <w:right w:type="dxa" w:w="100"/>
            </w:tcMar>
            <w:vAlign w:val="center"/>
          </w:tcPr>
          <w:p>
            <w:r>
              <w:rPr>
                <w:b w:val="false"/>
                <w:bCs w:val="false"/>
                <w:sz w:val="20"/>
                <w:szCs w:val="20"/>
              </w:rPr>
              <w:t xml:space="preserve">Out of Scope</w:t>
            </w:r>
          </w:p>
        </w:tc>
        <w:tc>
          <w:tcPr>
            <w:tcW w:type="dxa" w:w="6150"/>
            <w:tcMar>
              <w:top w:type="dxa" w:w="60"/>
              <w:left w:type="dxa" w:w="100"/>
              <w:bottom w:type="dxa" w:w="60"/>
              <w:right w:type="dxa" w:w="100"/>
            </w:tcMar>
            <w:vAlign w:val="center"/>
          </w:tcPr>
          <w:p>
            <w:r>
              <w:rPr>
                <w:b w:val="false"/>
                <w:bCs w:val="false"/>
                <w:sz w:val="20"/>
                <w:szCs w:val="20"/>
              </w:rPr>
              <w:t xml:space="preserve">Senior High School, tertiary education, semesters, credit hours, GPA/CGPA</w:t>
            </w:r>
          </w:p>
        </w:tc>
      </w:tr>
    </w:tbl>
    <w:p>
      <w:pPr>
        <w:spacing w:before="800"/>
      </w:pPr>
    </w:p>
    <w:p>
      <w:pPr>
        <w:pStyle w:val="Heading1"/>
        <w:spacing w:after="200" w:before="240"/>
      </w:pPr>
      <w:r>
        <w:rPr>
          <w:b/>
          <w:bCs/>
        </w:rPr>
        <w:t xml:space="preserve">Revision Summary — Version 1.0 → Version 2.0</w:t>
      </w:r>
    </w:p>
    <w:p>
      <w:pPr>
        <w:spacing w:after="120"/>
      </w:pPr>
      <w:r>
        <w:rPr>
          <w:b w:val="false"/>
          <w:bCs w:val="false"/>
          <w:i w:val="false"/>
          <w:iCs w:val="false"/>
        </w:rPr>
        <w:t xml:space="preserve">Version 1.0 specified a single-institution platform. Version 2.0 is a structural rewrite, not an edit: the platform is now specified as a multi-tenant system from the ground up, with every downstream chapter written against that decision. The table below summarizes what changed and why.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3850"/>
      </w:tblGrid>
      <w:tr>
        <w:trPr>
          <w:tblHeader/>
        </w:trPr>
        <w:tc>
          <w:tcPr>
            <w:tcW w:type="dxa" w:w="1700"/>
            <w:shd w:fill="1F3864" w:val="clear"/>
            <w:tcMar>
              <w:top w:type="dxa" w:w="60"/>
              <w:left w:type="dxa" w:w="100"/>
              <w:bottom w:type="dxa" w:w="60"/>
              <w:right w:type="dxa" w:w="100"/>
            </w:tcMar>
            <w:vAlign w:val="center"/>
          </w:tcPr>
          <w:p>
            <w:r>
              <w:rPr>
                <w:b/>
                <w:bCs/>
                <w:color w:val="FFFFFF"/>
                <w:sz w:val="20"/>
                <w:szCs w:val="20"/>
              </w:rPr>
              <w:t xml:space="preserve">Area</w:t>
            </w:r>
          </w:p>
        </w:tc>
        <w:tc>
          <w:tcPr>
            <w:tcW w:type="dxa" w:w="3800"/>
            <w:shd w:fill="1F3864" w:val="clear"/>
            <w:tcMar>
              <w:top w:type="dxa" w:w="60"/>
              <w:left w:type="dxa" w:w="100"/>
              <w:bottom w:type="dxa" w:w="60"/>
              <w:right w:type="dxa" w:w="100"/>
            </w:tcMar>
            <w:vAlign w:val="center"/>
          </w:tcPr>
          <w:p>
            <w:r>
              <w:rPr>
                <w:b/>
                <w:bCs/>
                <w:color w:val="FFFFFF"/>
                <w:sz w:val="20"/>
                <w:szCs w:val="20"/>
              </w:rPr>
              <w:t xml:space="preserve">Version 1.0</w:t>
            </w:r>
          </w:p>
        </w:tc>
        <w:tc>
          <w:tcPr>
            <w:tcW w:type="dxa" w:w="3850"/>
            <w:shd w:fill="1F3864" w:val="clear"/>
            <w:tcMar>
              <w:top w:type="dxa" w:w="60"/>
              <w:left w:type="dxa" w:w="100"/>
              <w:bottom w:type="dxa" w:w="60"/>
              <w:right w:type="dxa" w:w="100"/>
            </w:tcMar>
            <w:vAlign w:val="center"/>
          </w:tcPr>
          <w:p>
            <w:r>
              <w:rPr>
                <w:b/>
                <w:bCs/>
                <w:color w:val="FFFFFF"/>
                <w:sz w:val="20"/>
                <w:szCs w:val="20"/>
              </w:rPr>
              <w:t xml:space="preserve">Version 2.0</w:t>
            </w:r>
          </w:p>
        </w:tc>
      </w:tr>
      <w:tr>
        <w:tc>
          <w:tcPr>
            <w:tcW w:type="dxa" w:w="1700"/>
            <w:tcMar>
              <w:top w:type="dxa" w:w="60"/>
              <w:left w:type="dxa" w:w="100"/>
              <w:bottom w:type="dxa" w:w="60"/>
              <w:right w:type="dxa" w:w="100"/>
            </w:tcMar>
            <w:vAlign w:val="center"/>
          </w:tcPr>
          <w:p>
            <w:r>
              <w:rPr>
                <w:b w:val="false"/>
                <w:bCs w:val="false"/>
                <w:sz w:val="20"/>
                <w:szCs w:val="20"/>
              </w:rPr>
              <w:t xml:space="preserve">Tenancy</w:t>
            </w:r>
          </w:p>
        </w:tc>
        <w:tc>
          <w:tcPr>
            <w:tcW w:type="dxa" w:w="3800"/>
            <w:tcMar>
              <w:top w:type="dxa" w:w="60"/>
              <w:left w:type="dxa" w:w="100"/>
              <w:bottom w:type="dxa" w:w="60"/>
              <w:right w:type="dxa" w:w="100"/>
            </w:tcMar>
            <w:vAlign w:val="center"/>
          </w:tcPr>
          <w:p>
            <w:r>
              <w:rPr>
                <w:b w:val="false"/>
                <w:bCs w:val="false"/>
                <w:sz w:val="20"/>
                <w:szCs w:val="20"/>
              </w:rPr>
              <w:t xml:space="preserve">School is the root aggregate; school_id present "where applicable"</w:t>
            </w:r>
          </w:p>
        </w:tc>
        <w:tc>
          <w:tcPr>
            <w:tcW w:type="dxa" w:w="3850"/>
            <w:tcMar>
              <w:top w:type="dxa" w:w="60"/>
              <w:left w:type="dxa" w:w="100"/>
              <w:bottom w:type="dxa" w:w="60"/>
              <w:right w:type="dxa" w:w="100"/>
            </w:tcMar>
            <w:vAlign w:val="center"/>
          </w:tcPr>
          <w:p>
            <w:r>
              <w:rPr>
                <w:b w:val="false"/>
                <w:bCs w:val="false"/>
                <w:sz w:val="20"/>
                <w:szCs w:val="20"/>
              </w:rPr>
              <w:t xml:space="preserve">Tenant is the root aggregate; tenant_id mandatory, indexed and enforced at the database layer on every tenant-owned table</w:t>
            </w:r>
          </w:p>
        </w:tc>
      </w:tr>
      <w:tr>
        <w:tc>
          <w:tcPr>
            <w:tcW w:type="dxa" w:w="1700"/>
            <w:shd w:fill="DCE6F1" w:val="clear"/>
            <w:tcMar>
              <w:top w:type="dxa" w:w="60"/>
              <w:left w:type="dxa" w:w="100"/>
              <w:bottom w:type="dxa" w:w="60"/>
              <w:right w:type="dxa" w:w="100"/>
            </w:tcMar>
            <w:vAlign w:val="center"/>
          </w:tcPr>
          <w:p>
            <w:r>
              <w:rPr>
                <w:b w:val="false"/>
                <w:bCs w:val="false"/>
                <w:sz w:val="20"/>
                <w:szCs w:val="20"/>
              </w:rPr>
              <w:t xml:space="preserve">Isolation</w:t>
            </w:r>
          </w:p>
        </w:tc>
        <w:tc>
          <w:tcPr>
            <w:tcW w:type="dxa" w:w="3800"/>
            <w:shd w:fill="DCE6F1" w:val="clear"/>
            <w:tcMar>
              <w:top w:type="dxa" w:w="60"/>
              <w:left w:type="dxa" w:w="100"/>
              <w:bottom w:type="dxa" w:w="60"/>
              <w:right w:type="dxa" w:w="100"/>
            </w:tcMar>
            <w:vAlign w:val="center"/>
          </w:tcPr>
          <w:p>
            <w:r>
              <w:rPr>
                <w:b w:val="false"/>
                <w:bCs w:val="false"/>
                <w:sz w:val="20"/>
                <w:szCs w:val="20"/>
              </w:rPr>
              <w:t xml:space="preserve">Not specified</w:t>
            </w:r>
          </w:p>
        </w:tc>
        <w:tc>
          <w:tcPr>
            <w:tcW w:type="dxa" w:w="3850"/>
            <w:shd w:fill="DCE6F1" w:val="clear"/>
            <w:tcMar>
              <w:top w:type="dxa" w:w="60"/>
              <w:left w:type="dxa" w:w="100"/>
              <w:bottom w:type="dxa" w:w="60"/>
              <w:right w:type="dxa" w:w="100"/>
            </w:tcMar>
            <w:vAlign w:val="center"/>
          </w:tcPr>
          <w:p>
            <w:r>
              <w:rPr>
                <w:b w:val="false"/>
                <w:bCs w:val="false"/>
                <w:sz w:val="20"/>
                <w:szCs w:val="20"/>
              </w:rPr>
              <w:t xml:space="preserve">Shared database, shared schema, PostgreSQL Row-Level Security as a second enforcement layer beneath the application</w:t>
            </w:r>
          </w:p>
        </w:tc>
      </w:tr>
      <w:tr>
        <w:tc>
          <w:tcPr>
            <w:tcW w:type="dxa" w:w="1700"/>
            <w:tcMar>
              <w:top w:type="dxa" w:w="60"/>
              <w:left w:type="dxa" w:w="100"/>
              <w:bottom w:type="dxa" w:w="60"/>
              <w:right w:type="dxa" w:w="100"/>
            </w:tcMar>
            <w:vAlign w:val="center"/>
          </w:tcPr>
          <w:p>
            <w:r>
              <w:rPr>
                <w:b w:val="false"/>
                <w:bCs w:val="false"/>
                <w:sz w:val="20"/>
                <w:szCs w:val="20"/>
              </w:rPr>
              <w:t xml:space="preserve">Platform roles</w:t>
            </w:r>
          </w:p>
        </w:tc>
        <w:tc>
          <w:tcPr>
            <w:tcW w:type="dxa" w:w="3800"/>
            <w:tcMar>
              <w:top w:type="dxa" w:w="60"/>
              <w:left w:type="dxa" w:w="100"/>
              <w:bottom w:type="dxa" w:w="60"/>
              <w:right w:type="dxa" w:w="100"/>
            </w:tcMar>
            <w:vAlign w:val="center"/>
          </w:tcPr>
          <w:p>
            <w:r>
              <w:rPr>
                <w:b w:val="false"/>
                <w:bCs w:val="false"/>
                <w:sz w:val="20"/>
                <w:szCs w:val="20"/>
              </w:rPr>
              <w:t xml:space="preserve">None — only school-level roles existed</w:t>
            </w:r>
          </w:p>
        </w:tc>
        <w:tc>
          <w:tcPr>
            <w:tcW w:type="dxa" w:w="3850"/>
            <w:tcMar>
              <w:top w:type="dxa" w:w="60"/>
              <w:left w:type="dxa" w:w="100"/>
              <w:bottom w:type="dxa" w:w="60"/>
              <w:right w:type="dxa" w:w="100"/>
            </w:tcMar>
            <w:vAlign w:val="center"/>
          </w:tcPr>
          <w:p>
            <w:r>
              <w:rPr>
                <w:b w:val="false"/>
                <w:bCs w:val="false"/>
                <w:sz w:val="20"/>
                <w:szCs w:val="20"/>
              </w:rPr>
              <w:t xml:space="preserve">Platform Super Admin, Support Engineer, Billing Administrator, Onboarding Specialist added with scoped, audited access</w:t>
            </w:r>
          </w:p>
        </w:tc>
      </w:tr>
      <w:tr>
        <w:tc>
          <w:tcPr>
            <w:tcW w:type="dxa" w:w="1700"/>
            <w:shd w:fill="DCE6F1" w:val="clear"/>
            <w:tcMar>
              <w:top w:type="dxa" w:w="60"/>
              <w:left w:type="dxa" w:w="100"/>
              <w:bottom w:type="dxa" w:w="60"/>
              <w:right w:type="dxa" w:w="100"/>
            </w:tcMar>
            <w:vAlign w:val="center"/>
          </w:tcPr>
          <w:p>
            <w:r>
              <w:rPr>
                <w:b w:val="false"/>
                <w:bCs w:val="false"/>
                <w:sz w:val="20"/>
                <w:szCs w:val="20"/>
              </w:rPr>
              <w:t xml:space="preserve">Commercial model</w:t>
            </w:r>
          </w:p>
        </w:tc>
        <w:tc>
          <w:tcPr>
            <w:tcW w:type="dxa" w:w="3800"/>
            <w:shd w:fill="DCE6F1" w:val="clear"/>
            <w:tcMar>
              <w:top w:type="dxa" w:w="60"/>
              <w:left w:type="dxa" w:w="100"/>
              <w:bottom w:type="dxa" w:w="60"/>
              <w:right w:type="dxa" w:w="100"/>
            </w:tcMar>
            <w:vAlign w:val="center"/>
          </w:tcPr>
          <w:p>
            <w:r>
              <w:rPr>
                <w:b w:val="false"/>
                <w:bCs w:val="false"/>
                <w:sz w:val="20"/>
                <w:szCs w:val="20"/>
              </w:rPr>
              <w:t xml:space="preserve">School bills parents only; no platform revenue model</w:t>
            </w:r>
          </w:p>
        </w:tc>
        <w:tc>
          <w:tcPr>
            <w:tcW w:type="dxa" w:w="3850"/>
            <w:shd w:fill="DCE6F1" w:val="clear"/>
            <w:tcMar>
              <w:top w:type="dxa" w:w="60"/>
              <w:left w:type="dxa" w:w="100"/>
              <w:bottom w:type="dxa" w:w="60"/>
              <w:right w:type="dxa" w:w="100"/>
            </w:tcMar>
            <w:vAlign w:val="center"/>
          </w:tcPr>
          <w:p>
            <w:r>
              <w:rPr>
                <w:b w:val="false"/>
                <w:bCs w:val="false"/>
                <w:sz w:val="20"/>
                <w:szCs w:val="20"/>
              </w:rPr>
              <w:t xml:space="preserve">Full subscription, tiering and metering model added (platform bills schools; schools still bill parents)</w:t>
            </w:r>
          </w:p>
        </w:tc>
      </w:tr>
      <w:tr>
        <w:tc>
          <w:tcPr>
            <w:tcW w:type="dxa" w:w="1700"/>
            <w:tcMar>
              <w:top w:type="dxa" w:w="60"/>
              <w:left w:type="dxa" w:w="100"/>
              <w:bottom w:type="dxa" w:w="60"/>
              <w:right w:type="dxa" w:w="100"/>
            </w:tcMar>
            <w:vAlign w:val="center"/>
          </w:tcPr>
          <w:p>
            <w:r>
              <w:rPr>
                <w:b w:val="false"/>
                <w:bCs w:val="false"/>
                <w:sz w:val="20"/>
                <w:szCs w:val="20"/>
              </w:rPr>
              <w:t xml:space="preserve">Requirement IDs</w:t>
            </w:r>
          </w:p>
        </w:tc>
        <w:tc>
          <w:tcPr>
            <w:tcW w:type="dxa" w:w="3800"/>
            <w:tcMar>
              <w:top w:type="dxa" w:w="60"/>
              <w:left w:type="dxa" w:w="100"/>
              <w:bottom w:type="dxa" w:w="60"/>
              <w:right w:type="dxa" w:w="100"/>
            </w:tcMar>
            <w:vAlign w:val="center"/>
          </w:tcPr>
          <w:p>
            <w:r>
              <w:rPr>
                <w:b w:val="false"/>
                <w:bCs w:val="false"/>
                <w:sz w:val="20"/>
                <w:szCs w:val="20"/>
              </w:rPr>
              <w:t xml:space="preserve">10 IDs total (BR-001–BR-010); traceability claimed but not achievable</w:t>
            </w:r>
          </w:p>
        </w:tc>
        <w:tc>
          <w:tcPr>
            <w:tcW w:type="dxa" w:w="3850"/>
            <w:tcMar>
              <w:top w:type="dxa" w:w="60"/>
              <w:left w:type="dxa" w:w="100"/>
              <w:bottom w:type="dxa" w:w="60"/>
              <w:right w:type="dxa" w:w="100"/>
            </w:tcMar>
            <w:vAlign w:val="center"/>
          </w:tcPr>
          <w:p>
            <w:r>
              <w:rPr>
                <w:b w:val="false"/>
                <w:bCs w:val="false"/>
                <w:sz w:val="20"/>
                <w:szCs w:val="20"/>
              </w:rPr>
              <w:t xml:space="preserve">Full ID scheme across every functional and non-functional requirement; traceability is now achievable</w:t>
            </w:r>
          </w:p>
        </w:tc>
      </w:tr>
      <w:tr>
        <w:tc>
          <w:tcPr>
            <w:tcW w:type="dxa" w:w="1700"/>
            <w:shd w:fill="DCE6F1" w:val="clear"/>
            <w:tcMar>
              <w:top w:type="dxa" w:w="60"/>
              <w:left w:type="dxa" w:w="100"/>
              <w:bottom w:type="dxa" w:w="60"/>
              <w:right w:type="dxa" w:w="100"/>
            </w:tcMar>
            <w:vAlign w:val="center"/>
          </w:tcPr>
          <w:p>
            <w:r>
              <w:rPr>
                <w:b w:val="false"/>
                <w:bCs w:val="false"/>
                <w:sz w:val="20"/>
                <w:szCs w:val="20"/>
              </w:rPr>
              <w:t xml:space="preserve">Non-functional targets</w:t>
            </w:r>
          </w:p>
        </w:tc>
        <w:tc>
          <w:tcPr>
            <w:tcW w:type="dxa" w:w="3800"/>
            <w:shd w:fill="DCE6F1" w:val="clear"/>
            <w:tcMar>
              <w:top w:type="dxa" w:w="60"/>
              <w:left w:type="dxa" w:w="100"/>
              <w:bottom w:type="dxa" w:w="60"/>
              <w:right w:type="dxa" w:w="100"/>
            </w:tcMar>
            <w:vAlign w:val="center"/>
          </w:tcPr>
          <w:p>
            <w:r>
              <w:rPr>
                <w:b w:val="false"/>
                <w:bCs w:val="false"/>
                <w:sz w:val="20"/>
                <w:szCs w:val="20"/>
              </w:rPr>
              <w:t xml:space="preserve">No numeric targets anywhere; deferred to "baseline measurement"</w:t>
            </w:r>
          </w:p>
        </w:tc>
        <w:tc>
          <w:tcPr>
            <w:tcW w:type="dxa" w:w="3850"/>
            <w:shd w:fill="DCE6F1" w:val="clear"/>
            <w:tcMar>
              <w:top w:type="dxa" w:w="60"/>
              <w:left w:type="dxa" w:w="100"/>
              <w:bottom w:type="dxa" w:w="60"/>
              <w:right w:type="dxa" w:w="100"/>
            </w:tcMar>
            <w:vAlign w:val="center"/>
          </w:tcPr>
          <w:p>
            <w:r>
              <w:rPr>
                <w:b w:val="false"/>
                <w:bCs w:val="false"/>
                <w:sz w:val="20"/>
                <w:szCs w:val="20"/>
              </w:rPr>
              <w:t xml:space="preserve">Concrete numeric targets defined for latency, throughput, availability, RTO/RPO (Appendix B)</w:t>
            </w:r>
          </w:p>
        </w:tc>
      </w:tr>
      <w:tr>
        <w:tc>
          <w:tcPr>
            <w:tcW w:type="dxa" w:w="1700"/>
            <w:tcMar>
              <w:top w:type="dxa" w:w="60"/>
              <w:left w:type="dxa" w:w="100"/>
              <w:bottom w:type="dxa" w:w="60"/>
              <w:right w:type="dxa" w:w="100"/>
            </w:tcMar>
            <w:vAlign w:val="center"/>
          </w:tcPr>
          <w:p>
            <w:r>
              <w:rPr>
                <w:b w:val="false"/>
                <w:bCs w:val="false"/>
                <w:sz w:val="20"/>
                <w:szCs w:val="20"/>
              </w:rPr>
              <w:t xml:space="preserve">Compliance</w:t>
            </w:r>
          </w:p>
        </w:tc>
        <w:tc>
          <w:tcPr>
            <w:tcW w:type="dxa" w:w="3800"/>
            <w:tcMar>
              <w:top w:type="dxa" w:w="60"/>
              <w:left w:type="dxa" w:w="100"/>
              <w:bottom w:type="dxa" w:w="60"/>
              <w:right w:type="dxa" w:w="100"/>
            </w:tcMar>
            <w:vAlign w:val="center"/>
          </w:tcPr>
          <w:p>
            <w:r>
              <w:rPr>
                <w:b w:val="false"/>
                <w:bCs w:val="false"/>
                <w:sz w:val="20"/>
                <w:szCs w:val="20"/>
              </w:rPr>
              <w:t xml:space="preserve">Not addressed</w:t>
            </w:r>
          </w:p>
        </w:tc>
        <w:tc>
          <w:tcPr>
            <w:tcW w:type="dxa" w:w="3850"/>
            <w:tcMar>
              <w:top w:type="dxa" w:w="60"/>
              <w:left w:type="dxa" w:w="100"/>
              <w:bottom w:type="dxa" w:w="60"/>
              <w:right w:type="dxa" w:w="100"/>
            </w:tcMar>
            <w:vAlign w:val="center"/>
          </w:tcPr>
          <w:p>
            <w:r>
              <w:rPr>
                <w:b w:val="false"/>
                <w:bCs w:val="false"/>
                <w:sz w:val="20"/>
                <w:szCs w:val="20"/>
              </w:rPr>
              <w:t xml:space="preserve">Ghana Data Protection Act, 2012 (Act 843) and GDPR-alignment chapter added, with retention schedule and consent model</w:t>
            </w:r>
          </w:p>
        </w:tc>
      </w:tr>
      <w:tr>
        <w:tc>
          <w:tcPr>
            <w:tcW w:type="dxa" w:w="1700"/>
            <w:shd w:fill="DCE6F1" w:val="clear"/>
            <w:tcMar>
              <w:top w:type="dxa" w:w="60"/>
              <w:left w:type="dxa" w:w="100"/>
              <w:bottom w:type="dxa" w:w="60"/>
              <w:right w:type="dxa" w:w="100"/>
            </w:tcMar>
            <w:vAlign w:val="center"/>
          </w:tcPr>
          <w:p>
            <w:r>
              <w:rPr>
                <w:b w:val="false"/>
                <w:bCs w:val="false"/>
                <w:sz w:val="20"/>
                <w:szCs w:val="20"/>
              </w:rPr>
              <w:t xml:space="preserve">Local curriculum fit</w:t>
            </w:r>
          </w:p>
        </w:tc>
        <w:tc>
          <w:tcPr>
            <w:tcW w:type="dxa" w:w="3800"/>
            <w:shd w:fill="DCE6F1" w:val="clear"/>
            <w:tcMar>
              <w:top w:type="dxa" w:w="60"/>
              <w:left w:type="dxa" w:w="100"/>
              <w:bottom w:type="dxa" w:w="60"/>
              <w:right w:type="dxa" w:w="100"/>
            </w:tcMar>
            <w:vAlign w:val="center"/>
          </w:tcPr>
          <w:p>
            <w:r>
              <w:rPr>
                <w:b w:val="false"/>
                <w:bCs w:val="false"/>
                <w:sz w:val="20"/>
                <w:szCs w:val="20"/>
              </w:rPr>
              <w:t xml:space="preserve">Generic numeric/developmental grading only</w:t>
            </w:r>
          </w:p>
        </w:tc>
        <w:tc>
          <w:tcPr>
            <w:tcW w:type="dxa" w:w="3850"/>
            <w:shd w:fill="DCE6F1" w:val="clear"/>
            <w:tcMar>
              <w:top w:type="dxa" w:w="60"/>
              <w:left w:type="dxa" w:w="100"/>
              <w:bottom w:type="dxa" w:w="60"/>
              <w:right w:type="dxa" w:w="100"/>
            </w:tcMar>
            <w:vAlign w:val="center"/>
          </w:tcPr>
          <w:p>
            <w:r>
              <w:rPr>
                <w:b w:val="false"/>
                <w:bCs w:val="false"/>
                <w:sz w:val="20"/>
                <w:szCs w:val="20"/>
              </w:rPr>
              <w:t xml:space="preserve">NaCCA Standards-Based Curriculum, BECE, GES reporting and CSSPS alignment added</w:t>
            </w:r>
          </w:p>
        </w:tc>
      </w:tr>
      <w:tr>
        <w:tc>
          <w:tcPr>
            <w:tcW w:type="dxa" w:w="1700"/>
            <w:tcMar>
              <w:top w:type="dxa" w:w="60"/>
              <w:left w:type="dxa" w:w="100"/>
              <w:bottom w:type="dxa" w:w="60"/>
              <w:right w:type="dxa" w:w="100"/>
            </w:tcMar>
            <w:vAlign w:val="center"/>
          </w:tcPr>
          <w:p>
            <w:r>
              <w:rPr>
                <w:b w:val="false"/>
                <w:bCs w:val="false"/>
                <w:sz w:val="20"/>
                <w:szCs w:val="20"/>
              </w:rPr>
              <w:t xml:space="preserve">Connectivity</w:t>
            </w:r>
          </w:p>
        </w:tc>
        <w:tc>
          <w:tcPr>
            <w:tcW w:type="dxa" w:w="3800"/>
            <w:tcMar>
              <w:top w:type="dxa" w:w="60"/>
              <w:left w:type="dxa" w:w="100"/>
              <w:bottom w:type="dxa" w:w="60"/>
              <w:right w:type="dxa" w:w="100"/>
            </w:tcMar>
            <w:vAlign w:val="center"/>
          </w:tcPr>
          <w:p>
            <w:r>
              <w:rPr>
                <w:b w:val="false"/>
                <w:bCs w:val="false"/>
                <w:sz w:val="20"/>
                <w:szCs w:val="20"/>
              </w:rPr>
              <w:t xml:space="preserve">Not addressed; "offline" mentioned twice, incidentally</w:t>
            </w:r>
          </w:p>
        </w:tc>
        <w:tc>
          <w:tcPr>
            <w:tcW w:type="dxa" w:w="3850"/>
            <w:tcMar>
              <w:top w:type="dxa" w:w="60"/>
              <w:left w:type="dxa" w:w="100"/>
              <w:bottom w:type="dxa" w:w="60"/>
              <w:right w:type="dxa" w:w="100"/>
            </w:tcMar>
            <w:vAlign w:val="center"/>
          </w:tcPr>
          <w:p>
            <w:r>
              <w:rPr>
                <w:b w:val="false"/>
                <w:bCs w:val="false"/>
                <w:sz w:val="20"/>
                <w:szCs w:val="20"/>
              </w:rPr>
              <w:t xml:space="preserve">Offline-first attendance and score capture specified as a first-class requirement with a defined sync protocol</w:t>
            </w:r>
          </w:p>
        </w:tc>
      </w:tr>
      <w:tr>
        <w:tc>
          <w:tcPr>
            <w:tcW w:type="dxa" w:w="1700"/>
            <w:shd w:fill="DCE6F1" w:val="clear"/>
            <w:tcMar>
              <w:top w:type="dxa" w:w="60"/>
              <w:left w:type="dxa" w:w="100"/>
              <w:bottom w:type="dxa" w:w="60"/>
              <w:right w:type="dxa" w:w="100"/>
            </w:tcMar>
            <w:vAlign w:val="center"/>
          </w:tcPr>
          <w:p>
            <w:r>
              <w:rPr>
                <w:b w:val="false"/>
                <w:bCs w:val="false"/>
                <w:sz w:val="20"/>
                <w:szCs w:val="20"/>
              </w:rPr>
              <w:t xml:space="preserve">Communication</w:t>
            </w:r>
          </w:p>
        </w:tc>
        <w:tc>
          <w:tcPr>
            <w:tcW w:type="dxa" w:w="3800"/>
            <w:shd w:fill="DCE6F1" w:val="clear"/>
            <w:tcMar>
              <w:top w:type="dxa" w:w="60"/>
              <w:left w:type="dxa" w:w="100"/>
              <w:bottom w:type="dxa" w:w="60"/>
              <w:right w:type="dxa" w:w="100"/>
            </w:tcMar>
            <w:vAlign w:val="center"/>
          </w:tcPr>
          <w:p>
            <w:r>
              <w:rPr>
                <w:b w:val="false"/>
                <w:bCs w:val="false"/>
                <w:sz w:val="20"/>
                <w:szCs w:val="20"/>
              </w:rPr>
              <w:t xml:space="preserve">Email-first; SMS "where enabled"; no WhatsApp</w:t>
            </w:r>
          </w:p>
        </w:tc>
        <w:tc>
          <w:tcPr>
            <w:tcW w:type="dxa" w:w="3850"/>
            <w:shd w:fill="DCE6F1" w:val="clear"/>
            <w:tcMar>
              <w:top w:type="dxa" w:w="60"/>
              <w:left w:type="dxa" w:w="100"/>
              <w:bottom w:type="dxa" w:w="60"/>
              <w:right w:type="dxa" w:w="100"/>
            </w:tcMar>
            <w:vAlign w:val="center"/>
          </w:tcPr>
          <w:p>
            <w:r>
              <w:rPr>
                <w:b w:val="false"/>
                <w:bCs w:val="false"/>
                <w:sz w:val="20"/>
                <w:szCs w:val="20"/>
              </w:rPr>
              <w:t xml:space="preserve">WhatsApp Business API specified as the primary channel; SMS and email as defined fallbacks</w:t>
            </w:r>
          </w:p>
        </w:tc>
      </w:tr>
      <w:tr>
        <w:tc>
          <w:tcPr>
            <w:tcW w:type="dxa" w:w="1700"/>
            <w:tcMar>
              <w:top w:type="dxa" w:w="60"/>
              <w:left w:type="dxa" w:w="100"/>
              <w:bottom w:type="dxa" w:w="60"/>
              <w:right w:type="dxa" w:w="100"/>
            </w:tcMar>
            <w:vAlign w:val="center"/>
          </w:tcPr>
          <w:p>
            <w:r>
              <w:rPr>
                <w:b w:val="false"/>
                <w:bCs w:val="false"/>
                <w:sz w:val="20"/>
                <w:szCs w:val="20"/>
              </w:rPr>
              <w:t xml:space="preserve">Payments</w:t>
            </w:r>
          </w:p>
        </w:tc>
        <w:tc>
          <w:tcPr>
            <w:tcW w:type="dxa" w:w="3800"/>
            <w:tcMar>
              <w:top w:type="dxa" w:w="60"/>
              <w:left w:type="dxa" w:w="100"/>
              <w:bottom w:type="dxa" w:w="60"/>
              <w:right w:type="dxa" w:w="100"/>
            </w:tcMar>
            <w:vAlign w:val="center"/>
          </w:tcPr>
          <w:p>
            <w:r>
              <w:rPr>
                <w:b w:val="false"/>
                <w:bCs w:val="false"/>
                <w:sz w:val="20"/>
                <w:szCs w:val="20"/>
              </w:rPr>
              <w:t xml:space="preserve">Generic "provider adapter"; mobile money listed as a dropdown value</w:t>
            </w:r>
          </w:p>
        </w:tc>
        <w:tc>
          <w:tcPr>
            <w:tcW w:type="dxa" w:w="3850"/>
            <w:tcMar>
              <w:top w:type="dxa" w:w="60"/>
              <w:left w:type="dxa" w:w="100"/>
              <w:bottom w:type="dxa" w:w="60"/>
              <w:right w:type="dxa" w:w="100"/>
            </w:tcMar>
            <w:vAlign w:val="center"/>
          </w:tcPr>
          <w:p>
            <w:r>
              <w:rPr>
                <w:b w:val="false"/>
                <w:bCs w:val="false"/>
                <w:sz w:val="20"/>
                <w:szCs w:val="20"/>
              </w:rPr>
              <w:t xml:space="preserve">Named Ghanaian providers (Paystack, Hubtel, MTN MoMo, Telecel Cash) with a concrete settlement and reconciliation model</w:t>
            </w:r>
          </w:p>
        </w:tc>
      </w:tr>
      <w:tr>
        <w:tc>
          <w:tcPr>
            <w:tcW w:type="dxa" w:w="1700"/>
            <w:shd w:fill="DCE6F1" w:val="clear"/>
            <w:tcMar>
              <w:top w:type="dxa" w:w="60"/>
              <w:left w:type="dxa" w:w="100"/>
              <w:bottom w:type="dxa" w:w="60"/>
              <w:right w:type="dxa" w:w="100"/>
            </w:tcMar>
            <w:vAlign w:val="center"/>
          </w:tcPr>
          <w:p>
            <w:r>
              <w:rPr>
                <w:b w:val="false"/>
                <w:bCs w:val="false"/>
                <w:sz w:val="20"/>
                <w:szCs w:val="20"/>
              </w:rPr>
              <w:t xml:space="preserve">Accessibility</w:t>
            </w:r>
          </w:p>
        </w:tc>
        <w:tc>
          <w:tcPr>
            <w:tcW w:type="dxa" w:w="3800"/>
            <w:shd w:fill="DCE6F1" w:val="clear"/>
            <w:tcMar>
              <w:top w:type="dxa" w:w="60"/>
              <w:left w:type="dxa" w:w="100"/>
              <w:bottom w:type="dxa" w:w="60"/>
              <w:right w:type="dxa" w:w="100"/>
            </w:tcMar>
            <w:vAlign w:val="center"/>
          </w:tcPr>
          <w:p>
            <w:r>
              <w:rPr>
                <w:b w:val="false"/>
                <w:bCs w:val="false"/>
                <w:sz w:val="20"/>
                <w:szCs w:val="20"/>
              </w:rPr>
              <w:t xml:space="preserve">"Accessible" asserted with no named standard</w:t>
            </w:r>
          </w:p>
        </w:tc>
        <w:tc>
          <w:tcPr>
            <w:tcW w:type="dxa" w:w="3850"/>
            <w:shd w:fill="DCE6F1" w:val="clear"/>
            <w:tcMar>
              <w:top w:type="dxa" w:w="60"/>
              <w:left w:type="dxa" w:w="100"/>
              <w:bottom w:type="dxa" w:w="60"/>
              <w:right w:type="dxa" w:w="100"/>
            </w:tcMar>
            <w:vAlign w:val="center"/>
          </w:tcPr>
          <w:p>
            <w:r>
              <w:rPr>
                <w:b w:val="false"/>
                <w:bCs w:val="false"/>
                <w:sz w:val="20"/>
                <w:szCs w:val="20"/>
              </w:rPr>
              <w:t xml:space="preserve">WCAG 2.1 Level AA named as the binding target, with an automated CI gate</w:t>
            </w:r>
          </w:p>
        </w:tc>
      </w:tr>
      <w:tr>
        <w:tc>
          <w:tcPr>
            <w:tcW w:type="dxa" w:w="1700"/>
            <w:tcMar>
              <w:top w:type="dxa" w:w="60"/>
              <w:left w:type="dxa" w:w="100"/>
              <w:bottom w:type="dxa" w:w="60"/>
              <w:right w:type="dxa" w:w="100"/>
            </w:tcMar>
            <w:vAlign w:val="center"/>
          </w:tcPr>
          <w:p>
            <w:r>
              <w:rPr>
                <w:b w:val="false"/>
                <w:bCs w:val="false"/>
                <w:sz w:val="20"/>
                <w:szCs w:val="20"/>
              </w:rPr>
              <w:t xml:space="preserve">Security pipeline</w:t>
            </w:r>
          </w:p>
        </w:tc>
        <w:tc>
          <w:tcPr>
            <w:tcW w:type="dxa" w:w="3800"/>
            <w:tcMar>
              <w:top w:type="dxa" w:w="60"/>
              <w:left w:type="dxa" w:w="100"/>
              <w:bottom w:type="dxa" w:w="60"/>
              <w:right w:type="dxa" w:w="100"/>
            </w:tcMar>
            <w:vAlign w:val="center"/>
          </w:tcPr>
          <w:p>
            <w:r>
              <w:rPr>
                <w:b w:val="false"/>
                <w:bCs w:val="false"/>
                <w:sz w:val="20"/>
                <w:szCs w:val="20"/>
              </w:rPr>
              <w:t xml:space="preserve">review → tests → build → staging, no security gate</w:t>
            </w:r>
          </w:p>
        </w:tc>
        <w:tc>
          <w:tcPr>
            <w:tcW w:type="dxa" w:w="3850"/>
            <w:tcMar>
              <w:top w:type="dxa" w:w="60"/>
              <w:left w:type="dxa" w:w="100"/>
              <w:bottom w:type="dxa" w:w="60"/>
              <w:right w:type="dxa" w:w="100"/>
            </w:tcMar>
            <w:vAlign w:val="center"/>
          </w:tcPr>
          <w:p>
            <w:r>
              <w:rPr>
                <w:b w:val="false"/>
                <w:bCs w:val="false"/>
                <w:sz w:val="20"/>
                <w:szCs w:val="20"/>
              </w:rPr>
              <w:t xml:space="preserve">SAST, dependency scanning, DAST and a pre-GA penetration test added as release gates</w:t>
            </w:r>
          </w:p>
        </w:tc>
      </w:tr>
      <w:tr>
        <w:tc>
          <w:tcPr>
            <w:tcW w:type="dxa" w:w="1700"/>
            <w:shd w:fill="DCE6F1" w:val="clear"/>
            <w:tcMar>
              <w:top w:type="dxa" w:w="60"/>
              <w:left w:type="dxa" w:w="100"/>
              <w:bottom w:type="dxa" w:w="60"/>
              <w:right w:type="dxa" w:w="100"/>
            </w:tcMar>
            <w:vAlign w:val="center"/>
          </w:tcPr>
          <w:p>
            <w:r>
              <w:rPr>
                <w:b w:val="false"/>
                <w:bCs w:val="false"/>
                <w:sz w:val="20"/>
                <w:szCs w:val="20"/>
              </w:rPr>
              <w:t xml:space="preserve">Delivery model</w:t>
            </w:r>
          </w:p>
        </w:tc>
        <w:tc>
          <w:tcPr>
            <w:tcW w:type="dxa" w:w="3800"/>
            <w:shd w:fill="DCE6F1" w:val="clear"/>
            <w:tcMar>
              <w:top w:type="dxa" w:w="60"/>
              <w:left w:type="dxa" w:w="100"/>
              <w:bottom w:type="dxa" w:w="60"/>
              <w:right w:type="dxa" w:w="100"/>
            </w:tcMar>
            <w:vAlign w:val="center"/>
          </w:tcPr>
          <w:p>
            <w:r>
              <w:rPr>
                <w:b w:val="false"/>
                <w:bCs w:val="false"/>
                <w:sz w:val="20"/>
                <w:szCs w:val="20"/>
              </w:rPr>
              <w:t xml:space="preserve">55 sequential prompts for an autonomous AI coding agent ("Codex")</w:t>
            </w:r>
          </w:p>
        </w:tc>
        <w:tc>
          <w:tcPr>
            <w:tcW w:type="dxa" w:w="3850"/>
            <w:shd w:fill="DCE6F1" w:val="clear"/>
            <w:tcMar>
              <w:top w:type="dxa" w:w="60"/>
              <w:left w:type="dxa" w:w="100"/>
              <w:bottom w:type="dxa" w:w="60"/>
              <w:right w:type="dxa" w:w="100"/>
            </w:tcMar>
            <w:vAlign w:val="center"/>
          </w:tcPr>
          <w:p>
            <w:r>
              <w:rPr>
                <w:b w:val="false"/>
                <w:bCs w:val="false"/>
                <w:sz w:val="20"/>
                <w:szCs w:val="20"/>
              </w:rPr>
              <w:t xml:space="preserve">Human-led, phased delivery by a named team, using AI coding assistants as a supervised productivity tool, not as the delivery mechanism</w:t>
            </w:r>
          </w:p>
        </w:tc>
      </w:tr>
      <w:tr>
        <w:tc>
          <w:tcPr>
            <w:tcW w:type="dxa" w:w="1700"/>
            <w:tcMar>
              <w:top w:type="dxa" w:w="60"/>
              <w:left w:type="dxa" w:w="100"/>
              <w:bottom w:type="dxa" w:w="60"/>
              <w:right w:type="dxa" w:w="100"/>
            </w:tcMar>
            <w:vAlign w:val="center"/>
          </w:tcPr>
          <w:p>
            <w:r>
              <w:rPr>
                <w:b w:val="false"/>
                <w:bCs w:val="false"/>
                <w:sz w:val="20"/>
                <w:szCs w:val="20"/>
              </w:rPr>
              <w:t xml:space="preserve">Document structure</w:t>
            </w:r>
          </w:p>
        </w:tc>
        <w:tc>
          <w:tcPr>
            <w:tcW w:type="dxa" w:w="3800"/>
            <w:tcMar>
              <w:top w:type="dxa" w:w="60"/>
              <w:left w:type="dxa" w:w="100"/>
              <w:bottom w:type="dxa" w:w="60"/>
              <w:right w:type="dxa" w:w="100"/>
            </w:tcMar>
            <w:vAlign w:val="center"/>
          </w:tcPr>
          <w:p>
            <w:r>
              <w:rPr>
                <w:b w:val="false"/>
                <w:bCs w:val="false"/>
                <w:sz w:val="20"/>
                <w:szCs w:val="20"/>
              </w:rPr>
              <w:t xml:space="preserve">Identical five-row control table repeated after all 55 chapters (~15–20% of the document)</w:t>
            </w:r>
          </w:p>
        </w:tc>
        <w:tc>
          <w:tcPr>
            <w:tcW w:type="dxa" w:w="3850"/>
            <w:tcMar>
              <w:top w:type="dxa" w:w="60"/>
              <w:left w:type="dxa" w:w="100"/>
              <w:bottom w:type="dxa" w:w="60"/>
              <w:right w:type="dxa" w:w="100"/>
            </w:tcMar>
            <w:vAlign w:val="center"/>
          </w:tcPr>
          <w:p>
            <w:r>
              <w:rPr>
                <w:b w:val="false"/>
                <w:bCs w:val="false"/>
                <w:sz w:val="20"/>
                <w:szCs w:val="20"/>
              </w:rPr>
              <w:t xml:space="preserve">Universal controls stated once (below); per-chapter text limited to what is actually chapter-specific</w:t>
            </w:r>
          </w:p>
        </w:tc>
      </w:tr>
    </w:tbl>
    <w:p>
      <w:pPr>
        <w:pStyle w:val="Heading1"/>
        <w:spacing w:after="200" w:before="240"/>
      </w:pPr>
      <w:r>
        <w:rPr>
          <w:b/>
          <w:bCs/>
        </w:rPr>
        <w:t xml:space="preserve">Universal Requirement Controls</w:t>
      </w:r>
    </w:p>
    <w:p>
      <w:pPr>
        <w:spacing w:after="120"/>
      </w:pPr>
      <w:r>
        <w:rPr>
          <w:b w:val="false"/>
          <w:bCs w:val="false"/>
          <w:i w:val="false"/>
          <w:iCs w:val="false"/>
        </w:rPr>
        <w:t xml:space="preserve">The following controls apply to every requirement in this document unless a chapter explicitly states an exception. They are stated once here rather than repeated after each chapter.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r>
              <w:rPr>
                <w:b/>
                <w:bCs/>
                <w:color w:val="FFFFFF"/>
                <w:sz w:val="20"/>
                <w:szCs w:val="20"/>
              </w:rPr>
              <w:t xml:space="preserve">Control</w:t>
            </w:r>
          </w:p>
        </w:tc>
        <w:tc>
          <w:tcPr>
            <w:tcW w:type="dxa" w:w="7150"/>
            <w:shd w:fill="1F3864" w:val="clear"/>
            <w:tcMar>
              <w:top w:type="dxa" w:w="60"/>
              <w:left w:type="dxa" w:w="100"/>
              <w:bottom w:type="dxa" w:w="60"/>
              <w:right w:type="dxa" w:w="100"/>
            </w:tcMar>
            <w:vAlign w:val="center"/>
          </w:tcPr>
          <w:p>
            <w:r>
              <w:rPr>
                <w:b/>
                <w:bCs/>
                <w:color w:val="FFFFFF"/>
                <w:sz w:val="20"/>
                <w:szCs w:val="20"/>
              </w:rPr>
              <w:t xml:space="preserve">Requirement</w:t>
            </w:r>
          </w:p>
        </w:tc>
      </w:tr>
      <w:tr>
        <w:tc>
          <w:tcPr>
            <w:tcW w:type="dxa" w:w="2200"/>
            <w:tcMar>
              <w:top w:type="dxa" w:w="60"/>
              <w:left w:type="dxa" w:w="100"/>
              <w:bottom w:type="dxa" w:w="60"/>
              <w:right w:type="dxa" w:w="100"/>
            </w:tcMar>
            <w:vAlign w:val="center"/>
          </w:tcPr>
          <w:p>
            <w:r>
              <w:rPr>
                <w:b w:val="false"/>
                <w:bCs w:val="false"/>
                <w:sz w:val="20"/>
                <w:szCs w:val="20"/>
              </w:rPr>
              <w:t xml:space="preserve">Tenant scope</w:t>
            </w:r>
          </w:p>
        </w:tc>
        <w:tc>
          <w:tcPr>
            <w:tcW w:type="dxa" w:w="7150"/>
            <w:tcMar>
              <w:top w:type="dxa" w:w="60"/>
              <w:left w:type="dxa" w:w="100"/>
              <w:bottom w:type="dxa" w:w="60"/>
              <w:right w:type="dxa" w:w="100"/>
            </w:tcMar>
            <w:vAlign w:val="center"/>
          </w:tcPr>
          <w:p>
            <w:r>
              <w:rPr>
                <w:b w:val="false"/>
                <w:bCs w:val="false"/>
                <w:sz w:val="20"/>
                <w:szCs w:val="20"/>
              </w:rPr>
              <w:t xml:space="preserve">Every protected action MUST be evaluated within the caller's tenant. Cross-tenant access is denied by default at both the application layer and the database layer (Row-Level Security).</w:t>
            </w:r>
          </w:p>
        </w:tc>
      </w:tr>
      <w:tr>
        <w:tc>
          <w:tcPr>
            <w:tcW w:type="dxa" w:w="2200"/>
            <w:shd w:fill="DCE6F1" w:val="clear"/>
            <w:tcMar>
              <w:top w:type="dxa" w:w="60"/>
              <w:left w:type="dxa" w:w="100"/>
              <w:bottom w:type="dxa" w:w="60"/>
              <w:right w:type="dxa" w:w="100"/>
            </w:tcMar>
            <w:vAlign w:val="center"/>
          </w:tcPr>
          <w:p>
            <w:r>
              <w:rPr>
                <w:b w:val="false"/>
                <w:bCs w:val="false"/>
                <w:sz w:val="20"/>
                <w:szCs w:val="20"/>
              </w:rPr>
              <w:t xml:space="preserve">Permissions</w:t>
            </w:r>
          </w:p>
        </w:tc>
        <w:tc>
          <w:tcPr>
            <w:tcW w:type="dxa" w:w="7150"/>
            <w:shd w:fill="DCE6F1" w:val="clear"/>
            <w:tcMar>
              <w:top w:type="dxa" w:w="60"/>
              <w:left w:type="dxa" w:w="100"/>
              <w:bottom w:type="dxa" w:w="60"/>
              <w:right w:type="dxa" w:w="100"/>
            </w:tcMar>
            <w:vAlign w:val="center"/>
          </w:tcPr>
          <w:p>
            <w:r>
              <w:rPr>
                <w:b w:val="false"/>
                <w:bCs w:val="false"/>
                <w:sz w:val="20"/>
                <w:szCs w:val="20"/>
              </w:rPr>
              <w:t xml:space="preserve">Every protected action MUST require server-side authorization and record-scope validation. Client-side hiding of a control is never treated as authorization.</w:t>
            </w:r>
          </w:p>
        </w:tc>
      </w:tr>
      <w:tr>
        <w:tc>
          <w:tcPr>
            <w:tcW w:type="dxa" w:w="2200"/>
            <w:tcMar>
              <w:top w:type="dxa" w:w="60"/>
              <w:left w:type="dxa" w:w="100"/>
              <w:bottom w:type="dxa" w:w="60"/>
              <w:right w:type="dxa" w:w="100"/>
            </w:tcMar>
            <w:vAlign w:val="center"/>
          </w:tcPr>
          <w:p>
            <w:r>
              <w:rPr>
                <w:b w:val="false"/>
                <w:bCs w:val="false"/>
                <w:sz w:val="20"/>
                <w:szCs w:val="20"/>
              </w:rPr>
              <w:t xml:space="preserve">Audit</w:t>
            </w:r>
          </w:p>
        </w:tc>
        <w:tc>
          <w:tcPr>
            <w:tcW w:type="dxa" w:w="7150"/>
            <w:tcMar>
              <w:top w:type="dxa" w:w="60"/>
              <w:left w:type="dxa" w:w="100"/>
              <w:bottom w:type="dxa" w:w="60"/>
              <w:right w:type="dxa" w:w="100"/>
            </w:tcMar>
            <w:vAlign w:val="center"/>
          </w:tcPr>
          <w:p>
            <w:r>
              <w:rPr>
                <w:b w:val="false"/>
                <w:bCs w:val="false"/>
                <w:sz w:val="20"/>
                <w:szCs w:val="20"/>
              </w:rPr>
              <w:t xml:space="preserve">Material state changes MUST record actor, tenant, time, old value, new value, reason (where applicable) and outcome, in an append-only log.</w:t>
            </w:r>
          </w:p>
        </w:tc>
      </w:tr>
      <w:tr>
        <w:tc>
          <w:tcPr>
            <w:tcW w:type="dxa" w:w="2200"/>
            <w:shd w:fill="DCE6F1" w:val="clear"/>
            <w:tcMar>
              <w:top w:type="dxa" w:w="60"/>
              <w:left w:type="dxa" w:w="100"/>
              <w:bottom w:type="dxa" w:w="60"/>
              <w:right w:type="dxa" w:w="100"/>
            </w:tcMar>
            <w:vAlign w:val="center"/>
          </w:tcPr>
          <w:p>
            <w:r>
              <w:rPr>
                <w:b w:val="false"/>
                <w:bCs w:val="false"/>
                <w:sz w:val="20"/>
                <w:szCs w:val="20"/>
              </w:rPr>
              <w:t xml:space="preserve">History</w:t>
            </w:r>
          </w:p>
        </w:tc>
        <w:tc>
          <w:tcPr>
            <w:tcW w:type="dxa" w:w="7150"/>
            <w:shd w:fill="DCE6F1" w:val="clear"/>
            <w:tcMar>
              <w:top w:type="dxa" w:w="60"/>
              <w:left w:type="dxa" w:w="100"/>
              <w:bottom w:type="dxa" w:w="60"/>
              <w:right w:type="dxa" w:w="100"/>
            </w:tcMar>
            <w:vAlign w:val="center"/>
          </w:tcPr>
          <w:p>
            <w:r>
              <w:rPr>
                <w:b w:val="false"/>
                <w:bCs w:val="false"/>
                <w:sz w:val="20"/>
                <w:szCs w:val="20"/>
              </w:rPr>
              <w:t xml:space="preserve">Official records MUST use versioning or reversal. They are never silently overwritten or hard-deleted while retention rules apply.</w:t>
            </w:r>
          </w:p>
        </w:tc>
      </w:tr>
      <w:tr>
        <w:tc>
          <w:tcPr>
            <w:tcW w:type="dxa" w:w="2200"/>
            <w:tcMar>
              <w:top w:type="dxa" w:w="60"/>
              <w:left w:type="dxa" w:w="100"/>
              <w:bottom w:type="dxa" w:w="60"/>
              <w:right w:type="dxa" w:w="100"/>
            </w:tcMar>
            <w:vAlign w:val="center"/>
          </w:tcPr>
          <w:p>
            <w:r>
              <w:rPr>
                <w:b w:val="false"/>
                <w:bCs w:val="false"/>
                <w:sz w:val="20"/>
                <w:szCs w:val="20"/>
              </w:rPr>
              <w:t xml:space="preserve">Reporting</w:t>
            </w:r>
          </w:p>
        </w:tc>
        <w:tc>
          <w:tcPr>
            <w:tcW w:type="dxa" w:w="7150"/>
            <w:tcMar>
              <w:top w:type="dxa" w:w="60"/>
              <w:left w:type="dxa" w:w="100"/>
              <w:bottom w:type="dxa" w:w="60"/>
              <w:right w:type="dxa" w:w="100"/>
            </w:tcMar>
            <w:vAlign w:val="center"/>
          </w:tcPr>
          <w:p>
            <w:r>
              <w:rPr>
                <w:b w:val="false"/>
                <w:bCs w:val="false"/>
                <w:sz w:val="20"/>
                <w:szCs w:val="20"/>
              </w:rPr>
              <w:t xml:space="preserve">Applicable operations MUST feed role-based dashboards, scheduled reports and follow-up actions within their tenant scope.</w:t>
            </w:r>
          </w:p>
        </w:tc>
      </w:tr>
      <w:tr>
        <w:tc>
          <w:tcPr>
            <w:tcW w:type="dxa" w:w="2200"/>
            <w:shd w:fill="DCE6F1" w:val="clear"/>
            <w:tcMar>
              <w:top w:type="dxa" w:w="60"/>
              <w:left w:type="dxa" w:w="100"/>
              <w:bottom w:type="dxa" w:w="60"/>
              <w:right w:type="dxa" w:w="100"/>
            </w:tcMar>
            <w:vAlign w:val="center"/>
          </w:tcPr>
          <w:p>
            <w:r>
              <w:rPr>
                <w:b w:val="false"/>
                <w:bCs w:val="false"/>
                <w:sz w:val="20"/>
                <w:szCs w:val="20"/>
              </w:rPr>
              <w:t xml:space="preserve">Testing</w:t>
            </w:r>
          </w:p>
        </w:tc>
        <w:tc>
          <w:tcPr>
            <w:tcW w:type="dxa" w:w="7150"/>
            <w:shd w:fill="DCE6F1" w:val="clear"/>
            <w:tcMar>
              <w:top w:type="dxa" w:w="60"/>
              <w:left w:type="dxa" w:w="100"/>
              <w:bottom w:type="dxa" w:w="60"/>
              <w:right w:type="dxa" w:w="100"/>
            </w:tcMar>
            <w:vAlign w:val="center"/>
          </w:tcPr>
          <w:p>
            <w:r>
              <w:rPr>
                <w:b w:val="false"/>
                <w:bCs w:val="false"/>
                <w:sz w:val="20"/>
                <w:szCs w:val="20"/>
              </w:rPr>
              <w:t xml:space="preserve">Business rules, permissions, state transitions, calculations, cross-tenant isolation and regressions MUST have automated test coverage before release (see Chapter 45).</w:t>
            </w:r>
          </w:p>
        </w:tc>
      </w:tr>
    </w:tbl>
    <w:p>
      <w:pPr>
        <w:pStyle w:val="Heading1"/>
        <w:spacing w:after="200" w:before="240"/>
      </w:pPr>
      <w:r>
        <w:rPr>
          <w:b/>
          <w:bCs/>
        </w:rPr>
        <w:t xml:space="preserve">How to Read This Document</w:t>
      </w:r>
    </w:p>
    <w:p>
      <w:pPr>
        <w:pStyle w:val="Heading2"/>
        <w:spacing w:after="100" w:before="220"/>
      </w:pPr>
      <w:r>
        <w:rPr>
          <w:b/>
          <w:bCs/>
        </w:rPr>
        <w:t xml:space="preserve">Requirement identifiers</w:t>
      </w:r>
    </w:p>
    <w:p>
      <w:pPr>
        <w:spacing w:after="120"/>
      </w:pPr>
      <w:r>
        <w:rPr>
          <w:b w:val="false"/>
          <w:bCs w:val="false"/>
          <w:i w:val="false"/>
          <w:iCs w:val="false"/>
        </w:rPr>
        <w:t xml:space="preserve">Every functional requirement carries a stable identifier in the form FR-&lt;MODULE&gt;-&lt;NNN&gt;. Every non-functional requirement carries NFR-&lt;CATEGORY&gt;-&lt;NNN&gt;. Business requirements use BR-&lt;NNN&gt;. Tenancy/platform requirements use TEN-&lt;NNN&gt;. Data-protection requirements use DP-&lt;NNN&gt;. Domain-alignment requirements use DOM-&lt;NNN&gt;. IDs increment in steps of 10 within a module so that requirements can be inserted later without renumbering. The full index is in Appendix A.</w:t>
      </w:r>
    </w:p>
    <w:p>
      <w:pPr>
        <w:pStyle w:val="Heading2"/>
        <w:spacing w:after="100" w:before="220"/>
      </w:pPr>
      <w:r>
        <w:rPr>
          <w:b/>
          <w:bCs/>
        </w:rPr>
        <w:t xml:space="preserve">Requirement keywords</w:t>
      </w:r>
    </w:p>
    <w:p>
      <w:pPr>
        <w:spacing w:after="120"/>
      </w:pPr>
      <w:r>
        <w:rPr>
          <w:b w:val="false"/>
          <w:bCs w:val="false"/>
          <w:i w:val="false"/>
          <w:iCs w:val="false"/>
        </w:rPr>
        <w:t xml:space="preserve">This document follows RFC 2119-style keyword conventions: MUST/MUST NOT denote a mandatory requirement; SHOULD/SHOULD NOT denote a strong recommendation that may be departed from with a documented reason; MAY denotes an optional capability.</w:t>
      </w:r>
    </w:p>
    <w:p>
      <w:pPr>
        <w:pStyle w:val="Heading2"/>
        <w:spacing w:after="100" w:before="220"/>
      </w:pPr>
      <w:r>
        <w:rPr>
          <w:b/>
          <w:bCs/>
        </w:rPr>
        <w:t xml:space="preserve">Module prefixes used in this document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tblHeader/>
        </w:trPr>
        <w:tc>
          <w:tcPr>
            <w:tcW w:type="dxa" w:w="2500"/>
            <w:shd w:fill="1F3864" w:val="clear"/>
            <w:tcMar>
              <w:top w:type="dxa" w:w="60"/>
              <w:left w:type="dxa" w:w="100"/>
              <w:bottom w:type="dxa" w:w="60"/>
              <w:right w:type="dxa" w:w="100"/>
            </w:tcMar>
            <w:vAlign w:val="center"/>
          </w:tcPr>
          <w:p>
            <w:r>
              <w:rPr>
                <w:b/>
                <w:bCs/>
                <w:color w:val="FFFFFF"/>
                <w:sz w:val="20"/>
                <w:szCs w:val="20"/>
              </w:rPr>
              <w:t xml:space="preserve">Prefix</w:t>
            </w:r>
          </w:p>
        </w:tc>
        <w:tc>
          <w:tcPr>
            <w:tcW w:type="dxa" w:w="6850"/>
            <w:shd w:fill="1F3864" w:val="clear"/>
            <w:tcMar>
              <w:top w:type="dxa" w:w="60"/>
              <w:left w:type="dxa" w:w="100"/>
              <w:bottom w:type="dxa" w:w="60"/>
              <w:right w:type="dxa" w:w="100"/>
            </w:tcMar>
            <w:vAlign w:val="center"/>
          </w:tcPr>
          <w:p>
            <w:r>
              <w:rPr>
                <w:b/>
                <w:bCs/>
                <w:color w:val="FFFFFF"/>
                <w:sz w:val="20"/>
                <w:szCs w:val="20"/>
              </w:rPr>
              <w:t xml:space="preserve">Module</w:t>
            </w:r>
          </w:p>
        </w:tc>
      </w:tr>
      <w:tr>
        <w:tc>
          <w:tcPr>
            <w:tcW w:type="dxa" w:w="2500"/>
            <w:tcMar>
              <w:top w:type="dxa" w:w="60"/>
              <w:left w:type="dxa" w:w="100"/>
              <w:bottom w:type="dxa" w:w="60"/>
              <w:right w:type="dxa" w:w="100"/>
            </w:tcMar>
            <w:vAlign w:val="center"/>
          </w:tcPr>
          <w:p>
            <w:r>
              <w:rPr>
                <w:b w:val="false"/>
                <w:bCs w:val="false"/>
                <w:sz w:val="20"/>
                <w:szCs w:val="20"/>
              </w:rPr>
              <w:t xml:space="preserve">ADM</w:t>
            </w:r>
          </w:p>
        </w:tc>
        <w:tc>
          <w:tcPr>
            <w:tcW w:type="dxa" w:w="6850"/>
            <w:tcMar>
              <w:top w:type="dxa" w:w="60"/>
              <w:left w:type="dxa" w:w="100"/>
              <w:bottom w:type="dxa" w:w="60"/>
              <w:right w:type="dxa" w:w="100"/>
            </w:tcMar>
            <w:vAlign w:val="center"/>
          </w:tcPr>
          <w:p>
            <w:r>
              <w:rPr>
                <w:b w:val="false"/>
                <w:bCs w:val="false"/>
                <w:sz w:val="20"/>
                <w:szCs w:val="20"/>
              </w:rPr>
              <w:t xml:space="preserve">Admissions</w:t>
            </w:r>
          </w:p>
        </w:tc>
      </w:tr>
      <w:tr>
        <w:tc>
          <w:tcPr>
            <w:tcW w:type="dxa" w:w="2500"/>
            <w:shd w:fill="DCE6F1" w:val="clear"/>
            <w:tcMar>
              <w:top w:type="dxa" w:w="60"/>
              <w:left w:type="dxa" w:w="100"/>
              <w:bottom w:type="dxa" w:w="60"/>
              <w:right w:type="dxa" w:w="100"/>
            </w:tcMar>
            <w:vAlign w:val="center"/>
          </w:tcPr>
          <w:p>
            <w:r>
              <w:rPr>
                <w:b w:val="false"/>
                <w:bCs w:val="false"/>
                <w:sz w:val="20"/>
                <w:szCs w:val="20"/>
              </w:rPr>
              <w:t xml:space="preserve">STU</w:t>
            </w:r>
          </w:p>
        </w:tc>
        <w:tc>
          <w:tcPr>
            <w:tcW w:type="dxa" w:w="6850"/>
            <w:shd w:fill="DCE6F1" w:val="clear"/>
            <w:tcMar>
              <w:top w:type="dxa" w:w="60"/>
              <w:left w:type="dxa" w:w="100"/>
              <w:bottom w:type="dxa" w:w="60"/>
              <w:right w:type="dxa" w:w="100"/>
            </w:tcMar>
            <w:vAlign w:val="center"/>
          </w:tcPr>
          <w:p>
            <w:r>
              <w:rPr>
                <w:b w:val="false"/>
                <w:bCs w:val="false"/>
                <w:sz w:val="20"/>
                <w:szCs w:val="20"/>
              </w:rPr>
              <w:t xml:space="preserve">Student Lifecycle</w:t>
            </w:r>
          </w:p>
        </w:tc>
      </w:tr>
      <w:tr>
        <w:tc>
          <w:tcPr>
            <w:tcW w:type="dxa" w:w="2500"/>
            <w:tcMar>
              <w:top w:type="dxa" w:w="60"/>
              <w:left w:type="dxa" w:w="100"/>
              <w:bottom w:type="dxa" w:w="60"/>
              <w:right w:type="dxa" w:w="100"/>
            </w:tcMar>
            <w:vAlign w:val="center"/>
          </w:tcPr>
          <w:p>
            <w:r>
              <w:rPr>
                <w:b w:val="false"/>
                <w:bCs w:val="false"/>
                <w:sz w:val="20"/>
                <w:szCs w:val="20"/>
              </w:rPr>
              <w:t xml:space="preserve">ACA</w:t>
            </w:r>
          </w:p>
        </w:tc>
        <w:tc>
          <w:tcPr>
            <w:tcW w:type="dxa" w:w="6850"/>
            <w:tcMar>
              <w:top w:type="dxa" w:w="60"/>
              <w:left w:type="dxa" w:w="100"/>
              <w:bottom w:type="dxa" w:w="60"/>
              <w:right w:type="dxa" w:w="100"/>
            </w:tcMar>
            <w:vAlign w:val="center"/>
          </w:tcPr>
          <w:p>
            <w:r>
              <w:rPr>
                <w:b w:val="false"/>
                <w:bCs w:val="false"/>
                <w:sz w:val="20"/>
                <w:szCs w:val="20"/>
              </w:rPr>
              <w:t xml:space="preserve">Academic Structure</w:t>
            </w:r>
          </w:p>
        </w:tc>
      </w:tr>
      <w:tr>
        <w:tc>
          <w:tcPr>
            <w:tcW w:type="dxa" w:w="2500"/>
            <w:shd w:fill="DCE6F1" w:val="clear"/>
            <w:tcMar>
              <w:top w:type="dxa" w:w="60"/>
              <w:left w:type="dxa" w:w="100"/>
              <w:bottom w:type="dxa" w:w="60"/>
              <w:right w:type="dxa" w:w="100"/>
            </w:tcMar>
            <w:vAlign w:val="center"/>
          </w:tcPr>
          <w:p>
            <w:r>
              <w:rPr>
                <w:b w:val="false"/>
                <w:bCs w:val="false"/>
                <w:sz w:val="20"/>
                <w:szCs w:val="20"/>
              </w:rPr>
              <w:t xml:space="preserve">ATT</w:t>
            </w:r>
          </w:p>
        </w:tc>
        <w:tc>
          <w:tcPr>
            <w:tcW w:type="dxa" w:w="6850"/>
            <w:shd w:fill="DCE6F1" w:val="clear"/>
            <w:tcMar>
              <w:top w:type="dxa" w:w="60"/>
              <w:left w:type="dxa" w:w="100"/>
              <w:bottom w:type="dxa" w:w="60"/>
              <w:right w:type="dxa" w:w="100"/>
            </w:tcMar>
            <w:vAlign w:val="center"/>
          </w:tcPr>
          <w:p>
            <w:r>
              <w:rPr>
                <w:b w:val="false"/>
                <w:bCs w:val="false"/>
                <w:sz w:val="20"/>
                <w:szCs w:val="20"/>
              </w:rPr>
              <w:t xml:space="preserve">Attendance</w:t>
            </w:r>
          </w:p>
        </w:tc>
      </w:tr>
      <w:tr>
        <w:tc>
          <w:tcPr>
            <w:tcW w:type="dxa" w:w="2500"/>
            <w:tcMar>
              <w:top w:type="dxa" w:w="60"/>
              <w:left w:type="dxa" w:w="100"/>
              <w:bottom w:type="dxa" w:w="60"/>
              <w:right w:type="dxa" w:w="100"/>
            </w:tcMar>
            <w:vAlign w:val="center"/>
          </w:tcPr>
          <w:p>
            <w:r>
              <w:rPr>
                <w:b w:val="false"/>
                <w:bCs w:val="false"/>
                <w:sz w:val="20"/>
                <w:szCs w:val="20"/>
              </w:rPr>
              <w:t xml:space="preserve">ASM</w:t>
            </w:r>
          </w:p>
        </w:tc>
        <w:tc>
          <w:tcPr>
            <w:tcW w:type="dxa" w:w="6850"/>
            <w:tcMar>
              <w:top w:type="dxa" w:w="60"/>
              <w:left w:type="dxa" w:w="100"/>
              <w:bottom w:type="dxa" w:w="60"/>
              <w:right w:type="dxa" w:w="100"/>
            </w:tcMar>
            <w:vAlign w:val="center"/>
          </w:tcPr>
          <w:p>
            <w:r>
              <w:rPr>
                <w:b w:val="false"/>
                <w:bCs w:val="false"/>
                <w:sz w:val="20"/>
                <w:szCs w:val="20"/>
              </w:rPr>
              <w:t xml:space="preserve">Assessment</w:t>
            </w:r>
          </w:p>
        </w:tc>
      </w:tr>
      <w:tr>
        <w:tc>
          <w:tcPr>
            <w:tcW w:type="dxa" w:w="2500"/>
            <w:shd w:fill="DCE6F1" w:val="clear"/>
            <w:tcMar>
              <w:top w:type="dxa" w:w="60"/>
              <w:left w:type="dxa" w:w="100"/>
              <w:bottom w:type="dxa" w:w="60"/>
              <w:right w:type="dxa" w:w="100"/>
            </w:tcMar>
            <w:vAlign w:val="center"/>
          </w:tcPr>
          <w:p>
            <w:r>
              <w:rPr>
                <w:b w:val="false"/>
                <w:bCs w:val="false"/>
                <w:sz w:val="20"/>
                <w:szCs w:val="20"/>
              </w:rPr>
              <w:t xml:space="preserve">GRA</w:t>
            </w:r>
          </w:p>
        </w:tc>
        <w:tc>
          <w:tcPr>
            <w:tcW w:type="dxa" w:w="6850"/>
            <w:shd w:fill="DCE6F1" w:val="clear"/>
            <w:tcMar>
              <w:top w:type="dxa" w:w="60"/>
              <w:left w:type="dxa" w:w="100"/>
              <w:bottom w:type="dxa" w:w="60"/>
              <w:right w:type="dxa" w:w="100"/>
            </w:tcMar>
            <w:vAlign w:val="center"/>
          </w:tcPr>
          <w:p>
            <w:r>
              <w:rPr>
                <w:b w:val="false"/>
                <w:bCs w:val="false"/>
                <w:sz w:val="20"/>
                <w:szCs w:val="20"/>
              </w:rPr>
              <w:t xml:space="preserve">Grading Engine</w:t>
            </w:r>
          </w:p>
        </w:tc>
      </w:tr>
      <w:tr>
        <w:tc>
          <w:tcPr>
            <w:tcW w:type="dxa" w:w="2500"/>
            <w:tcMar>
              <w:top w:type="dxa" w:w="60"/>
              <w:left w:type="dxa" w:w="100"/>
              <w:bottom w:type="dxa" w:w="60"/>
              <w:right w:type="dxa" w:w="100"/>
            </w:tcMar>
            <w:vAlign w:val="center"/>
          </w:tcPr>
          <w:p>
            <w:r>
              <w:rPr>
                <w:b w:val="false"/>
                <w:bCs w:val="false"/>
                <w:sz w:val="20"/>
                <w:szCs w:val="20"/>
              </w:rPr>
              <w:t xml:space="preserve">RES</w:t>
            </w:r>
          </w:p>
        </w:tc>
        <w:tc>
          <w:tcPr>
            <w:tcW w:type="dxa" w:w="6850"/>
            <w:tcMar>
              <w:top w:type="dxa" w:w="60"/>
              <w:left w:type="dxa" w:w="100"/>
              <w:bottom w:type="dxa" w:w="60"/>
              <w:right w:type="dxa" w:w="100"/>
            </w:tcMar>
            <w:vAlign w:val="center"/>
          </w:tcPr>
          <w:p>
            <w:r>
              <w:rPr>
                <w:b w:val="false"/>
                <w:bCs w:val="false"/>
                <w:sz w:val="20"/>
                <w:szCs w:val="20"/>
              </w:rPr>
              <w:t xml:space="preserve">Results Management</w:t>
            </w:r>
          </w:p>
        </w:tc>
      </w:tr>
      <w:tr>
        <w:tc>
          <w:tcPr>
            <w:tcW w:type="dxa" w:w="2500"/>
            <w:shd w:fill="DCE6F1" w:val="clear"/>
            <w:tcMar>
              <w:top w:type="dxa" w:w="60"/>
              <w:left w:type="dxa" w:w="100"/>
              <w:bottom w:type="dxa" w:w="60"/>
              <w:right w:type="dxa" w:w="100"/>
            </w:tcMar>
            <w:vAlign w:val="center"/>
          </w:tcPr>
          <w:p>
            <w:r>
              <w:rPr>
                <w:b w:val="false"/>
                <w:bCs w:val="false"/>
                <w:sz w:val="20"/>
                <w:szCs w:val="20"/>
              </w:rPr>
              <w:t xml:space="preserve">DOC</w:t>
            </w:r>
          </w:p>
        </w:tc>
        <w:tc>
          <w:tcPr>
            <w:tcW w:type="dxa" w:w="6850"/>
            <w:shd w:fill="DCE6F1" w:val="clear"/>
            <w:tcMar>
              <w:top w:type="dxa" w:w="60"/>
              <w:left w:type="dxa" w:w="100"/>
              <w:bottom w:type="dxa" w:w="60"/>
              <w:right w:type="dxa" w:w="100"/>
            </w:tcMar>
            <w:vAlign w:val="center"/>
          </w:tcPr>
          <w:p>
            <w:r>
              <w:rPr>
                <w:b w:val="false"/>
                <w:bCs w:val="false"/>
                <w:sz w:val="20"/>
                <w:szCs w:val="20"/>
              </w:rPr>
              <w:t xml:space="preserve">Documents &amp; Certification</w:t>
            </w:r>
          </w:p>
        </w:tc>
      </w:tr>
      <w:tr>
        <w:tc>
          <w:tcPr>
            <w:tcW w:type="dxa" w:w="2500"/>
            <w:tcMar>
              <w:top w:type="dxa" w:w="60"/>
              <w:left w:type="dxa" w:w="100"/>
              <w:bottom w:type="dxa" w:w="60"/>
              <w:right w:type="dxa" w:w="100"/>
            </w:tcMar>
            <w:vAlign w:val="center"/>
          </w:tcPr>
          <w:p>
            <w:r>
              <w:rPr>
                <w:b w:val="false"/>
                <w:bCs w:val="false"/>
                <w:sz w:val="20"/>
                <w:szCs w:val="20"/>
              </w:rPr>
              <w:t xml:space="preserve">PRO</w:t>
            </w:r>
          </w:p>
        </w:tc>
        <w:tc>
          <w:tcPr>
            <w:tcW w:type="dxa" w:w="6850"/>
            <w:tcMar>
              <w:top w:type="dxa" w:w="60"/>
              <w:left w:type="dxa" w:w="100"/>
              <w:bottom w:type="dxa" w:w="60"/>
              <w:right w:type="dxa" w:w="100"/>
            </w:tcMar>
            <w:vAlign w:val="center"/>
          </w:tcPr>
          <w:p>
            <w:r>
              <w:rPr>
                <w:b w:val="false"/>
                <w:bCs w:val="false"/>
                <w:sz w:val="20"/>
                <w:szCs w:val="20"/>
              </w:rPr>
              <w:t xml:space="preserve">Promotion &amp; Completion</w:t>
            </w:r>
          </w:p>
        </w:tc>
      </w:tr>
      <w:tr>
        <w:tc>
          <w:tcPr>
            <w:tcW w:type="dxa" w:w="2500"/>
            <w:shd w:fill="DCE6F1" w:val="clear"/>
            <w:tcMar>
              <w:top w:type="dxa" w:w="60"/>
              <w:left w:type="dxa" w:w="100"/>
              <w:bottom w:type="dxa" w:w="60"/>
              <w:right w:type="dxa" w:w="100"/>
            </w:tcMar>
            <w:vAlign w:val="center"/>
          </w:tcPr>
          <w:p>
            <w:r>
              <w:rPr>
                <w:b w:val="false"/>
                <w:bCs w:val="false"/>
                <w:sz w:val="20"/>
                <w:szCs w:val="20"/>
              </w:rPr>
              <w:t xml:space="preserve">FIN</w:t>
            </w:r>
          </w:p>
        </w:tc>
        <w:tc>
          <w:tcPr>
            <w:tcW w:type="dxa" w:w="6850"/>
            <w:shd w:fill="DCE6F1" w:val="clear"/>
            <w:tcMar>
              <w:top w:type="dxa" w:w="60"/>
              <w:left w:type="dxa" w:w="100"/>
              <w:bottom w:type="dxa" w:w="60"/>
              <w:right w:type="dxa" w:w="100"/>
            </w:tcMar>
            <w:vAlign w:val="center"/>
          </w:tcPr>
          <w:p>
            <w:r>
              <w:rPr>
                <w:b w:val="false"/>
                <w:bCs w:val="false"/>
                <w:sz w:val="20"/>
                <w:szCs w:val="20"/>
              </w:rPr>
              <w:t xml:space="preserve">Financial Management</w:t>
            </w:r>
          </w:p>
        </w:tc>
      </w:tr>
      <w:tr>
        <w:tc>
          <w:tcPr>
            <w:tcW w:type="dxa" w:w="2500"/>
            <w:tcMar>
              <w:top w:type="dxa" w:w="60"/>
              <w:left w:type="dxa" w:w="100"/>
              <w:bottom w:type="dxa" w:w="60"/>
              <w:right w:type="dxa" w:w="100"/>
            </w:tcMar>
            <w:vAlign w:val="center"/>
          </w:tcPr>
          <w:p>
            <w:r>
              <w:rPr>
                <w:b w:val="false"/>
                <w:bCs w:val="false"/>
                <w:sz w:val="20"/>
                <w:szCs w:val="20"/>
              </w:rPr>
              <w:t xml:space="preserve">FEE</w:t>
            </w:r>
          </w:p>
        </w:tc>
        <w:tc>
          <w:tcPr>
            <w:tcW w:type="dxa" w:w="6850"/>
            <w:tcMar>
              <w:top w:type="dxa" w:w="60"/>
              <w:left w:type="dxa" w:w="100"/>
              <w:bottom w:type="dxa" w:w="60"/>
              <w:right w:type="dxa" w:w="100"/>
            </w:tcMar>
            <w:vAlign w:val="center"/>
          </w:tcPr>
          <w:p>
            <w:r>
              <w:rPr>
                <w:b w:val="false"/>
                <w:bCs w:val="false"/>
                <w:sz w:val="20"/>
                <w:szCs w:val="20"/>
              </w:rPr>
              <w:t xml:space="preserve">Fee Structure &amp; Billing</w:t>
            </w:r>
          </w:p>
        </w:tc>
      </w:tr>
      <w:tr>
        <w:tc>
          <w:tcPr>
            <w:tcW w:type="dxa" w:w="2500"/>
            <w:shd w:fill="DCE6F1" w:val="clear"/>
            <w:tcMar>
              <w:top w:type="dxa" w:w="60"/>
              <w:left w:type="dxa" w:w="100"/>
              <w:bottom w:type="dxa" w:w="60"/>
              <w:right w:type="dxa" w:w="100"/>
            </w:tcMar>
            <w:vAlign w:val="center"/>
          </w:tcPr>
          <w:p>
            <w:r>
              <w:rPr>
                <w:b w:val="false"/>
                <w:bCs w:val="false"/>
                <w:sz w:val="20"/>
                <w:szCs w:val="20"/>
              </w:rPr>
              <w:t xml:space="preserve">PAY</w:t>
            </w:r>
          </w:p>
        </w:tc>
        <w:tc>
          <w:tcPr>
            <w:tcW w:type="dxa" w:w="6850"/>
            <w:shd w:fill="DCE6F1" w:val="clear"/>
            <w:tcMar>
              <w:top w:type="dxa" w:w="60"/>
              <w:left w:type="dxa" w:w="100"/>
              <w:bottom w:type="dxa" w:w="60"/>
              <w:right w:type="dxa" w:w="100"/>
            </w:tcMar>
            <w:vAlign w:val="center"/>
          </w:tcPr>
          <w:p>
            <w:r>
              <w:rPr>
                <w:b w:val="false"/>
                <w:bCs w:val="false"/>
                <w:sz w:val="20"/>
                <w:szCs w:val="20"/>
              </w:rPr>
              <w:t xml:space="preserve">Payments, Allocation &amp; Receipts</w:t>
            </w:r>
          </w:p>
        </w:tc>
      </w:tr>
      <w:tr>
        <w:tc>
          <w:tcPr>
            <w:tcW w:type="dxa" w:w="2500"/>
            <w:tcMar>
              <w:top w:type="dxa" w:w="60"/>
              <w:left w:type="dxa" w:w="100"/>
              <w:bottom w:type="dxa" w:w="60"/>
              <w:right w:type="dxa" w:w="100"/>
            </w:tcMar>
            <w:vAlign w:val="center"/>
          </w:tcPr>
          <w:p>
            <w:r>
              <w:rPr>
                <w:b w:val="false"/>
                <w:bCs w:val="false"/>
                <w:sz w:val="20"/>
                <w:szCs w:val="20"/>
              </w:rPr>
              <w:t xml:space="preserve">COM</w:t>
            </w:r>
          </w:p>
        </w:tc>
        <w:tc>
          <w:tcPr>
            <w:tcW w:type="dxa" w:w="6850"/>
            <w:tcMar>
              <w:top w:type="dxa" w:w="60"/>
              <w:left w:type="dxa" w:w="100"/>
              <w:bottom w:type="dxa" w:w="60"/>
              <w:right w:type="dxa" w:w="100"/>
            </w:tcMar>
            <w:vAlign w:val="center"/>
          </w:tcPr>
          <w:p>
            <w:r>
              <w:rPr>
                <w:b w:val="false"/>
                <w:bCs w:val="false"/>
                <w:sz w:val="20"/>
                <w:szCs w:val="20"/>
              </w:rPr>
              <w:t xml:space="preserve">Communication &amp; Notification</w:t>
            </w:r>
          </w:p>
        </w:tc>
      </w:tr>
      <w:tr>
        <w:tc>
          <w:tcPr>
            <w:tcW w:type="dxa" w:w="2500"/>
            <w:shd w:fill="DCE6F1" w:val="clear"/>
            <w:tcMar>
              <w:top w:type="dxa" w:w="60"/>
              <w:left w:type="dxa" w:w="100"/>
              <w:bottom w:type="dxa" w:w="60"/>
              <w:right w:type="dxa" w:w="100"/>
            </w:tcMar>
            <w:vAlign w:val="center"/>
          </w:tcPr>
          <w:p>
            <w:r>
              <w:rPr>
                <w:b w:val="false"/>
                <w:bCs w:val="false"/>
                <w:sz w:val="20"/>
                <w:szCs w:val="20"/>
              </w:rPr>
              <w:t xml:space="preserve">ANL</w:t>
            </w:r>
          </w:p>
        </w:tc>
        <w:tc>
          <w:tcPr>
            <w:tcW w:type="dxa" w:w="6850"/>
            <w:shd w:fill="DCE6F1" w:val="clear"/>
            <w:tcMar>
              <w:top w:type="dxa" w:w="60"/>
              <w:left w:type="dxa" w:w="100"/>
              <w:bottom w:type="dxa" w:w="60"/>
              <w:right w:type="dxa" w:w="100"/>
            </w:tcMar>
            <w:vAlign w:val="center"/>
          </w:tcPr>
          <w:p>
            <w:r>
              <w:rPr>
                <w:b w:val="false"/>
                <w:bCs w:val="false"/>
                <w:sz w:val="20"/>
                <w:szCs w:val="20"/>
              </w:rPr>
              <w:t xml:space="preserve">Analytics &amp; Intelligence</w:t>
            </w:r>
          </w:p>
        </w:tc>
      </w:tr>
      <w:tr>
        <w:tc>
          <w:tcPr>
            <w:tcW w:type="dxa" w:w="2500"/>
            <w:tcMar>
              <w:top w:type="dxa" w:w="60"/>
              <w:left w:type="dxa" w:w="100"/>
              <w:bottom w:type="dxa" w:w="60"/>
              <w:right w:type="dxa" w:w="100"/>
            </w:tcMar>
            <w:vAlign w:val="center"/>
          </w:tcPr>
          <w:p>
            <w:r>
              <w:rPr>
                <w:b w:val="false"/>
                <w:bCs w:val="false"/>
                <w:sz w:val="20"/>
                <w:szCs w:val="20"/>
              </w:rPr>
              <w:t xml:space="preserve">OPS</w:t>
            </w:r>
          </w:p>
        </w:tc>
        <w:tc>
          <w:tcPr>
            <w:tcW w:type="dxa" w:w="6850"/>
            <w:tcMar>
              <w:top w:type="dxa" w:w="60"/>
              <w:left w:type="dxa" w:w="100"/>
              <w:bottom w:type="dxa" w:w="60"/>
              <w:right w:type="dxa" w:w="100"/>
            </w:tcMar>
            <w:vAlign w:val="center"/>
          </w:tcPr>
          <w:p>
            <w:r>
              <w:rPr>
                <w:b w:val="false"/>
                <w:bCs w:val="false"/>
                <w:sz w:val="20"/>
                <w:szCs w:val="20"/>
              </w:rPr>
              <w:t xml:space="preserve">Supporting Operations</w:t>
            </w:r>
          </w:p>
        </w:tc>
      </w:tr>
      <w:tr>
        <w:tc>
          <w:tcPr>
            <w:tcW w:type="dxa" w:w="2500"/>
            <w:shd w:fill="DCE6F1" w:val="clear"/>
            <w:tcMar>
              <w:top w:type="dxa" w:w="60"/>
              <w:left w:type="dxa" w:w="100"/>
              <w:bottom w:type="dxa" w:w="60"/>
              <w:right w:type="dxa" w:w="100"/>
            </w:tcMar>
            <w:vAlign w:val="center"/>
          </w:tcPr>
          <w:p>
            <w:r>
              <w:rPr>
                <w:b w:val="false"/>
                <w:bCs w:val="false"/>
                <w:sz w:val="20"/>
                <w:szCs w:val="20"/>
              </w:rPr>
              <w:t xml:space="preserve">SEC</w:t>
            </w:r>
          </w:p>
        </w:tc>
        <w:tc>
          <w:tcPr>
            <w:tcW w:type="dxa" w:w="6850"/>
            <w:shd w:fill="DCE6F1" w:val="clear"/>
            <w:tcMar>
              <w:top w:type="dxa" w:w="60"/>
              <w:left w:type="dxa" w:w="100"/>
              <w:bottom w:type="dxa" w:w="60"/>
              <w:right w:type="dxa" w:w="100"/>
            </w:tcMar>
            <w:vAlign w:val="center"/>
          </w:tcPr>
          <w:p>
            <w:r>
              <w:rPr>
                <w:b w:val="false"/>
                <w:bCs w:val="false"/>
                <w:sz w:val="20"/>
                <w:szCs w:val="20"/>
              </w:rPr>
              <w:t xml:space="preserve">Security</w:t>
            </w:r>
          </w:p>
        </w:tc>
      </w:tr>
      <w:tr>
        <w:tc>
          <w:tcPr>
            <w:tcW w:type="dxa" w:w="2500"/>
            <w:tcMar>
              <w:top w:type="dxa" w:w="60"/>
              <w:left w:type="dxa" w:w="100"/>
              <w:bottom w:type="dxa" w:w="60"/>
              <w:right w:type="dxa" w:w="100"/>
            </w:tcMar>
            <w:vAlign w:val="center"/>
          </w:tcPr>
          <w:p>
            <w:r>
              <w:rPr>
                <w:b w:val="false"/>
                <w:bCs w:val="false"/>
                <w:sz w:val="20"/>
                <w:szCs w:val="20"/>
              </w:rPr>
              <w:t xml:space="preserve">PERF</w:t>
            </w:r>
          </w:p>
        </w:tc>
        <w:tc>
          <w:tcPr>
            <w:tcW w:type="dxa" w:w="6850"/>
            <w:tcMar>
              <w:top w:type="dxa" w:w="60"/>
              <w:left w:type="dxa" w:w="100"/>
              <w:bottom w:type="dxa" w:w="60"/>
              <w:right w:type="dxa" w:w="100"/>
            </w:tcMar>
            <w:vAlign w:val="center"/>
          </w:tcPr>
          <w:p>
            <w:r>
              <w:rPr>
                <w:b w:val="false"/>
                <w:bCs w:val="false"/>
                <w:sz w:val="20"/>
                <w:szCs w:val="20"/>
              </w:rPr>
              <w:t xml:space="preserve">Performance &amp; Scalability</w:t>
            </w:r>
          </w:p>
        </w:tc>
      </w:tr>
      <w:tr>
        <w:tc>
          <w:tcPr>
            <w:tcW w:type="dxa" w:w="2500"/>
            <w:shd w:fill="DCE6F1" w:val="clear"/>
            <w:tcMar>
              <w:top w:type="dxa" w:w="60"/>
              <w:left w:type="dxa" w:w="100"/>
              <w:bottom w:type="dxa" w:w="60"/>
              <w:right w:type="dxa" w:w="100"/>
            </w:tcMar>
            <w:vAlign w:val="center"/>
          </w:tcPr>
          <w:p>
            <w:r>
              <w:rPr>
                <w:b w:val="false"/>
                <w:bCs w:val="false"/>
                <w:sz w:val="20"/>
                <w:szCs w:val="20"/>
              </w:rPr>
              <w:t xml:space="preserve">AVAIL</w:t>
            </w:r>
          </w:p>
        </w:tc>
        <w:tc>
          <w:tcPr>
            <w:tcW w:type="dxa" w:w="6850"/>
            <w:shd w:fill="DCE6F1" w:val="clear"/>
            <w:tcMar>
              <w:top w:type="dxa" w:w="60"/>
              <w:left w:type="dxa" w:w="100"/>
              <w:bottom w:type="dxa" w:w="60"/>
              <w:right w:type="dxa" w:w="100"/>
            </w:tcMar>
            <w:vAlign w:val="center"/>
          </w:tcPr>
          <w:p>
            <w:r>
              <w:rPr>
                <w:b w:val="false"/>
                <w:bCs w:val="false"/>
                <w:sz w:val="20"/>
                <w:szCs w:val="20"/>
              </w:rPr>
              <w:t xml:space="preserve">Availability, Backup &amp; DR</w:t>
            </w:r>
          </w:p>
        </w:tc>
      </w:tr>
      <w:tr>
        <w:tc>
          <w:tcPr>
            <w:tcW w:type="dxa" w:w="2500"/>
            <w:tcMar>
              <w:top w:type="dxa" w:w="60"/>
              <w:left w:type="dxa" w:w="100"/>
              <w:bottom w:type="dxa" w:w="60"/>
              <w:right w:type="dxa" w:w="100"/>
            </w:tcMar>
            <w:vAlign w:val="center"/>
          </w:tcPr>
          <w:p>
            <w:r>
              <w:rPr>
                <w:b w:val="false"/>
                <w:bCs w:val="false"/>
                <w:sz w:val="20"/>
                <w:szCs w:val="20"/>
              </w:rPr>
              <w:t xml:space="preserve">ACC</w:t>
            </w:r>
          </w:p>
        </w:tc>
        <w:tc>
          <w:tcPr>
            <w:tcW w:type="dxa" w:w="6850"/>
            <w:tcMar>
              <w:top w:type="dxa" w:w="60"/>
              <w:left w:type="dxa" w:w="100"/>
              <w:bottom w:type="dxa" w:w="60"/>
              <w:right w:type="dxa" w:w="100"/>
            </w:tcMar>
            <w:vAlign w:val="center"/>
          </w:tcPr>
          <w:p>
            <w:r>
              <w:rPr>
                <w:b w:val="false"/>
                <w:bCs w:val="false"/>
                <w:sz w:val="20"/>
                <w:szCs w:val="20"/>
              </w:rPr>
              <w:t xml:space="preserve">Accessibility</w:t>
            </w:r>
          </w:p>
        </w:tc>
      </w:tr>
      <w:tr>
        <w:tc>
          <w:tcPr>
            <w:tcW w:type="dxa" w:w="2500"/>
            <w:shd w:fill="DCE6F1" w:val="clear"/>
            <w:tcMar>
              <w:top w:type="dxa" w:w="60"/>
              <w:left w:type="dxa" w:w="100"/>
              <w:bottom w:type="dxa" w:w="60"/>
              <w:right w:type="dxa" w:w="100"/>
            </w:tcMar>
            <w:vAlign w:val="center"/>
          </w:tcPr>
          <w:p>
            <w:r>
              <w:rPr>
                <w:b w:val="false"/>
                <w:bCs w:val="false"/>
                <w:sz w:val="20"/>
                <w:szCs w:val="20"/>
              </w:rPr>
              <w:t xml:space="preserve">API</w:t>
            </w:r>
          </w:p>
        </w:tc>
        <w:tc>
          <w:tcPr>
            <w:tcW w:type="dxa" w:w="6850"/>
            <w:shd w:fill="DCE6F1" w:val="clear"/>
            <w:tcMar>
              <w:top w:type="dxa" w:w="60"/>
              <w:left w:type="dxa" w:w="100"/>
              <w:bottom w:type="dxa" w:w="60"/>
              <w:right w:type="dxa" w:w="100"/>
            </w:tcMar>
            <w:vAlign w:val="center"/>
          </w:tcPr>
          <w:p>
            <w:r>
              <w:rPr>
                <w:b w:val="false"/>
                <w:bCs w:val="false"/>
                <w:sz w:val="20"/>
                <w:szCs w:val="20"/>
              </w:rPr>
              <w:t xml:space="preserve">API &amp; Integration</w:t>
            </w:r>
          </w:p>
        </w:tc>
      </w:tr>
    </w:tbl>
    <w:p>
      <w:pPr>
        <w:pStyle w:val="Heading1"/>
        <w:pageBreakBefore/>
        <w:spacing w:after="240"/>
      </w:pPr>
      <w:r>
        <w:rPr>
          <w:b/>
          <w:bCs/>
        </w:rPr>
        <w:t xml:space="preserve">Table of Contents</w:t>
      </w:r>
    </w:p>
    <w:p>
      <w:pPr>
        <w:spacing w:after="80" w:before="220"/>
      </w:pPr>
      <w:r>
        <w:rPr>
          <w:b/>
          <w:bCs/>
          <w:color w:val="1F3864"/>
          <w:sz w:val="23"/>
          <w:szCs w:val="23"/>
        </w:rPr>
        <w:t xml:space="preserve">Front Matter</w:t>
      </w:r>
    </w:p>
    <w:p>
      <w:pPr>
        <w:spacing w:after="50"/>
        <w:ind w:left="280"/>
      </w:pPr>
      <w:r>
        <w:rPr>
          <w:b/>
          <w:bCs/>
          <w:sz w:val="20"/>
          <w:szCs w:val="20"/>
        </w:rPr>
        <w:t xml:space="preserve">Chapter —   </w:t>
      </w:r>
      <w:r>
        <w:rPr>
          <w:sz w:val="20"/>
          <w:szCs w:val="20"/>
        </w:rPr>
        <w:t xml:space="preserve">Revision Summary, Universal Requirement Controls &amp; Reading Guide</w:t>
      </w:r>
    </w:p>
    <w:p>
      <w:pPr>
        <w:spacing w:after="80" w:before="220"/>
      </w:pPr>
      <w:r>
        <w:rPr>
          <w:b/>
          <w:bCs/>
          <w:color w:val="1F3864"/>
          <w:sz w:val="23"/>
          <w:szCs w:val="23"/>
        </w:rPr>
        <w:t xml:space="preserve">Volume 0 — Multi-Tenant Platform Architecture</w:t>
      </w:r>
    </w:p>
    <w:p>
      <w:pPr>
        <w:spacing w:after="50"/>
        <w:ind w:left="280"/>
      </w:pPr>
      <w:r>
        <w:rPr>
          <w:b/>
          <w:bCs/>
          <w:sz w:val="20"/>
          <w:szCs w:val="20"/>
        </w:rPr>
        <w:t xml:space="preserve">Chapter 1   </w:t>
      </w:r>
      <w:r>
        <w:rPr>
          <w:sz w:val="20"/>
          <w:szCs w:val="20"/>
        </w:rPr>
        <w:t xml:space="preserve">Platform Vision &amp; Tenancy Decision</w:t>
      </w:r>
    </w:p>
    <w:p>
      <w:pPr>
        <w:spacing w:after="50"/>
        <w:ind w:left="280"/>
      </w:pPr>
      <w:r>
        <w:rPr>
          <w:b/>
          <w:bCs/>
          <w:sz w:val="20"/>
          <w:szCs w:val="20"/>
        </w:rPr>
        <w:t xml:space="preserve">Chapter 2   </w:t>
      </w:r>
      <w:r>
        <w:rPr>
          <w:sz w:val="20"/>
          <w:szCs w:val="20"/>
        </w:rPr>
        <w:t xml:space="preserve">Tenant Domain Model &amp; Hierarchy</w:t>
      </w:r>
    </w:p>
    <w:p>
      <w:pPr>
        <w:spacing w:after="50"/>
        <w:ind w:left="280"/>
      </w:pPr>
      <w:r>
        <w:rPr>
          <w:b/>
          <w:bCs/>
          <w:sz w:val="20"/>
          <w:szCs w:val="20"/>
        </w:rPr>
        <w:t xml:space="preserve">Chapter 3   </w:t>
      </w:r>
      <w:r>
        <w:rPr>
          <w:sz w:val="20"/>
          <w:szCs w:val="20"/>
        </w:rPr>
        <w:t xml:space="preserve">Platform Roles &amp; Access</w:t>
      </w:r>
    </w:p>
    <w:p>
      <w:pPr>
        <w:spacing w:after="50"/>
        <w:ind w:left="280"/>
      </w:pPr>
      <w:r>
        <w:rPr>
          <w:b/>
          <w:bCs/>
          <w:sz w:val="20"/>
          <w:szCs w:val="20"/>
        </w:rPr>
        <w:t xml:space="preserve">Chapter 4   </w:t>
      </w:r>
      <w:r>
        <w:rPr>
          <w:sz w:val="20"/>
          <w:szCs w:val="20"/>
        </w:rPr>
        <w:t xml:space="preserve">Tenant Lifecycle</w:t>
      </w:r>
    </w:p>
    <w:p>
      <w:pPr>
        <w:spacing w:after="50"/>
        <w:ind w:left="280"/>
      </w:pPr>
      <w:r>
        <w:rPr>
          <w:b/>
          <w:bCs/>
          <w:sz w:val="20"/>
          <w:szCs w:val="20"/>
        </w:rPr>
        <w:t xml:space="preserve">Chapter 5   </w:t>
      </w:r>
      <w:r>
        <w:rPr>
          <w:sz w:val="20"/>
          <w:szCs w:val="20"/>
        </w:rPr>
        <w:t xml:space="preserve">Subscription, Billing &amp; Metering</w:t>
      </w:r>
    </w:p>
    <w:p>
      <w:pPr>
        <w:spacing w:after="50"/>
        <w:ind w:left="280"/>
      </w:pPr>
      <w:r>
        <w:rPr>
          <w:b/>
          <w:bCs/>
          <w:sz w:val="20"/>
          <w:szCs w:val="20"/>
        </w:rPr>
        <w:t xml:space="preserve">Chapter 6   </w:t>
      </w:r>
      <w:r>
        <w:rPr>
          <w:sz w:val="20"/>
          <w:szCs w:val="20"/>
        </w:rPr>
        <w:t xml:space="preserve">Tenant-Scoped Non-Functional Architecture</w:t>
      </w:r>
    </w:p>
    <w:p>
      <w:pPr>
        <w:spacing w:after="80" w:before="220"/>
      </w:pPr>
      <w:r>
        <w:rPr>
          <w:b/>
          <w:bCs/>
          <w:color w:val="1F3864"/>
          <w:sz w:val="23"/>
          <w:szCs w:val="23"/>
        </w:rPr>
        <w:t xml:space="preserve">Volume I — Enterprise Foundation</w:t>
      </w:r>
    </w:p>
    <w:p>
      <w:pPr>
        <w:spacing w:after="50"/>
        <w:ind w:left="280"/>
      </w:pPr>
      <w:r>
        <w:rPr>
          <w:b/>
          <w:bCs/>
          <w:sz w:val="20"/>
          <w:szCs w:val="20"/>
        </w:rPr>
        <w:t xml:space="preserve">Chapter 7   </w:t>
      </w:r>
      <w:r>
        <w:rPr>
          <w:sz w:val="20"/>
          <w:szCs w:val="20"/>
        </w:rPr>
        <w:t xml:space="preserve">Introduction &amp; Business Context</w:t>
      </w:r>
    </w:p>
    <w:p>
      <w:pPr>
        <w:spacing w:after="50"/>
        <w:ind w:left="280"/>
      </w:pPr>
      <w:r>
        <w:rPr>
          <w:b/>
          <w:bCs/>
          <w:sz w:val="20"/>
          <w:szCs w:val="20"/>
        </w:rPr>
        <w:t xml:space="preserve">Chapter 8   </w:t>
      </w:r>
      <w:r>
        <w:rPr>
          <w:sz w:val="20"/>
          <w:szCs w:val="20"/>
        </w:rPr>
        <w:t xml:space="preserve">Business Requirements</w:t>
      </w:r>
    </w:p>
    <w:p>
      <w:pPr>
        <w:spacing w:after="50"/>
        <w:ind w:left="280"/>
      </w:pPr>
      <w:r>
        <w:rPr>
          <w:b/>
          <w:bCs/>
          <w:sz w:val="20"/>
          <w:szCs w:val="20"/>
        </w:rPr>
        <w:t xml:space="preserve">Chapter 9   </w:t>
      </w:r>
      <w:r>
        <w:rPr>
          <w:sz w:val="20"/>
          <w:szCs w:val="20"/>
        </w:rPr>
        <w:t xml:space="preserve">Enterprise Design Principles</w:t>
      </w:r>
    </w:p>
    <w:p>
      <w:pPr>
        <w:spacing w:after="50"/>
        <w:ind w:left="280"/>
      </w:pPr>
      <w:r>
        <w:rPr>
          <w:b/>
          <w:bCs/>
          <w:sz w:val="20"/>
          <w:szCs w:val="20"/>
        </w:rPr>
        <w:t xml:space="preserve">Chapter 10   </w:t>
      </w:r>
      <w:r>
        <w:rPr>
          <w:sz w:val="20"/>
          <w:szCs w:val="20"/>
        </w:rPr>
        <w:t xml:space="preserve">Enterprise System Architecture</w:t>
      </w:r>
    </w:p>
    <w:p>
      <w:pPr>
        <w:spacing w:after="50"/>
        <w:ind w:left="280"/>
      </w:pPr>
      <w:r>
        <w:rPr>
          <w:b/>
          <w:bCs/>
          <w:sz w:val="20"/>
          <w:szCs w:val="20"/>
        </w:rPr>
        <w:t xml:space="preserve">Chapter 11   </w:t>
      </w:r>
      <w:r>
        <w:rPr>
          <w:sz w:val="20"/>
          <w:szCs w:val="20"/>
        </w:rPr>
        <w:t xml:space="preserve">Master Data &amp; Enterprise Data Architecture</w:t>
      </w:r>
    </w:p>
    <w:p>
      <w:pPr>
        <w:spacing w:after="50"/>
        <w:ind w:left="280"/>
      </w:pPr>
      <w:r>
        <w:rPr>
          <w:b/>
          <w:bCs/>
          <w:sz w:val="20"/>
          <w:szCs w:val="20"/>
        </w:rPr>
        <w:t xml:space="preserve">Chapter 12   </w:t>
      </w:r>
      <w:r>
        <w:rPr>
          <w:sz w:val="20"/>
          <w:szCs w:val="20"/>
        </w:rPr>
        <w:t xml:space="preserve">Enterprise Business Rules Framework</w:t>
      </w:r>
    </w:p>
    <w:p>
      <w:pPr>
        <w:spacing w:after="50"/>
        <w:ind w:left="280"/>
      </w:pPr>
      <w:r>
        <w:rPr>
          <w:b/>
          <w:bCs/>
          <w:sz w:val="20"/>
          <w:szCs w:val="20"/>
        </w:rPr>
        <w:t xml:space="preserve">Chapter 13   </w:t>
      </w:r>
      <w:r>
        <w:rPr>
          <w:sz w:val="20"/>
          <w:szCs w:val="20"/>
        </w:rPr>
        <w:t xml:space="preserve">Roles, Responsibility, Authority &amp; Scope</w:t>
      </w:r>
    </w:p>
    <w:p>
      <w:pPr>
        <w:spacing w:after="50"/>
        <w:ind w:left="280"/>
      </w:pPr>
      <w:r>
        <w:rPr>
          <w:b/>
          <w:bCs/>
          <w:sz w:val="20"/>
          <w:szCs w:val="20"/>
        </w:rPr>
        <w:t xml:space="preserve">Chapter 14   </w:t>
      </w:r>
      <w:r>
        <w:rPr>
          <w:sz w:val="20"/>
          <w:szCs w:val="20"/>
        </w:rPr>
        <w:t xml:space="preserve">Operational Intelligence Framework</w:t>
      </w:r>
    </w:p>
    <w:p>
      <w:pPr>
        <w:spacing w:after="80" w:before="220"/>
      </w:pPr>
      <w:r>
        <w:rPr>
          <w:b/>
          <w:bCs/>
          <w:color w:val="1F3864"/>
          <w:sz w:val="23"/>
          <w:szCs w:val="23"/>
        </w:rPr>
        <w:t xml:space="preserve">Volume II — Academic &amp; Student Lifecycle</w:t>
      </w:r>
    </w:p>
    <w:p>
      <w:pPr>
        <w:spacing w:after="50"/>
        <w:ind w:left="280"/>
      </w:pPr>
      <w:r>
        <w:rPr>
          <w:b/>
          <w:bCs/>
          <w:sz w:val="20"/>
          <w:szCs w:val="20"/>
        </w:rPr>
        <w:t xml:space="preserve">Chapter 15   </w:t>
      </w:r>
      <w:r>
        <w:rPr>
          <w:sz w:val="20"/>
          <w:szCs w:val="20"/>
        </w:rPr>
        <w:t xml:space="preserve">Admissions Management</w:t>
      </w:r>
    </w:p>
    <w:p>
      <w:pPr>
        <w:spacing w:after="50"/>
        <w:ind w:left="280"/>
      </w:pPr>
      <w:r>
        <w:rPr>
          <w:b/>
          <w:bCs/>
          <w:sz w:val="20"/>
          <w:szCs w:val="20"/>
        </w:rPr>
        <w:t xml:space="preserve">Chapter 16   </w:t>
      </w:r>
      <w:r>
        <w:rPr>
          <w:sz w:val="20"/>
          <w:szCs w:val="20"/>
        </w:rPr>
        <w:t xml:space="preserve">Student Lifecycle Management</w:t>
      </w:r>
    </w:p>
    <w:p>
      <w:pPr>
        <w:spacing w:after="50"/>
        <w:ind w:left="280"/>
      </w:pPr>
      <w:r>
        <w:rPr>
          <w:b/>
          <w:bCs/>
          <w:sz w:val="20"/>
          <w:szCs w:val="20"/>
        </w:rPr>
        <w:t xml:space="preserve">Chapter 17   </w:t>
      </w:r>
      <w:r>
        <w:rPr>
          <w:sz w:val="20"/>
          <w:szCs w:val="20"/>
        </w:rPr>
        <w:t xml:space="preserve">Academic Management</w:t>
      </w:r>
    </w:p>
    <w:p>
      <w:pPr>
        <w:spacing w:after="50"/>
        <w:ind w:left="280"/>
      </w:pPr>
      <w:r>
        <w:rPr>
          <w:b/>
          <w:bCs/>
          <w:sz w:val="20"/>
          <w:szCs w:val="20"/>
        </w:rPr>
        <w:t xml:space="preserve">Chapter 18   </w:t>
      </w:r>
      <w:r>
        <w:rPr>
          <w:sz w:val="20"/>
          <w:szCs w:val="20"/>
        </w:rPr>
        <w:t xml:space="preserve">Attendance Management</w:t>
      </w:r>
    </w:p>
    <w:p>
      <w:pPr>
        <w:spacing w:after="50"/>
        <w:ind w:left="280"/>
      </w:pPr>
      <w:r>
        <w:rPr>
          <w:b/>
          <w:bCs/>
          <w:sz w:val="20"/>
          <w:szCs w:val="20"/>
        </w:rPr>
        <w:t xml:space="preserve">Chapter 19   </w:t>
      </w:r>
      <w:r>
        <w:rPr>
          <w:sz w:val="20"/>
          <w:szCs w:val="20"/>
        </w:rPr>
        <w:t xml:space="preserve">Assessment Management</w:t>
      </w:r>
    </w:p>
    <w:p>
      <w:pPr>
        <w:spacing w:after="50"/>
        <w:ind w:left="280"/>
      </w:pPr>
      <w:r>
        <w:rPr>
          <w:b/>
          <w:bCs/>
          <w:sz w:val="20"/>
          <w:szCs w:val="20"/>
        </w:rPr>
        <w:t xml:space="preserve">Chapter 20   </w:t>
      </w:r>
      <w:r>
        <w:rPr>
          <w:sz w:val="20"/>
          <w:szCs w:val="20"/>
        </w:rPr>
        <w:t xml:space="preserve">Enterprise Grading Engine</w:t>
      </w:r>
    </w:p>
    <w:p>
      <w:pPr>
        <w:spacing w:after="50"/>
        <w:ind w:left="280"/>
      </w:pPr>
      <w:r>
        <w:rPr>
          <w:b/>
          <w:bCs/>
          <w:sz w:val="20"/>
          <w:szCs w:val="20"/>
        </w:rPr>
        <w:t xml:space="preserve">Chapter 21   </w:t>
      </w:r>
      <w:r>
        <w:rPr>
          <w:sz w:val="20"/>
          <w:szCs w:val="20"/>
        </w:rPr>
        <w:t xml:space="preserve">Results Management Engine</w:t>
      </w:r>
    </w:p>
    <w:p>
      <w:pPr>
        <w:spacing w:after="50"/>
        <w:ind w:left="280"/>
      </w:pPr>
      <w:r>
        <w:rPr>
          <w:b/>
          <w:bCs/>
          <w:sz w:val="20"/>
          <w:szCs w:val="20"/>
        </w:rPr>
        <w:t xml:space="preserve">Chapter 22   </w:t>
      </w:r>
      <w:r>
        <w:rPr>
          <w:sz w:val="20"/>
          <w:szCs w:val="20"/>
        </w:rPr>
        <w:t xml:space="preserve">Document Engine &amp; Promotion / Completion</w:t>
      </w:r>
    </w:p>
    <w:p>
      <w:pPr>
        <w:spacing w:after="80" w:before="220"/>
      </w:pPr>
      <w:r>
        <w:rPr>
          <w:b/>
          <w:bCs/>
          <w:color w:val="1F3864"/>
          <w:sz w:val="23"/>
          <w:szCs w:val="23"/>
        </w:rPr>
        <w:t xml:space="preserve">Volume III — Finance, Communication &amp; Operations</w:t>
      </w:r>
    </w:p>
    <w:p>
      <w:pPr>
        <w:spacing w:after="50"/>
        <w:ind w:left="280"/>
      </w:pPr>
      <w:r>
        <w:rPr>
          <w:b/>
          <w:bCs/>
          <w:sz w:val="20"/>
          <w:szCs w:val="20"/>
        </w:rPr>
        <w:t xml:space="preserve">Chapter 23   </w:t>
      </w:r>
      <w:r>
        <w:rPr>
          <w:sz w:val="20"/>
          <w:szCs w:val="20"/>
        </w:rPr>
        <w:t xml:space="preserve">Enterprise Financial Management &amp; Fee Structures</w:t>
      </w:r>
    </w:p>
    <w:p>
      <w:pPr>
        <w:spacing w:after="50"/>
        <w:ind w:left="280"/>
      </w:pPr>
      <w:r>
        <w:rPr>
          <w:b/>
          <w:bCs/>
          <w:sz w:val="20"/>
          <w:szCs w:val="20"/>
        </w:rPr>
        <w:t xml:space="preserve">Chapter 24   </w:t>
      </w:r>
      <w:r>
        <w:rPr>
          <w:sz w:val="20"/>
          <w:szCs w:val="20"/>
        </w:rPr>
        <w:t xml:space="preserve">Invoicing, Payments, Allocation &amp; Receipts</w:t>
      </w:r>
    </w:p>
    <w:p>
      <w:pPr>
        <w:spacing w:after="50"/>
        <w:ind w:left="280"/>
      </w:pPr>
      <w:r>
        <w:rPr>
          <w:b/>
          <w:bCs/>
          <w:sz w:val="20"/>
          <w:szCs w:val="20"/>
        </w:rPr>
        <w:t xml:space="preserve">Chapter 25   </w:t>
      </w:r>
      <w:r>
        <w:rPr>
          <w:sz w:val="20"/>
          <w:szCs w:val="20"/>
        </w:rPr>
        <w:t xml:space="preserve">Financial Assistance, Reversals &amp; Reconciliation</w:t>
      </w:r>
    </w:p>
    <w:p>
      <w:pPr>
        <w:spacing w:after="50"/>
        <w:ind w:left="280"/>
      </w:pPr>
      <w:r>
        <w:rPr>
          <w:b/>
          <w:bCs/>
          <w:sz w:val="20"/>
          <w:szCs w:val="20"/>
        </w:rPr>
        <w:t xml:space="preserve">Chapter 26   </w:t>
      </w:r>
      <w:r>
        <w:rPr>
          <w:sz w:val="20"/>
          <w:szCs w:val="20"/>
        </w:rPr>
        <w:t xml:space="preserve">Communication &amp; Notification Centre</w:t>
      </w:r>
    </w:p>
    <w:p>
      <w:pPr>
        <w:spacing w:after="50"/>
        <w:ind w:left="280"/>
      </w:pPr>
      <w:r>
        <w:rPr>
          <w:b/>
          <w:bCs/>
          <w:sz w:val="20"/>
          <w:szCs w:val="20"/>
        </w:rPr>
        <w:t xml:space="preserve">Chapter 27   </w:t>
      </w:r>
      <w:r>
        <w:rPr>
          <w:sz w:val="20"/>
          <w:szCs w:val="20"/>
        </w:rPr>
        <w:t xml:space="preserve">Academic &amp; Operational Analytics</w:t>
      </w:r>
    </w:p>
    <w:p>
      <w:pPr>
        <w:spacing w:after="50"/>
        <w:ind w:left="280"/>
      </w:pPr>
      <w:r>
        <w:rPr>
          <w:b/>
          <w:bCs/>
          <w:sz w:val="20"/>
          <w:szCs w:val="20"/>
        </w:rPr>
        <w:t xml:space="preserve">Chapter 28   </w:t>
      </w:r>
      <w:r>
        <w:rPr>
          <w:sz w:val="20"/>
          <w:szCs w:val="20"/>
        </w:rPr>
        <w:t xml:space="preserve">Supporting Operations</w:t>
      </w:r>
    </w:p>
    <w:p>
      <w:pPr>
        <w:pageBreakBefore/>
      </w:pPr>
      <w:r>
        <w:t xml:space="preserve"/>
      </w:r>
    </w:p>
    <w:p>
      <w:pPr>
        <w:spacing w:after="80" w:before="220"/>
      </w:pPr>
      <w:r>
        <w:rPr>
          <w:b/>
          <w:bCs/>
          <w:color w:val="1F3864"/>
          <w:sz w:val="23"/>
          <w:szCs w:val="23"/>
        </w:rPr>
        <w:t xml:space="preserve">Volume IV — Technical Architecture</w:t>
      </w:r>
    </w:p>
    <w:p>
      <w:pPr>
        <w:spacing w:after="50"/>
        <w:ind w:left="280"/>
      </w:pPr>
      <w:r>
        <w:rPr>
          <w:b/>
          <w:bCs/>
          <w:sz w:val="20"/>
          <w:szCs w:val="20"/>
        </w:rPr>
        <w:t xml:space="preserve">Chapter 29   </w:t>
      </w:r>
      <w:r>
        <w:rPr>
          <w:sz w:val="20"/>
          <w:szCs w:val="20"/>
        </w:rPr>
        <w:t xml:space="preserve">Technology Stack &amp; Layered Architecture</w:t>
      </w:r>
    </w:p>
    <w:p>
      <w:pPr>
        <w:spacing w:after="50"/>
        <w:ind w:left="280"/>
      </w:pPr>
      <w:r>
        <w:rPr>
          <w:b/>
          <w:bCs/>
          <w:sz w:val="20"/>
          <w:szCs w:val="20"/>
        </w:rPr>
        <w:t xml:space="preserve">Chapter 30   </w:t>
      </w:r>
      <w:r>
        <w:rPr>
          <w:sz w:val="20"/>
          <w:szCs w:val="20"/>
        </w:rPr>
        <w:t xml:space="preserve">Database Architecture, Multi-Tenant Schema &amp; Migration</w:t>
      </w:r>
    </w:p>
    <w:p>
      <w:pPr>
        <w:spacing w:after="50"/>
        <w:ind w:left="280"/>
      </w:pPr>
      <w:r>
        <w:rPr>
          <w:b/>
          <w:bCs/>
          <w:sz w:val="20"/>
          <w:szCs w:val="20"/>
        </w:rPr>
        <w:t xml:space="preserve">Chapter 31   </w:t>
      </w:r>
      <w:r>
        <w:rPr>
          <w:sz w:val="20"/>
          <w:szCs w:val="20"/>
        </w:rPr>
        <w:t xml:space="preserve">Entity-Relationship Model &amp; Core Table Definitions</w:t>
      </w:r>
    </w:p>
    <w:p>
      <w:pPr>
        <w:spacing w:after="50"/>
        <w:ind w:left="280"/>
      </w:pPr>
      <w:r>
        <w:rPr>
          <w:b/>
          <w:bCs/>
          <w:sz w:val="20"/>
          <w:szCs w:val="20"/>
        </w:rPr>
        <w:t xml:space="preserve">Chapter 32   </w:t>
      </w:r>
      <w:r>
        <w:rPr>
          <w:sz w:val="20"/>
          <w:szCs w:val="20"/>
        </w:rPr>
        <w:t xml:space="preserve">API Architecture &amp; Service Contracts</w:t>
      </w:r>
    </w:p>
    <w:p>
      <w:pPr>
        <w:spacing w:after="50"/>
        <w:ind w:left="280"/>
      </w:pPr>
      <w:r>
        <w:rPr>
          <w:b/>
          <w:bCs/>
          <w:sz w:val="20"/>
          <w:szCs w:val="20"/>
        </w:rPr>
        <w:t xml:space="preserve">Chapter 33   </w:t>
      </w:r>
      <w:r>
        <w:rPr>
          <w:sz w:val="20"/>
          <w:szCs w:val="20"/>
        </w:rPr>
        <w:t xml:space="preserve">Application Security, Privacy &amp; Access Control</w:t>
      </w:r>
    </w:p>
    <w:p>
      <w:pPr>
        <w:spacing w:after="50"/>
        <w:ind w:left="280"/>
      </w:pPr>
      <w:r>
        <w:rPr>
          <w:b/>
          <w:bCs/>
          <w:sz w:val="20"/>
          <w:szCs w:val="20"/>
        </w:rPr>
        <w:t xml:space="preserve">Chapter 34   </w:t>
      </w:r>
      <w:r>
        <w:rPr>
          <w:sz w:val="20"/>
          <w:szCs w:val="20"/>
        </w:rPr>
        <w:t xml:space="preserve">Frontend Architecture, UX &amp; Offline/PWA Strategy</w:t>
      </w:r>
    </w:p>
    <w:p>
      <w:pPr>
        <w:spacing w:after="50"/>
        <w:ind w:left="280"/>
      </w:pPr>
      <w:r>
        <w:rPr>
          <w:b/>
          <w:bCs/>
          <w:sz w:val="20"/>
          <w:szCs w:val="20"/>
        </w:rPr>
        <w:t xml:space="preserve">Chapter 35   </w:t>
      </w:r>
      <w:r>
        <w:rPr>
          <w:sz w:val="20"/>
          <w:szCs w:val="20"/>
        </w:rPr>
        <w:t xml:space="preserve">Background Jobs, Reporting &amp; Integration Architecture</w:t>
      </w:r>
    </w:p>
    <w:p>
      <w:pPr>
        <w:spacing w:after="50"/>
        <w:ind w:left="280"/>
      </w:pPr>
      <w:r>
        <w:rPr>
          <w:b/>
          <w:bCs/>
          <w:sz w:val="20"/>
          <w:szCs w:val="20"/>
        </w:rPr>
        <w:t xml:space="preserve">Chapter 36   </w:t>
      </w:r>
      <w:r>
        <w:rPr>
          <w:sz w:val="20"/>
          <w:szCs w:val="20"/>
        </w:rPr>
        <w:t xml:space="preserve">External Integrations &amp; Provider Adapters</w:t>
      </w:r>
    </w:p>
    <w:p>
      <w:pPr>
        <w:spacing w:after="50"/>
        <w:ind w:left="280"/>
      </w:pPr>
      <w:r>
        <w:rPr>
          <w:b/>
          <w:bCs/>
          <w:sz w:val="20"/>
          <w:szCs w:val="20"/>
        </w:rPr>
        <w:t xml:space="preserve">Chapter 37   </w:t>
      </w:r>
      <w:r>
        <w:rPr>
          <w:sz w:val="20"/>
          <w:szCs w:val="20"/>
        </w:rPr>
        <w:t xml:space="preserve">Performance, Scalability, Reliability &amp; Observability</w:t>
      </w:r>
    </w:p>
    <w:p>
      <w:pPr>
        <w:spacing w:after="50"/>
        <w:ind w:left="280"/>
      </w:pPr>
      <w:r>
        <w:rPr>
          <w:b/>
          <w:bCs/>
          <w:sz w:val="20"/>
          <w:szCs w:val="20"/>
        </w:rPr>
        <w:t xml:space="preserve">Chapter 38   </w:t>
      </w:r>
      <w:r>
        <w:rPr>
          <w:sz w:val="20"/>
          <w:szCs w:val="20"/>
        </w:rPr>
        <w:t xml:space="preserve">Backup, DR, Testing, Deployment &amp; Release Management</w:t>
      </w:r>
    </w:p>
    <w:p>
      <w:pPr>
        <w:spacing w:after="80" w:before="220"/>
      </w:pPr>
      <w:r>
        <w:rPr>
          <w:b/>
          <w:bCs/>
          <w:color w:val="1F3864"/>
          <w:sz w:val="23"/>
          <w:szCs w:val="23"/>
        </w:rPr>
        <w:t xml:space="preserve">Volume V — Compliance &amp; Local Market Alignment</w:t>
      </w:r>
    </w:p>
    <w:p>
      <w:pPr>
        <w:spacing w:after="50"/>
        <w:ind w:left="280"/>
      </w:pPr>
      <w:r>
        <w:rPr>
          <w:b/>
          <w:bCs/>
          <w:sz w:val="20"/>
          <w:szCs w:val="20"/>
        </w:rPr>
        <w:t xml:space="preserve">Chapter 39   </w:t>
      </w:r>
      <w:r>
        <w:rPr>
          <w:sz w:val="20"/>
          <w:szCs w:val="20"/>
        </w:rPr>
        <w:t xml:space="preserve">Ghana Data Protection Act &amp; GDPR Alignment</w:t>
      </w:r>
    </w:p>
    <w:p>
      <w:pPr>
        <w:spacing w:after="50"/>
        <w:ind w:left="280"/>
      </w:pPr>
      <w:r>
        <w:rPr>
          <w:b/>
          <w:bCs/>
          <w:sz w:val="20"/>
          <w:szCs w:val="20"/>
        </w:rPr>
        <w:t xml:space="preserve">Chapter 40   </w:t>
      </w:r>
      <w:r>
        <w:rPr>
          <w:sz w:val="20"/>
          <w:szCs w:val="20"/>
        </w:rPr>
        <w:t xml:space="preserve">Consent, Retention &amp; Data Subject Rights</w:t>
      </w:r>
    </w:p>
    <w:p>
      <w:pPr>
        <w:spacing w:after="50"/>
        <w:ind w:left="280"/>
      </w:pPr>
      <w:r>
        <w:rPr>
          <w:b/>
          <w:bCs/>
          <w:sz w:val="20"/>
          <w:szCs w:val="20"/>
        </w:rPr>
        <w:t xml:space="preserve">Chapter 41   </w:t>
      </w:r>
      <w:r>
        <w:rPr>
          <w:sz w:val="20"/>
          <w:szCs w:val="20"/>
        </w:rPr>
        <w:t xml:space="preserve">NaCCA, BECE, GES &amp; CSSPS Alignment</w:t>
      </w:r>
    </w:p>
    <w:p>
      <w:pPr>
        <w:spacing w:after="50"/>
        <w:ind w:left="280"/>
      </w:pPr>
      <w:r>
        <w:rPr>
          <w:b/>
          <w:bCs/>
          <w:sz w:val="20"/>
          <w:szCs w:val="20"/>
        </w:rPr>
        <w:t xml:space="preserve">Chapter 42   </w:t>
      </w:r>
      <w:r>
        <w:rPr>
          <w:sz w:val="20"/>
          <w:szCs w:val="20"/>
        </w:rPr>
        <w:t xml:space="preserve">Accessibility &amp; Inclusive Design</w:t>
      </w:r>
    </w:p>
    <w:p>
      <w:pPr>
        <w:spacing w:after="80" w:before="220"/>
      </w:pPr>
      <w:r>
        <w:rPr>
          <w:b/>
          <w:bCs/>
          <w:color w:val="1F3864"/>
          <w:sz w:val="23"/>
          <w:szCs w:val="23"/>
        </w:rPr>
        <w:t xml:space="preserve">Volume VI — Delivery Strategy</w:t>
      </w:r>
    </w:p>
    <w:p>
      <w:pPr>
        <w:spacing w:after="50"/>
        <w:ind w:left="280"/>
      </w:pPr>
      <w:r>
        <w:rPr>
          <w:b/>
          <w:bCs/>
          <w:sz w:val="20"/>
          <w:szCs w:val="20"/>
        </w:rPr>
        <w:t xml:space="preserve">Chapter 43   </w:t>
      </w:r>
      <w:r>
        <w:rPr>
          <w:sz w:val="20"/>
          <w:szCs w:val="20"/>
        </w:rPr>
        <w:t xml:space="preserve">Delivery Methodology &amp; Team</w:t>
      </w:r>
    </w:p>
    <w:p>
      <w:pPr>
        <w:spacing w:after="50"/>
        <w:ind w:left="280"/>
      </w:pPr>
      <w:r>
        <w:rPr>
          <w:b/>
          <w:bCs/>
          <w:sz w:val="20"/>
          <w:szCs w:val="20"/>
        </w:rPr>
        <w:t xml:space="preserve">Chapter 44   </w:t>
      </w:r>
      <w:r>
        <w:rPr>
          <w:sz w:val="20"/>
          <w:szCs w:val="20"/>
        </w:rPr>
        <w:t xml:space="preserve">Phased Delivery Roadmap</w:t>
      </w:r>
    </w:p>
    <w:p>
      <w:pPr>
        <w:spacing w:after="50"/>
        <w:ind w:left="280"/>
      </w:pPr>
      <w:r>
        <w:rPr>
          <w:b/>
          <w:bCs/>
          <w:sz w:val="20"/>
          <w:szCs w:val="20"/>
        </w:rPr>
        <w:t xml:space="preserve">Chapter 45   </w:t>
      </w:r>
      <w:r>
        <w:rPr>
          <w:sz w:val="20"/>
          <w:szCs w:val="20"/>
        </w:rPr>
        <w:t xml:space="preserve">Quality Gates, Security Review &amp; Pilot Program</w:t>
      </w:r>
    </w:p>
    <w:p>
      <w:pPr>
        <w:spacing w:after="50"/>
        <w:ind w:left="280"/>
      </w:pPr>
      <w:r>
        <w:rPr>
          <w:b/>
          <w:bCs/>
          <w:sz w:val="20"/>
          <w:szCs w:val="20"/>
        </w:rPr>
        <w:t xml:space="preserve">Chapter 46   </w:t>
      </w:r>
      <w:r>
        <w:rPr>
          <w:sz w:val="20"/>
          <w:szCs w:val="20"/>
        </w:rPr>
        <w:t xml:space="preserve">Definition of Ready / Definition of Done &amp; Change Control</w:t>
      </w:r>
    </w:p>
    <w:p>
      <w:pPr>
        <w:spacing w:after="80" w:before="220"/>
      </w:pPr>
      <w:r>
        <w:rPr>
          <w:b/>
          <w:bCs/>
          <w:color w:val="1F3864"/>
          <w:sz w:val="23"/>
          <w:szCs w:val="23"/>
        </w:rPr>
        <w:t xml:space="preserve">Appendices</w:t>
      </w:r>
    </w:p>
    <w:p>
      <w:pPr>
        <w:spacing w:after="50"/>
        <w:ind w:left="280"/>
      </w:pPr>
      <w:r>
        <w:rPr>
          <w:b/>
          <w:bCs/>
          <w:sz w:val="20"/>
          <w:szCs w:val="20"/>
        </w:rPr>
        <w:t xml:space="preserve">Appendix A   </w:t>
      </w:r>
      <w:r>
        <w:rPr>
          <w:sz w:val="20"/>
          <w:szCs w:val="20"/>
        </w:rPr>
        <w:t xml:space="preserve">Requirement ID Index</w:t>
      </w:r>
    </w:p>
    <w:p>
      <w:pPr>
        <w:spacing w:after="50"/>
        <w:ind w:left="280"/>
      </w:pPr>
      <w:r>
        <w:rPr>
          <w:b/>
          <w:bCs/>
          <w:sz w:val="20"/>
          <w:szCs w:val="20"/>
        </w:rPr>
        <w:t xml:space="preserve">Appendix B   </w:t>
      </w:r>
      <w:r>
        <w:rPr>
          <w:sz w:val="20"/>
          <w:szCs w:val="20"/>
        </w:rPr>
        <w:t xml:space="preserve">Non-Functional Requirements Summary</w:t>
      </w:r>
    </w:p>
    <w:p>
      <w:pPr>
        <w:spacing w:after="50"/>
        <w:ind w:left="280"/>
      </w:pPr>
      <w:r>
        <w:rPr>
          <w:b/>
          <w:bCs/>
          <w:sz w:val="20"/>
          <w:szCs w:val="20"/>
        </w:rPr>
        <w:t xml:space="preserve">Appendix C   </w:t>
      </w:r>
      <w:r>
        <w:rPr>
          <w:sz w:val="20"/>
          <w:szCs w:val="20"/>
        </w:rPr>
        <w:t xml:space="preserve">Glossary</w:t>
      </w:r>
    </w:p>
    <w:p>
      <w:pPr>
        <w:spacing w:after="50"/>
        <w:ind w:left="280"/>
      </w:pPr>
      <w:r>
        <w:rPr>
          <w:b/>
          <w:bCs/>
          <w:sz w:val="20"/>
          <w:szCs w:val="20"/>
        </w:rPr>
        <w:t xml:space="preserve">Appendix D   </w:t>
      </w:r>
      <w:r>
        <w:rPr>
          <w:sz w:val="20"/>
          <w:szCs w:val="20"/>
        </w:rPr>
        <w:t xml:space="preserve">Change Log vs. Version 1.0</w:t>
      </w:r>
    </w:p>
    <w:p>
      <w:pPr>
        <w:pageBreakBefore/>
        <w:spacing w:after="120" w:before="2000"/>
        <w:jc w:val="center"/>
      </w:pPr>
      <w:r>
        <w:rPr>
          <w:color w:val="1F3864"/>
          <w:sz w:val="28"/>
          <w:szCs w:val="28"/>
        </w:rPr>
        <w:t xml:space="preserve">—</w:t>
      </w:r>
    </w:p>
    <w:p>
      <w:pPr>
        <w:pStyle w:val="Heading1"/>
        <w:spacing w:after="120" w:before="200"/>
        <w:jc w:val="center"/>
      </w:pPr>
      <w:r>
        <w:rPr>
          <w:b/>
          <w:bCs/>
          <w:color w:val="1F3864"/>
          <w:sz w:val="36"/>
          <w:szCs w:val="36"/>
        </w:rPr>
        <w:t xml:space="preserve">VOLUME 0</w:t>
      </w:r>
    </w:p>
    <w:p>
      <w:pPr>
        <w:spacing w:after="2000"/>
        <w:jc w:val="center"/>
      </w:pPr>
      <w:r>
        <w:rPr>
          <w:i/>
          <w:iCs/>
          <w:sz w:val="24"/>
          <w:szCs w:val="24"/>
        </w:rPr>
        <w:t xml:space="preserve">Multi-Tenant Platform Architecture — Chapters 1–6</w:t>
      </w:r>
    </w:p>
    <w:p>
      <w:pPr>
        <w:pStyle w:val="Heading1"/>
        <w:pageBreakBefore/>
        <w:spacing w:after="200" w:before="240"/>
      </w:pPr>
      <w:r>
        <w:rPr>
          <w:b/>
          <w:bCs/>
        </w:rPr>
        <w:t xml:space="preserve">Chapter 1 — Platform Vision &amp; Tenancy Decision</w:t>
      </w:r>
    </w:p>
    <w:p>
      <w:pPr>
        <w:spacing w:after="120"/>
      </w:pPr>
      <w:r>
        <w:rPr>
          <w:b w:val="false"/>
          <w:bCs w:val="false"/>
          <w:i w:val="false"/>
          <w:iCs w:val="false"/>
        </w:rPr>
        <w:t xml:space="preserve">This chapter states the single most important architectural decision in this specification and the reason every other chapter in this document exists in its current form. PBSMS is a platform that many independent schools use, not software built for one school.</w:t>
      </w:r>
    </w:p>
    <w:p>
      <w:pPr>
        <w:pStyle w:val="Heading2"/>
        <w:spacing w:after="100" w:before="220"/>
      </w:pPr>
      <w:r>
        <w:rPr>
          <w:b/>
          <w:bCs/>
        </w:rPr>
        <w:t xml:space="preserve">1.1 Product Vision</w:t>
      </w:r>
    </w:p>
    <w:p>
      <w:pPr>
        <w:spacing w:after="120"/>
      </w:pPr>
      <w:r>
        <w:rPr>
          <w:b w:val="false"/>
          <w:bCs w:val="false"/>
          <w:i w:val="false"/>
          <w:iCs w:val="false"/>
        </w:rPr>
        <w:t xml:space="preserve">PBSMS is a multi-tenant, cloud-hosted school management platform serving Nursery-to-JHS basic schools across Ghana. A single deployment of the software serves an unlimited number of independent school customers ("tenants"), each with its own data, users, configuration, branding and billing, while sharing one codebase, one operations team and one set of infrastructure.</w:t>
      </w:r>
    </w:p>
    <w:p>
      <w:pPr>
        <w:pStyle w:val="Heading2"/>
        <w:spacing w:after="100" w:before="220"/>
      </w:pPr>
      <w:r>
        <w:rPr>
          <w:b/>
          <w:bCs/>
        </w:rPr>
        <w:t xml:space="preserve">1.2 Why Multi-Tenant, and Not a Separate Deployment per School</w:t>
      </w:r>
    </w:p>
    <w:p>
      <w:pPr>
        <w:pStyle w:val="ListParagraph"/>
        <w:numPr>
          <w:ilvl w:val="0"/>
          <w:numId w:val="1"/>
        </w:numPr>
        <w:spacing w:after="60"/>
      </w:pPr>
      <w:r>
        <w:t xml:space="preserve">Unit economics: basic schools in this market cannot individually fund dedicated infrastructure, so cost must be shared across tenants to reach an affordable per-student price.</w:t>
      </w:r>
    </w:p>
    <w:p>
      <w:pPr>
        <w:pStyle w:val="ListParagraph"/>
        <w:numPr>
          <w:ilvl w:val="0"/>
          <w:numId w:val="1"/>
        </w:numPr>
        <w:spacing w:after="60"/>
      </w:pPr>
      <w:r>
        <w:t xml:space="preserve">Operability: one platform to patch, monitor, back up and improve is achievable by a small team; one deployment per school is not.</w:t>
      </w:r>
    </w:p>
    <w:p>
      <w:pPr>
        <w:pStyle w:val="ListParagraph"/>
        <w:numPr>
          <w:ilvl w:val="0"/>
          <w:numId w:val="1"/>
        </w:numPr>
        <w:spacing w:after="60"/>
      </w:pPr>
      <w:r>
        <w:t xml:space="preserve">Speed to market: a new school should be usable within an hour of signup, not after a bespoke deployment.</w:t>
      </w:r>
    </w:p>
    <w:p>
      <w:pPr>
        <w:pStyle w:val="ListParagraph"/>
        <w:numPr>
          <w:ilvl w:val="0"/>
          <w:numId w:val="1"/>
        </w:numPr>
        <w:spacing w:after="60"/>
      </w:pPr>
      <w:r>
        <w:t xml:space="preserve">Cross-school insight: proprietors who own more than one school, and PBSMS itself for product improvement, need aggregate visibility that separate deployments cannot provide.</w:t>
      </w:r>
    </w:p>
    <w:p>
      <w:pPr>
        <w:pStyle w:val="Heading2"/>
        <w:spacing w:after="100" w:before="220"/>
      </w:pPr>
      <w:r>
        <w:rPr>
          <w:b/>
          <w:bCs/>
        </w:rPr>
        <w:t xml:space="preserve">1.3 Isolation Model Decision</w:t>
      </w:r>
    </w:p>
    <w:p>
      <w:pPr>
        <w:spacing w:after="120"/>
      </w:pPr>
      <w:r>
        <w:rPr>
          <w:b w:val="false"/>
          <w:bCs w:val="false"/>
          <w:i w:val="false"/>
          <w:iCs w:val="false"/>
        </w:rPr>
        <w:t xml:space="preserve">TEN-001: The platform MUST use a shared database, shared schema architecture with a mandatory tenant_id discriminator on every tenant-owned table, defended by PostgreSQL Row-Level Security (RLS) policies as a database-layer enforcement mechanism independent of application code correctness.</w:t>
      </w:r>
    </w:p>
    <w:p>
      <w:pPr>
        <w:spacing w:after="120"/>
      </w:pPr>
      <w:r>
        <w:rPr>
          <w:b w:val="false"/>
          <w:bCs w:val="false"/>
          <w:i w:val="false"/>
          <w:iCs w:val="false"/>
        </w:rPr>
        <w:t xml:space="preserve">Rationale: at this price point and this stage of company maturity, database-per-tenant or schema-per-tenant introduces operational cost (migration fan-out, connection pool exhaustion, backup complexity) that is not justified by the data volumes involved. RLS closes the single most dangerous failure mode of shared-schema multi-tenancy — a missing WHERE tenant_id = ? clause — by making tenant isolation a property of the database session, not of any individual query.</w:t>
      </w:r>
    </w:p>
    <w:p>
      <w:pPr>
        <w:pStyle w:val="Heading3"/>
        <w:spacing w:after="80" w:before="160"/>
      </w:pPr>
      <w:r>
        <w:rPr>
          <w:b/>
          <w:bCs/>
        </w:rPr>
        <w:t xml:space="preserve">Decision record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2000"/>
        <w:gridCol w:w="4250"/>
      </w:tblGrid>
      <w:tr>
        <w:trPr>
          <w:tblHeader/>
        </w:trPr>
        <w:tc>
          <w:tcPr>
            <w:tcW w:type="dxa" w:w="3100"/>
            <w:shd w:fill="1F3864" w:val="clear"/>
            <w:tcMar>
              <w:top w:type="dxa" w:w="60"/>
              <w:left w:type="dxa" w:w="100"/>
              <w:bottom w:type="dxa" w:w="60"/>
              <w:right w:type="dxa" w:w="100"/>
            </w:tcMar>
            <w:vAlign w:val="center"/>
          </w:tcPr>
          <w:p>
            <w:r>
              <w:rPr>
                <w:b/>
                <w:bCs/>
                <w:color w:val="FFFFFF"/>
                <w:sz w:val="20"/>
                <w:szCs w:val="20"/>
              </w:rPr>
              <w:t xml:space="preserve">Option considered</w:t>
            </w:r>
          </w:p>
        </w:tc>
        <w:tc>
          <w:tcPr>
            <w:tcW w:type="dxa" w:w="2000"/>
            <w:shd w:fill="1F3864" w:val="clear"/>
            <w:tcMar>
              <w:top w:type="dxa" w:w="60"/>
              <w:left w:type="dxa" w:w="100"/>
              <w:bottom w:type="dxa" w:w="60"/>
              <w:right w:type="dxa" w:w="100"/>
            </w:tcMar>
            <w:vAlign w:val="center"/>
          </w:tcPr>
          <w:p>
            <w:r>
              <w:rPr>
                <w:b/>
                <w:bCs/>
                <w:color w:val="FFFFFF"/>
                <w:sz w:val="20"/>
                <w:szCs w:val="20"/>
              </w:rPr>
              <w:t xml:space="preserve">Verdict</w:t>
            </w:r>
          </w:p>
        </w:tc>
        <w:tc>
          <w:tcPr>
            <w:tcW w:type="dxa" w:w="4250"/>
            <w:shd w:fill="1F3864" w:val="clear"/>
            <w:tcMar>
              <w:top w:type="dxa" w:w="60"/>
              <w:left w:type="dxa" w:w="100"/>
              <w:bottom w:type="dxa" w:w="60"/>
              <w:right w:type="dxa" w:w="100"/>
            </w:tcMar>
            <w:vAlign w:val="center"/>
          </w:tcPr>
          <w:p>
            <w:r>
              <w:rPr>
                <w:b/>
                <w:bCs/>
                <w:color w:val="FFFFFF"/>
                <w:sz w:val="20"/>
                <w:szCs w:val="20"/>
              </w:rPr>
              <w:t xml:space="preserve">Reason</w:t>
            </w:r>
          </w:p>
        </w:tc>
      </w:tr>
      <w:tr>
        <w:tc>
          <w:tcPr>
            <w:tcW w:type="dxa" w:w="3100"/>
            <w:tcMar>
              <w:top w:type="dxa" w:w="60"/>
              <w:left w:type="dxa" w:w="100"/>
              <w:bottom w:type="dxa" w:w="60"/>
              <w:right w:type="dxa" w:w="100"/>
            </w:tcMar>
            <w:vAlign w:val="center"/>
          </w:tcPr>
          <w:p>
            <w:r>
              <w:rPr>
                <w:b w:val="false"/>
                <w:bCs w:val="false"/>
                <w:sz w:val="20"/>
                <w:szCs w:val="20"/>
              </w:rPr>
              <w:t xml:space="preserve">Shared DB, shared schema, tenant_id + RLS</w:t>
            </w:r>
          </w:p>
        </w:tc>
        <w:tc>
          <w:tcPr>
            <w:tcW w:type="dxa" w:w="2000"/>
            <w:tcMar>
              <w:top w:type="dxa" w:w="60"/>
              <w:left w:type="dxa" w:w="100"/>
              <w:bottom w:type="dxa" w:w="60"/>
              <w:right w:type="dxa" w:w="100"/>
            </w:tcMar>
            <w:vAlign w:val="center"/>
          </w:tcPr>
          <w:p>
            <w:r>
              <w:rPr>
                <w:b w:val="false"/>
                <w:bCs w:val="false"/>
                <w:sz w:val="20"/>
                <w:szCs w:val="20"/>
              </w:rPr>
              <w:t xml:space="preserve">Adopted for v1</w:t>
            </w:r>
          </w:p>
        </w:tc>
        <w:tc>
          <w:tcPr>
            <w:tcW w:type="dxa" w:w="4250"/>
            <w:tcMar>
              <w:top w:type="dxa" w:w="60"/>
              <w:left w:type="dxa" w:w="100"/>
              <w:bottom w:type="dxa" w:w="60"/>
              <w:right w:type="dxa" w:w="100"/>
            </w:tcMar>
            <w:vAlign w:val="center"/>
          </w:tcPr>
          <w:p>
            <w:r>
              <w:rPr>
                <w:b w:val="false"/>
                <w:bCs w:val="false"/>
                <w:sz w:val="20"/>
                <w:szCs w:val="20"/>
              </w:rPr>
              <w:t xml:space="preserve">Lowest operating cost; strong isolation via defence in depth; standard PostgreSQL feature, no bespoke infrastructure</w:t>
            </w:r>
          </w:p>
        </w:tc>
      </w:tr>
      <w:tr>
        <w:tc>
          <w:tcPr>
            <w:tcW w:type="dxa" w:w="3100"/>
            <w:shd w:fill="DCE6F1" w:val="clear"/>
            <w:tcMar>
              <w:top w:type="dxa" w:w="60"/>
              <w:left w:type="dxa" w:w="100"/>
              <w:bottom w:type="dxa" w:w="60"/>
              <w:right w:type="dxa" w:w="100"/>
            </w:tcMar>
            <w:vAlign w:val="center"/>
          </w:tcPr>
          <w:p>
            <w:r>
              <w:rPr>
                <w:b w:val="false"/>
                <w:bCs w:val="false"/>
                <w:sz w:val="20"/>
                <w:szCs w:val="20"/>
              </w:rPr>
              <w:t xml:space="preserve">Shared DB, schema-per-tenant</w:t>
            </w:r>
          </w:p>
        </w:tc>
        <w:tc>
          <w:tcPr>
            <w:tcW w:type="dxa" w:w="2000"/>
            <w:shd w:fill="DCE6F1" w:val="clear"/>
            <w:tcMar>
              <w:top w:type="dxa" w:w="60"/>
              <w:left w:type="dxa" w:w="100"/>
              <w:bottom w:type="dxa" w:w="60"/>
              <w:right w:type="dxa" w:w="100"/>
            </w:tcMar>
            <w:vAlign w:val="center"/>
          </w:tcPr>
          <w:p>
            <w:r>
              <w:rPr>
                <w:b w:val="false"/>
                <w:bCs w:val="false"/>
                <w:sz w:val="20"/>
                <w:szCs w:val="20"/>
              </w:rPr>
              <w:t xml:space="preserve">Rejected for v1, revisit at scale</w:t>
            </w:r>
          </w:p>
        </w:tc>
        <w:tc>
          <w:tcPr>
            <w:tcW w:type="dxa" w:w="4250"/>
            <w:shd w:fill="DCE6F1" w:val="clear"/>
            <w:tcMar>
              <w:top w:type="dxa" w:w="60"/>
              <w:left w:type="dxa" w:w="100"/>
              <w:bottom w:type="dxa" w:w="60"/>
              <w:right w:type="dxa" w:w="100"/>
            </w:tcMar>
            <w:vAlign w:val="center"/>
          </w:tcPr>
          <w:p>
            <w:r>
              <w:rPr>
                <w:b w:val="false"/>
                <w:bCs w:val="false"/>
                <w:sz w:val="20"/>
                <w:szCs w:val="20"/>
              </w:rPr>
              <w:t xml:space="preserve">Migration must run once per schema; hundreds of schemas complicate connection pooling and tooling</w:t>
            </w:r>
          </w:p>
        </w:tc>
      </w:tr>
      <w:tr>
        <w:tc>
          <w:tcPr>
            <w:tcW w:type="dxa" w:w="3100"/>
            <w:tcMar>
              <w:top w:type="dxa" w:w="60"/>
              <w:left w:type="dxa" w:w="100"/>
              <w:bottom w:type="dxa" w:w="60"/>
              <w:right w:type="dxa" w:w="100"/>
            </w:tcMar>
            <w:vAlign w:val="center"/>
          </w:tcPr>
          <w:p>
            <w:r>
              <w:rPr>
                <w:b w:val="false"/>
                <w:bCs w:val="false"/>
                <w:sz w:val="20"/>
                <w:szCs w:val="20"/>
              </w:rPr>
              <w:t xml:space="preserve">Database-per-tenant</w:t>
            </w:r>
          </w:p>
        </w:tc>
        <w:tc>
          <w:tcPr>
            <w:tcW w:type="dxa" w:w="2000"/>
            <w:tcMar>
              <w:top w:type="dxa" w:w="60"/>
              <w:left w:type="dxa" w:w="100"/>
              <w:bottom w:type="dxa" w:w="60"/>
              <w:right w:type="dxa" w:w="100"/>
            </w:tcMar>
            <w:vAlign w:val="center"/>
          </w:tcPr>
          <w:p>
            <w:r>
              <w:rPr>
                <w:b w:val="false"/>
                <w:bCs w:val="false"/>
                <w:sz w:val="20"/>
                <w:szCs w:val="20"/>
              </w:rPr>
              <w:t xml:space="preserve">Reserved as a paid isolation tier</w:t>
            </w:r>
          </w:p>
        </w:tc>
        <w:tc>
          <w:tcPr>
            <w:tcW w:type="dxa" w:w="4250"/>
            <w:tcMar>
              <w:top w:type="dxa" w:w="60"/>
              <w:left w:type="dxa" w:w="100"/>
              <w:bottom w:type="dxa" w:w="60"/>
              <w:right w:type="dxa" w:w="100"/>
            </w:tcMar>
            <w:vAlign w:val="center"/>
          </w:tcPr>
          <w:p>
            <w:r>
              <w:rPr>
                <w:b w:val="false"/>
                <w:bCs w:val="false"/>
                <w:sz w:val="20"/>
                <w:szCs w:val="20"/>
              </w:rPr>
              <w:t xml:space="preserve">Justified only for large school groups or regulatory demands; offered later as an add-on, not the default</w:t>
            </w:r>
          </w:p>
        </w:tc>
      </w:tr>
    </w:tbl>
    <w:p>
      <w:pPr>
        <w:spacing w:after="120"/>
      </w:pPr>
      <w:r>
        <w:rPr>
          <w:b w:val="false"/>
          <w:bCs w:val="false"/>
          <w:i w:val="false"/>
          <w:iCs w:val="false"/>
        </w:rPr>
        <w:t xml:space="preserve">TEN-002: A dedicated-database isolation tier MAY be offered as a premium add-on for large school groups or customers with a specific regulatory requirement, without changing the default tier's architecture.</w:t>
      </w:r>
    </w:p>
    <w:p>
      <w:pPr>
        <w:spacing w:after="120"/>
      </w:pPr>
      <w:r>
        <w:rPr>
          <w:b w:val="false"/>
          <w:bCs w:val="false"/>
          <w:i w:val="false"/>
          <w:iCs w:val="false"/>
        </w:rPr>
        <w:t xml:space="preserve">TEN-003: Every table that stores tenant-owned data MUST include a non-nullable tenant_id column, MUST index tenant_id as the leading column of its primary access-pattern indexes, and MUST express every uniqueness constraint as tenant-scoped (for example UNIQUE(tenant_id, invoice_number), never UNIQUE(invoice_number)).</w:t>
      </w:r>
    </w:p>
    <w:p>
      <w:pPr>
        <w:spacing w:after="120"/>
      </w:pPr>
      <w:r>
        <w:rPr>
          <w:b w:val="false"/>
          <w:bCs w:val="false"/>
          <w:i w:val="false"/>
          <w:iCs w:val="false"/>
        </w:rPr>
        <w:t xml:space="preserve">TEN-004: Every database connection used to serve a tenant request MUST set the RLS session variable for that tenant before any query executes, and connection pooling MUST reset or re-set this variable between reuses so that a pooled connection can never leak one tenant's session context into another tenant's request.</w:t>
      </w:r>
    </w:p>
    <w:p>
      <w:pPr>
        <w:spacing w:after="120"/>
      </w:pPr>
      <w:r>
        <w:rPr>
          <w:b w:val="false"/>
          <w:bCs w:val="false"/>
          <w:i w:val="false"/>
          <w:iCs w:val="false"/>
        </w:rPr>
        <w:t xml:space="preserve">TEN-005: Platform-level tables (subscription plans, feature flags, the tenant registry itself, platform audit logs) are exempt from tenant_id scoping and are instead restricted to platform-role access only.</w:t>
      </w:r>
    </w:p>
    <w:p>
      <w:pPr>
        <w:pStyle w:val="Heading1"/>
        <w:pageBreakBefore/>
        <w:spacing w:after="200" w:before="240"/>
      </w:pPr>
      <w:r>
        <w:rPr>
          <w:b/>
          <w:bCs/>
        </w:rPr>
        <w:t xml:space="preserve">Chapter 2 — Tenant Domain Model &amp; Hierarchy</w:t>
      </w:r>
    </w:p>
    <w:p>
      <w:pPr>
        <w:pStyle w:val="Heading2"/>
        <w:spacing w:after="100" w:before="220"/>
      </w:pPr>
      <w:r>
        <w:rPr>
          <w:b/>
          <w:bCs/>
        </w:rPr>
        <w:t xml:space="preserve">2.1 Domain Hierarchy</w:t>
      </w:r>
    </w:p>
    <w:p>
      <w:pPr>
        <w:spacing w:after="120"/>
      </w:pPr>
      <w:r>
        <w:rPr>
          <w:b w:val="false"/>
          <w:bCs w:val="false"/>
          <w:i w:val="false"/>
          <w:iCs w:val="false"/>
        </w:rPr>
        <w:t xml:space="preserve">Platform Operator (PBSMS) → Tenant (billing and isolation boundary; typically one proprietor or one school group) → School (one or more per tenant) → Campus (one or more per school) → Academic Year → Term → Division → Class Level → Class → Subject.</w:t>
      </w:r>
    </w:p>
    <w:p>
      <w:pPr>
        <w:spacing w:after="120"/>
      </w:pPr>
      <w:r>
        <w:rPr>
          <w:b w:val="false"/>
          <w:bCs w:val="false"/>
          <w:i w:val="false"/>
          <w:iCs w:val="false"/>
        </w:rPr>
        <w:t xml:space="preserve">TEN-010: A tenant MUST be able to contain more than one school. This is what enables a proprietor who owns, for example, a Nursery/KG campus and a separate Primary/JHS campus under one business, or a small school group, to operate as one tenant with consolidated billing and one login for shared staff, while still reporting separately per school.</w:t>
      </w:r>
    </w:p>
    <w:p>
      <w:pPr>
        <w:spacing w:after="120"/>
      </w:pPr>
      <w:r>
        <w:rPr>
          <w:b w:val="false"/>
          <w:bCs w:val="false"/>
          <w:i w:val="false"/>
          <w:iCs w:val="false"/>
        </w:rPr>
        <w:t xml:space="preserve">TEN-011: A school MUST belong to exactly one tenant. A student, guardian, staff member and all their records MUST belong to exactly one tenant, transitively through their school.</w:t>
      </w:r>
    </w:p>
    <w:p>
      <w:pPr>
        <w:pStyle w:val="Heading2"/>
        <w:spacing w:after="100" w:before="220"/>
      </w:pPr>
      <w:r>
        <w:rPr>
          <w:b/>
          <w:bCs/>
        </w:rPr>
        <w:t xml:space="preserve">2.2 Core Tenancy Entities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2750"/>
      </w:tblGrid>
      <w:tr>
        <w:trPr>
          <w:tblHeader/>
        </w:trPr>
        <w:tc>
          <w:tcPr>
            <w:tcW w:type="dxa" w:w="1700"/>
            <w:shd w:fill="1F3864" w:val="clear"/>
            <w:tcMar>
              <w:top w:type="dxa" w:w="60"/>
              <w:left w:type="dxa" w:w="100"/>
              <w:bottom w:type="dxa" w:w="60"/>
              <w:right w:type="dxa" w:w="100"/>
            </w:tcMar>
            <w:vAlign w:val="center"/>
          </w:tcPr>
          <w:p>
            <w:r>
              <w:rPr>
                <w:b/>
                <w:bCs/>
                <w:color w:val="FFFFFF"/>
                <w:sz w:val="20"/>
                <w:szCs w:val="20"/>
              </w:rPr>
              <w:t xml:space="preserve">Entity</w:t>
            </w:r>
          </w:p>
        </w:tc>
        <w:tc>
          <w:tcPr>
            <w:tcW w:type="dxa" w:w="4900"/>
            <w:shd w:fill="1F3864" w:val="clear"/>
            <w:tcMar>
              <w:top w:type="dxa" w:w="60"/>
              <w:left w:type="dxa" w:w="100"/>
              <w:bottom w:type="dxa" w:w="60"/>
              <w:right w:type="dxa" w:w="100"/>
            </w:tcMar>
            <w:vAlign w:val="center"/>
          </w:tcPr>
          <w:p>
            <w:r>
              <w:rPr>
                <w:b/>
                <w:bCs/>
                <w:color w:val="FFFFFF"/>
                <w:sz w:val="20"/>
                <w:szCs w:val="20"/>
              </w:rPr>
              <w:t xml:space="preserve">Key attributes</w:t>
            </w:r>
          </w:p>
        </w:tc>
        <w:tc>
          <w:tcPr>
            <w:tcW w:type="dxa" w:w="2750"/>
            <w:shd w:fill="1F3864" w:val="clear"/>
            <w:tcMar>
              <w:top w:type="dxa" w:w="60"/>
              <w:left w:type="dxa" w:w="100"/>
              <w:bottom w:type="dxa" w:w="60"/>
              <w:right w:type="dxa" w:w="100"/>
            </w:tcMar>
            <w:vAlign w:val="center"/>
          </w:tcPr>
          <w:p>
            <w:r>
              <w:rPr>
                <w:b/>
                <w:bCs/>
                <w:color w:val="FFFFFF"/>
                <w:sz w:val="20"/>
                <w:szCs w:val="20"/>
              </w:rPr>
              <w:t xml:space="preserve">Notes</w:t>
            </w:r>
          </w:p>
        </w:tc>
      </w:tr>
      <w:tr>
        <w:tc>
          <w:tcPr>
            <w:tcW w:type="dxa" w:w="1700"/>
            <w:tcMar>
              <w:top w:type="dxa" w:w="60"/>
              <w:left w:type="dxa" w:w="100"/>
              <w:bottom w:type="dxa" w:w="60"/>
              <w:right w:type="dxa" w:w="100"/>
            </w:tcMar>
            <w:vAlign w:val="center"/>
          </w:tcPr>
          <w:p>
            <w:r>
              <w:rPr>
                <w:b w:val="false"/>
                <w:bCs w:val="false"/>
                <w:sz w:val="20"/>
                <w:szCs w:val="20"/>
              </w:rPr>
              <w:t xml:space="preserve">tenant</w:t>
            </w:r>
          </w:p>
        </w:tc>
        <w:tc>
          <w:tcPr>
            <w:tcW w:type="dxa" w:w="4900"/>
            <w:tcMar>
              <w:top w:type="dxa" w:w="60"/>
              <w:left w:type="dxa" w:w="100"/>
              <w:bottom w:type="dxa" w:w="60"/>
              <w:right w:type="dxa" w:w="100"/>
            </w:tcMar>
            <w:vAlign w:val="center"/>
          </w:tcPr>
          <w:p>
            <w:r>
              <w:rPr>
                <w:b w:val="false"/>
                <w:bCs w:val="false"/>
                <w:sz w:val="20"/>
                <w:szCs w:val="20"/>
              </w:rPr>
              <w:t xml:space="preserve">id (uuid, pk), name, slug, status, plan_id, billing_email, country, default_currency, default_timezone, created_at, suspended_at, trial_ends_at</w:t>
            </w:r>
          </w:p>
        </w:tc>
        <w:tc>
          <w:tcPr>
            <w:tcW w:type="dxa" w:w="2750"/>
            <w:tcMar>
              <w:top w:type="dxa" w:w="60"/>
              <w:left w:type="dxa" w:w="100"/>
              <w:bottom w:type="dxa" w:w="60"/>
              <w:right w:type="dxa" w:w="100"/>
            </w:tcMar>
            <w:vAlign w:val="center"/>
          </w:tcPr>
          <w:p>
            <w:r>
              <w:rPr>
                <w:b w:val="false"/>
                <w:bCs w:val="false"/>
                <w:sz w:val="20"/>
                <w:szCs w:val="20"/>
              </w:rPr>
              <w:t xml:space="preserve">Root of the hierarchy. status ∈ {trial, active, past_due, suspended, offboarding, closed}</w:t>
            </w:r>
          </w:p>
        </w:tc>
      </w:tr>
      <w:tr>
        <w:tc>
          <w:tcPr>
            <w:tcW w:type="dxa" w:w="1700"/>
            <w:shd w:fill="DCE6F1" w:val="clear"/>
            <w:tcMar>
              <w:top w:type="dxa" w:w="60"/>
              <w:left w:type="dxa" w:w="100"/>
              <w:bottom w:type="dxa" w:w="60"/>
              <w:right w:type="dxa" w:w="100"/>
            </w:tcMar>
            <w:vAlign w:val="center"/>
          </w:tcPr>
          <w:p>
            <w:r>
              <w:rPr>
                <w:b w:val="false"/>
                <w:bCs w:val="false"/>
                <w:sz w:val="20"/>
                <w:szCs w:val="20"/>
              </w:rPr>
              <w:t xml:space="preserve">school</w:t>
            </w:r>
          </w:p>
        </w:tc>
        <w:tc>
          <w:tcPr>
            <w:tcW w:type="dxa" w:w="4900"/>
            <w:shd w:fill="DCE6F1" w:val="clear"/>
            <w:tcMar>
              <w:top w:type="dxa" w:w="60"/>
              <w:left w:type="dxa" w:w="100"/>
              <w:bottom w:type="dxa" w:w="60"/>
              <w:right w:type="dxa" w:w="100"/>
            </w:tcMar>
            <w:vAlign w:val="center"/>
          </w:tcPr>
          <w:p>
            <w:r>
              <w:rPr>
                <w:b w:val="false"/>
                <w:bCs w:val="false"/>
                <w:sz w:val="20"/>
                <w:szCs w:val="20"/>
              </w:rPr>
              <w:t xml:space="preserve">id (pk), tenant_id (fk, indexed), name, code, level_scope, address, created_at</w:t>
            </w:r>
          </w:p>
        </w:tc>
        <w:tc>
          <w:tcPr>
            <w:tcW w:type="dxa" w:w="2750"/>
            <w:shd w:fill="DCE6F1" w:val="clear"/>
            <w:tcMar>
              <w:top w:type="dxa" w:w="60"/>
              <w:left w:type="dxa" w:w="100"/>
              <w:bottom w:type="dxa" w:w="60"/>
              <w:right w:type="dxa" w:w="100"/>
            </w:tcMar>
            <w:vAlign w:val="center"/>
          </w:tcPr>
          <w:p>
            <w:r>
              <w:rPr>
                <w:b w:val="false"/>
                <w:bCs w:val="false"/>
                <w:sz w:val="20"/>
                <w:szCs w:val="20"/>
              </w:rPr>
              <w:t xml:space="preserve">One tenant may have many schools</w:t>
            </w:r>
          </w:p>
        </w:tc>
      </w:tr>
      <w:tr>
        <w:tc>
          <w:tcPr>
            <w:tcW w:type="dxa" w:w="1700"/>
            <w:tcMar>
              <w:top w:type="dxa" w:w="60"/>
              <w:left w:type="dxa" w:w="100"/>
              <w:bottom w:type="dxa" w:w="60"/>
              <w:right w:type="dxa" w:w="100"/>
            </w:tcMar>
            <w:vAlign w:val="center"/>
          </w:tcPr>
          <w:p>
            <w:r>
              <w:rPr>
                <w:b w:val="false"/>
                <w:bCs w:val="false"/>
                <w:sz w:val="20"/>
                <w:szCs w:val="20"/>
              </w:rPr>
              <w:t xml:space="preserve">campus</w:t>
            </w:r>
          </w:p>
        </w:tc>
        <w:tc>
          <w:tcPr>
            <w:tcW w:type="dxa" w:w="4900"/>
            <w:tcMar>
              <w:top w:type="dxa" w:w="60"/>
              <w:left w:type="dxa" w:w="100"/>
              <w:bottom w:type="dxa" w:w="60"/>
              <w:right w:type="dxa" w:w="100"/>
            </w:tcMar>
            <w:vAlign w:val="center"/>
          </w:tcPr>
          <w:p>
            <w:r>
              <w:rPr>
                <w:b w:val="false"/>
                <w:bCs w:val="false"/>
                <w:sz w:val="20"/>
                <w:szCs w:val="20"/>
              </w:rPr>
              <w:t xml:space="preserve">id (pk), tenant_id, school_id, name, address, is_main</w:t>
            </w:r>
          </w:p>
        </w:tc>
        <w:tc>
          <w:tcPr>
            <w:tcW w:type="dxa" w:w="2750"/>
            <w:tcMar>
              <w:top w:type="dxa" w:w="60"/>
              <w:left w:type="dxa" w:w="100"/>
              <w:bottom w:type="dxa" w:w="60"/>
              <w:right w:type="dxa" w:w="100"/>
            </w:tcMar>
            <w:vAlign w:val="center"/>
          </w:tcPr>
          <w:p>
            <w:r>
              <w:rPr>
                <w:b w:val="false"/>
                <w:bCs w:val="false"/>
                <w:sz w:val="20"/>
                <w:szCs w:val="20"/>
              </w:rPr>
              <w:t xml:space="preserve">Preserves the useful "one school, many campuses" model from v1.0 beneath the tenant layer</w:t>
            </w:r>
          </w:p>
        </w:tc>
      </w:tr>
      <w:tr>
        <w:tc>
          <w:tcPr>
            <w:tcW w:type="dxa" w:w="1700"/>
            <w:shd w:fill="DCE6F1" w:val="clear"/>
            <w:tcMar>
              <w:top w:type="dxa" w:w="60"/>
              <w:left w:type="dxa" w:w="100"/>
              <w:bottom w:type="dxa" w:w="60"/>
              <w:right w:type="dxa" w:w="100"/>
            </w:tcMar>
            <w:vAlign w:val="center"/>
          </w:tcPr>
          <w:p>
            <w:r>
              <w:rPr>
                <w:b w:val="false"/>
                <w:bCs w:val="false"/>
                <w:sz w:val="20"/>
                <w:szCs w:val="20"/>
              </w:rPr>
              <w:t xml:space="preserve">tenant_user</w:t>
            </w:r>
          </w:p>
        </w:tc>
        <w:tc>
          <w:tcPr>
            <w:tcW w:type="dxa" w:w="4900"/>
            <w:shd w:fill="DCE6F1" w:val="clear"/>
            <w:tcMar>
              <w:top w:type="dxa" w:w="60"/>
              <w:left w:type="dxa" w:w="100"/>
              <w:bottom w:type="dxa" w:w="60"/>
              <w:right w:type="dxa" w:w="100"/>
            </w:tcMar>
            <w:vAlign w:val="center"/>
          </w:tcPr>
          <w:p>
            <w:r>
              <w:rPr>
                <w:b w:val="false"/>
                <w:bCs w:val="false"/>
                <w:sz w:val="20"/>
                <w:szCs w:val="20"/>
              </w:rPr>
              <w:t xml:space="preserve">id (pk), tenant_id, user_id, is_platform_user (bool, default false)</w:t>
            </w:r>
          </w:p>
        </w:tc>
        <w:tc>
          <w:tcPr>
            <w:tcW w:type="dxa" w:w="2750"/>
            <w:shd w:fill="DCE6F1" w:val="clear"/>
            <w:tcMar>
              <w:top w:type="dxa" w:w="60"/>
              <w:left w:type="dxa" w:w="100"/>
              <w:bottom w:type="dxa" w:w="60"/>
              <w:right w:type="dxa" w:w="100"/>
            </w:tcMar>
            <w:vAlign w:val="center"/>
          </w:tcPr>
          <w:p>
            <w:r>
              <w:rPr>
                <w:b w:val="false"/>
                <w:bCs w:val="false"/>
                <w:sz w:val="20"/>
                <w:szCs w:val="20"/>
              </w:rPr>
              <w:t xml:space="preserve">Distinguishes platform staff acting with tenant access from that tenant's own staff</w:t>
            </w:r>
          </w:p>
        </w:tc>
      </w:tr>
      <w:tr>
        <w:tc>
          <w:tcPr>
            <w:tcW w:type="dxa" w:w="1700"/>
            <w:tcMar>
              <w:top w:type="dxa" w:w="60"/>
              <w:left w:type="dxa" w:w="100"/>
              <w:bottom w:type="dxa" w:w="60"/>
              <w:right w:type="dxa" w:w="100"/>
            </w:tcMar>
            <w:vAlign w:val="center"/>
          </w:tcPr>
          <w:p>
            <w:r>
              <w:rPr>
                <w:b w:val="false"/>
                <w:bCs w:val="false"/>
                <w:sz w:val="20"/>
                <w:szCs w:val="20"/>
              </w:rPr>
              <w:t xml:space="preserve">tenant_subscription</w:t>
            </w:r>
          </w:p>
        </w:tc>
        <w:tc>
          <w:tcPr>
            <w:tcW w:type="dxa" w:w="4900"/>
            <w:tcMar>
              <w:top w:type="dxa" w:w="60"/>
              <w:left w:type="dxa" w:w="100"/>
              <w:bottom w:type="dxa" w:w="60"/>
              <w:right w:type="dxa" w:w="100"/>
            </w:tcMar>
            <w:vAlign w:val="center"/>
          </w:tcPr>
          <w:p>
            <w:r>
              <w:rPr>
                <w:b w:val="false"/>
                <w:bCs w:val="false"/>
                <w:sz w:val="20"/>
                <w:szCs w:val="20"/>
              </w:rPr>
              <w:t xml:space="preserve">id (pk), tenant_id, plan_id, seats_or_students_licensed, billing_cycle, status, current_period_start/end</w:t>
            </w:r>
          </w:p>
        </w:tc>
        <w:tc>
          <w:tcPr>
            <w:tcW w:type="dxa" w:w="2750"/>
            <w:tcMar>
              <w:top w:type="dxa" w:w="60"/>
              <w:left w:type="dxa" w:w="100"/>
              <w:bottom w:type="dxa" w:w="60"/>
              <w:right w:type="dxa" w:w="100"/>
            </w:tcMar>
            <w:vAlign w:val="center"/>
          </w:tcPr>
          <w:p>
            <w:r>
              <w:rPr>
                <w:b w:val="false"/>
                <w:bCs w:val="false"/>
                <w:sz w:val="20"/>
                <w:szCs w:val="20"/>
              </w:rPr>
              <w:t xml:space="preserve">Drives Chapter 5</w:t>
            </w:r>
          </w:p>
        </w:tc>
      </w:tr>
    </w:tbl>
    <w:p>
      <w:pPr>
        <w:pStyle w:val="Heading2"/>
        <w:spacing w:after="100" w:before="220"/>
      </w:pPr>
      <w:r>
        <w:rPr>
          <w:b/>
          <w:bCs/>
        </w:rPr>
        <w:t xml:space="preserve">2.3 Cross-Tenant Prohibition</w:t>
      </w:r>
    </w:p>
    <w:p>
      <w:pPr>
        <w:spacing w:after="120"/>
      </w:pPr>
      <w:r>
        <w:rPr>
          <w:b w:val="false"/>
          <w:bCs w:val="false"/>
          <w:i w:val="false"/>
          <w:iCs w:val="false"/>
        </w:rPr>
        <w:t xml:space="preserve">TEN-012: No relationship of any kind MAY exist between records belonging to different tenants, with the sole exception of platform-role access captured under Chapter 3 and explicitly audited under TEN-030.</w:t>
      </w:r>
    </w:p>
    <w:p>
      <w:pPr>
        <w:spacing w:after="120"/>
      </w:pPr>
      <w:r>
        <w:rPr>
          <w:b w:val="false"/>
          <w:bCs w:val="false"/>
          <w:i w:val="false"/>
          <w:iCs w:val="false"/>
        </w:rPr>
        <w:t xml:space="preserve">TEN-013: A user account MUST belong to exactly one tenant, except platform staff accounts, which belong to none and are granted temporary, audited, per-tenant access as described in Chapter 3.</w:t>
      </w:r>
    </w:p>
    <w:p>
      <w:pPr>
        <w:pStyle w:val="Heading1"/>
        <w:pageBreakBefore/>
        <w:spacing w:after="200" w:before="240"/>
      </w:pPr>
      <w:r>
        <w:rPr>
          <w:b/>
          <w:bCs/>
        </w:rPr>
        <w:t xml:space="preserve">Chapter 3 — Platform Roles &amp; Access</w:t>
      </w:r>
    </w:p>
    <w:p>
      <w:pPr>
        <w:spacing w:after="120"/>
      </w:pPr>
      <w:r>
        <w:rPr>
          <w:b w:val="false"/>
          <w:bCs w:val="false"/>
          <w:i w:val="false"/>
          <w:iCs w:val="false"/>
        </w:rPr>
        <w:t xml:space="preserve">Version 1.0 defined roles only from the perspective of a single school (Proprietor, Headmaster, Accountant, Teacher, Parent, Student, ICT Officer). None of those roles can operate the platform itself. This chapter adds the roles required to run PBSMS as a business.</w:t>
      </w:r>
    </w:p>
    <w:p>
      <w:pPr>
        <w:pStyle w:val="Heading2"/>
        <w:spacing w:after="100" w:before="220"/>
      </w:pPr>
      <w:r>
        <w:rPr>
          <w:b/>
          <w:bCs/>
        </w:rPr>
        <w:t xml:space="preserve">3.1 Platform Roles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50"/>
      </w:tblGrid>
      <w:tr>
        <w:trPr>
          <w:tblHeader/>
        </w:trPr>
        <w:tc>
          <w:tcPr>
            <w:tcW w:type="dxa" w:w="2400"/>
            <w:shd w:fill="1F3864" w:val="clear"/>
            <w:tcMar>
              <w:top w:type="dxa" w:w="60"/>
              <w:left w:type="dxa" w:w="100"/>
              <w:bottom w:type="dxa" w:w="60"/>
              <w:right w:type="dxa" w:w="100"/>
            </w:tcMar>
            <w:vAlign w:val="center"/>
          </w:tcPr>
          <w:p>
            <w:r>
              <w:rPr>
                <w:b/>
                <w:bCs/>
                <w:color w:val="FFFFFF"/>
                <w:sz w:val="20"/>
                <w:szCs w:val="20"/>
              </w:rPr>
              <w:t xml:space="preserve">Role</w:t>
            </w:r>
          </w:p>
        </w:tc>
        <w:tc>
          <w:tcPr>
            <w:tcW w:type="dxa" w:w="3300"/>
            <w:shd w:fill="1F3864" w:val="clear"/>
            <w:tcMar>
              <w:top w:type="dxa" w:w="60"/>
              <w:left w:type="dxa" w:w="100"/>
              <w:bottom w:type="dxa" w:w="60"/>
              <w:right w:type="dxa" w:w="100"/>
            </w:tcMar>
            <w:vAlign w:val="center"/>
          </w:tcPr>
          <w:p>
            <w:r>
              <w:rPr>
                <w:b/>
                <w:bCs/>
                <w:color w:val="FFFFFF"/>
                <w:sz w:val="20"/>
                <w:szCs w:val="20"/>
              </w:rPr>
              <w:t xml:space="preserve">Purpose</w:t>
            </w:r>
          </w:p>
        </w:tc>
        <w:tc>
          <w:tcPr>
            <w:tcW w:type="dxa" w:w="3650"/>
            <w:shd w:fill="1F3864" w:val="clear"/>
            <w:tcMar>
              <w:top w:type="dxa" w:w="60"/>
              <w:left w:type="dxa" w:w="100"/>
              <w:bottom w:type="dxa" w:w="60"/>
              <w:right w:type="dxa" w:w="100"/>
            </w:tcMar>
            <w:vAlign w:val="center"/>
          </w:tcPr>
          <w:p>
            <w:r>
              <w:rPr>
                <w:b/>
                <w:bCs/>
                <w:color w:val="FFFFFF"/>
                <w:sz w:val="20"/>
                <w:szCs w:val="20"/>
              </w:rPr>
              <w:t xml:space="preserve">Access model</w:t>
            </w:r>
          </w:p>
        </w:tc>
      </w:tr>
      <w:tr>
        <w:tc>
          <w:tcPr>
            <w:tcW w:type="dxa" w:w="2400"/>
            <w:tcMar>
              <w:top w:type="dxa" w:w="60"/>
              <w:left w:type="dxa" w:w="100"/>
              <w:bottom w:type="dxa" w:w="60"/>
              <w:right w:type="dxa" w:w="100"/>
            </w:tcMar>
            <w:vAlign w:val="center"/>
          </w:tcPr>
          <w:p>
            <w:r>
              <w:rPr>
                <w:b w:val="false"/>
                <w:bCs w:val="false"/>
                <w:sz w:val="20"/>
                <w:szCs w:val="20"/>
              </w:rPr>
              <w:t xml:space="preserve">Platform Super Admin</w:t>
            </w:r>
          </w:p>
        </w:tc>
        <w:tc>
          <w:tcPr>
            <w:tcW w:type="dxa" w:w="3300"/>
            <w:tcMar>
              <w:top w:type="dxa" w:w="60"/>
              <w:left w:type="dxa" w:w="100"/>
              <w:bottom w:type="dxa" w:w="60"/>
              <w:right w:type="dxa" w:w="100"/>
            </w:tcMar>
            <w:vAlign w:val="center"/>
          </w:tcPr>
          <w:p>
            <w:r>
              <w:rPr>
                <w:b w:val="false"/>
                <w:bCs w:val="false"/>
                <w:sz w:val="20"/>
                <w:szCs w:val="20"/>
              </w:rPr>
              <w:t xml:space="preserve">Full platform operation: tenant lifecycle, plan configuration, global monitoring</w:t>
            </w:r>
          </w:p>
        </w:tc>
        <w:tc>
          <w:tcPr>
            <w:tcW w:type="dxa" w:w="3650"/>
            <w:tcMar>
              <w:top w:type="dxa" w:w="60"/>
              <w:left w:type="dxa" w:w="100"/>
              <w:bottom w:type="dxa" w:w="60"/>
              <w:right w:type="dxa" w:w="100"/>
            </w:tcMar>
            <w:vAlign w:val="center"/>
          </w:tcPr>
          <w:p>
            <w:r>
              <w:rPr>
                <w:b w:val="false"/>
                <w:bCs w:val="false"/>
                <w:sz w:val="20"/>
                <w:szCs w:val="20"/>
              </w:rPr>
              <w:t xml:space="preserve">Break-glass access only; MFA mandatory; every action audited</w:t>
            </w:r>
          </w:p>
        </w:tc>
      </w:tr>
      <w:tr>
        <w:tc>
          <w:tcPr>
            <w:tcW w:type="dxa" w:w="2400"/>
            <w:shd w:fill="DCE6F1" w:val="clear"/>
            <w:tcMar>
              <w:top w:type="dxa" w:w="60"/>
              <w:left w:type="dxa" w:w="100"/>
              <w:bottom w:type="dxa" w:w="60"/>
              <w:right w:type="dxa" w:w="100"/>
            </w:tcMar>
            <w:vAlign w:val="center"/>
          </w:tcPr>
          <w:p>
            <w:r>
              <w:rPr>
                <w:b w:val="false"/>
                <w:bCs w:val="false"/>
                <w:sz w:val="20"/>
                <w:szCs w:val="20"/>
              </w:rPr>
              <w:t xml:space="preserve">Support Engineer</w:t>
            </w:r>
          </w:p>
        </w:tc>
        <w:tc>
          <w:tcPr>
            <w:tcW w:type="dxa" w:w="3300"/>
            <w:shd w:fill="DCE6F1" w:val="clear"/>
            <w:tcMar>
              <w:top w:type="dxa" w:w="60"/>
              <w:left w:type="dxa" w:w="100"/>
              <w:bottom w:type="dxa" w:w="60"/>
              <w:right w:type="dxa" w:w="100"/>
            </w:tcMar>
            <w:vAlign w:val="center"/>
          </w:tcPr>
          <w:p>
            <w:r>
              <w:rPr>
                <w:b w:val="false"/>
                <w:bCs w:val="false"/>
                <w:sz w:val="20"/>
                <w:szCs w:val="20"/>
              </w:rPr>
              <w:t xml:space="preserve">Diagnose and resolve tenant-reported issues</w:t>
            </w:r>
          </w:p>
        </w:tc>
        <w:tc>
          <w:tcPr>
            <w:tcW w:type="dxa" w:w="3650"/>
            <w:shd w:fill="DCE6F1" w:val="clear"/>
            <w:tcMar>
              <w:top w:type="dxa" w:w="60"/>
              <w:left w:type="dxa" w:w="100"/>
              <w:bottom w:type="dxa" w:w="60"/>
              <w:right w:type="dxa" w:w="100"/>
            </w:tcMar>
            <w:vAlign w:val="center"/>
          </w:tcPr>
          <w:p>
            <w:r>
              <w:rPr>
                <w:b w:val="false"/>
                <w:bCs w:val="false"/>
                <w:sz w:val="20"/>
                <w:szCs w:val="20"/>
              </w:rPr>
              <w:t xml:space="preserve">Time-boxed, ticket-linked impersonation of a tenant's admin view; explicit tenant consent captured where feasible; full session recording and audit</w:t>
            </w:r>
          </w:p>
        </w:tc>
      </w:tr>
      <w:tr>
        <w:tc>
          <w:tcPr>
            <w:tcW w:type="dxa" w:w="2400"/>
            <w:tcMar>
              <w:top w:type="dxa" w:w="60"/>
              <w:left w:type="dxa" w:w="100"/>
              <w:bottom w:type="dxa" w:w="60"/>
              <w:right w:type="dxa" w:w="100"/>
            </w:tcMar>
            <w:vAlign w:val="center"/>
          </w:tcPr>
          <w:p>
            <w:r>
              <w:rPr>
                <w:b w:val="false"/>
                <w:bCs w:val="false"/>
                <w:sz w:val="20"/>
                <w:szCs w:val="20"/>
              </w:rPr>
              <w:t xml:space="preserve">Billing Administrator</w:t>
            </w:r>
          </w:p>
        </w:tc>
        <w:tc>
          <w:tcPr>
            <w:tcW w:type="dxa" w:w="3300"/>
            <w:tcMar>
              <w:top w:type="dxa" w:w="60"/>
              <w:left w:type="dxa" w:w="100"/>
              <w:bottom w:type="dxa" w:w="60"/>
              <w:right w:type="dxa" w:w="100"/>
            </w:tcMar>
            <w:vAlign w:val="center"/>
          </w:tcPr>
          <w:p>
            <w:r>
              <w:rPr>
                <w:b w:val="false"/>
                <w:bCs w:val="false"/>
                <w:sz w:val="20"/>
                <w:szCs w:val="20"/>
              </w:rPr>
              <w:t xml:space="preserve">Manage subscriptions, invoicing of tenants, dunning</w:t>
            </w:r>
          </w:p>
        </w:tc>
        <w:tc>
          <w:tcPr>
            <w:tcW w:type="dxa" w:w="3650"/>
            <w:tcMar>
              <w:top w:type="dxa" w:w="60"/>
              <w:left w:type="dxa" w:w="100"/>
              <w:bottom w:type="dxa" w:w="60"/>
              <w:right w:type="dxa" w:w="100"/>
            </w:tcMar>
            <w:vAlign w:val="center"/>
          </w:tcPr>
          <w:p>
            <w:r>
              <w:rPr>
                <w:b w:val="false"/>
                <w:bCs w:val="false"/>
                <w:sz w:val="20"/>
                <w:szCs w:val="20"/>
              </w:rPr>
              <w:t xml:space="preserve">Access to tenant_subscription and payment records for platform billing only — no access to a tenant's own student/parent financial records</w:t>
            </w:r>
          </w:p>
        </w:tc>
      </w:tr>
      <w:tr>
        <w:tc>
          <w:tcPr>
            <w:tcW w:type="dxa" w:w="2400"/>
            <w:shd w:fill="DCE6F1" w:val="clear"/>
            <w:tcMar>
              <w:top w:type="dxa" w:w="60"/>
              <w:left w:type="dxa" w:w="100"/>
              <w:bottom w:type="dxa" w:w="60"/>
              <w:right w:type="dxa" w:w="100"/>
            </w:tcMar>
            <w:vAlign w:val="center"/>
          </w:tcPr>
          <w:p>
            <w:r>
              <w:rPr>
                <w:b w:val="false"/>
                <w:bCs w:val="false"/>
                <w:sz w:val="20"/>
                <w:szCs w:val="20"/>
              </w:rPr>
              <w:t xml:space="preserve">Onboarding Specialist</w:t>
            </w:r>
          </w:p>
        </w:tc>
        <w:tc>
          <w:tcPr>
            <w:tcW w:type="dxa" w:w="3300"/>
            <w:shd w:fill="DCE6F1" w:val="clear"/>
            <w:tcMar>
              <w:top w:type="dxa" w:w="60"/>
              <w:left w:type="dxa" w:w="100"/>
              <w:bottom w:type="dxa" w:w="60"/>
              <w:right w:type="dxa" w:w="100"/>
            </w:tcMar>
            <w:vAlign w:val="center"/>
          </w:tcPr>
          <w:p>
            <w:r>
              <w:rPr>
                <w:b w:val="false"/>
                <w:bCs w:val="false"/>
                <w:sz w:val="20"/>
                <w:szCs w:val="20"/>
              </w:rPr>
              <w:t xml:space="preserve">Set up new tenants, run seed data and initial configuration</w:t>
            </w:r>
          </w:p>
        </w:tc>
        <w:tc>
          <w:tcPr>
            <w:tcW w:type="dxa" w:w="3650"/>
            <w:shd w:fill="DCE6F1" w:val="clear"/>
            <w:tcMar>
              <w:top w:type="dxa" w:w="60"/>
              <w:left w:type="dxa" w:w="100"/>
              <w:bottom w:type="dxa" w:w="60"/>
              <w:right w:type="dxa" w:w="100"/>
            </w:tcMar>
            <w:vAlign w:val="center"/>
          </w:tcPr>
          <w:p>
            <w:r>
              <w:rPr>
                <w:b w:val="false"/>
                <w:bCs w:val="false"/>
                <w:sz w:val="20"/>
                <w:szCs w:val="20"/>
              </w:rPr>
              <w:t xml:space="preserve">Write access limited to a tenant during its onboarding window (TEN-023), auto-revoked on go-live</w:t>
            </w:r>
          </w:p>
        </w:tc>
      </w:tr>
    </w:tbl>
    <w:p>
      <w:pPr>
        <w:spacing w:after="120"/>
      </w:pPr>
      <w:r>
        <w:rPr>
          <w:b w:val="false"/>
          <w:bCs w:val="false"/>
          <w:i w:val="false"/>
          <w:iCs w:val="false"/>
        </w:rPr>
        <w:t xml:space="preserve">TEN-020: Platform roles MUST NOT be assignable to any user who is also a member of a tenant, to avoid a support engineer using their own school's account to gain elevated privilege over other tenants.</w:t>
      </w:r>
    </w:p>
    <w:p>
      <w:pPr>
        <w:spacing w:after="120"/>
      </w:pPr>
      <w:r>
        <w:rPr>
          <w:b w:val="false"/>
          <w:bCs w:val="false"/>
          <w:i w:val="false"/>
          <w:iCs w:val="false"/>
        </w:rPr>
        <w:t xml:space="preserve">TEN-021: Impersonation of a tenant user by a Support Engineer MUST require a linked support ticket, MUST be time-boxed to a maximum of 2 hours per grant, MUST be visible to the tenant's own administrators in their audit log in real time, and MUST NOT permit financial reversal, data export, or permission changes without a second platform approver (four-eyes).</w:t>
      </w:r>
    </w:p>
    <w:p>
      <w:pPr>
        <w:spacing w:after="120"/>
      </w:pPr>
      <w:r>
        <w:rPr>
          <w:b w:val="false"/>
          <w:bCs w:val="false"/>
          <w:i w:val="false"/>
          <w:iCs w:val="false"/>
        </w:rPr>
        <w:t xml:space="preserve">TEN-022: All platform-role actions against a tenant MUST be written to both the platform audit log and that tenant's own audit log, so a tenant administrator can always see what platform staff did in their account.</w:t>
      </w:r>
    </w:p>
    <w:p>
      <w:pPr>
        <w:pStyle w:val="Heading2"/>
        <w:spacing w:after="100" w:before="220"/>
      </w:pPr>
      <w:r>
        <w:rPr>
          <w:b/>
          <w:bCs/>
        </w:rPr>
        <w:t xml:space="preserve">3.2 School-Level Roles (retained from v1.0, unchanged in substance)</w:t>
      </w:r>
    </w:p>
    <w:p>
      <w:pPr>
        <w:pStyle w:val="ListParagraph"/>
        <w:numPr>
          <w:ilvl w:val="0"/>
          <w:numId w:val="1"/>
        </w:numPr>
        <w:spacing w:after="60"/>
      </w:pPr>
      <w:r>
        <w:t xml:space="preserve">Proprietor / School Director — owns the tenant relationship; sees consolidated reporting across all schools in the tenant.</w:t>
      </w:r>
    </w:p>
    <w:p>
      <w:pPr>
        <w:pStyle w:val="ListParagraph"/>
        <w:numPr>
          <w:ilvl w:val="0"/>
          <w:numId w:val="1"/>
        </w:numPr>
        <w:spacing w:after="60"/>
      </w:pPr>
      <w:r>
        <w:t xml:space="preserve">School Administrator, Headmaster, Assistant Headmaster</w:t>
      </w:r>
    </w:p>
    <w:p>
      <w:pPr>
        <w:pStyle w:val="ListParagraph"/>
        <w:numPr>
          <w:ilvl w:val="0"/>
          <w:numId w:val="1"/>
        </w:numPr>
        <w:spacing w:after="60"/>
      </w:pPr>
      <w:r>
        <w:t xml:space="preserve">Academic Coordinator, Examination Officer</w:t>
      </w:r>
    </w:p>
    <w:p>
      <w:pPr>
        <w:pStyle w:val="ListParagraph"/>
        <w:numPr>
          <w:ilvl w:val="0"/>
          <w:numId w:val="1"/>
        </w:numPr>
        <w:spacing w:after="60"/>
      </w:pPr>
      <w:r>
        <w:t xml:space="preserve">Admission Officer</w:t>
      </w:r>
    </w:p>
    <w:p>
      <w:pPr>
        <w:pStyle w:val="ListParagraph"/>
        <w:numPr>
          <w:ilvl w:val="0"/>
          <w:numId w:val="1"/>
        </w:numPr>
        <w:spacing w:after="60"/>
      </w:pPr>
      <w:r>
        <w:t xml:space="preserve">Accountant / Bursar</w:t>
      </w:r>
    </w:p>
    <w:p>
      <w:pPr>
        <w:pStyle w:val="ListParagraph"/>
        <w:numPr>
          <w:ilvl w:val="0"/>
          <w:numId w:val="1"/>
        </w:numPr>
        <w:spacing w:after="60"/>
      </w:pPr>
      <w:r>
        <w:t xml:space="preserve">Class, Subject, Nursery and Kindergarten Teachers</w:t>
      </w:r>
    </w:p>
    <w:p>
      <w:pPr>
        <w:pStyle w:val="ListParagraph"/>
        <w:numPr>
          <w:ilvl w:val="0"/>
          <w:numId w:val="1"/>
        </w:numPr>
        <w:spacing w:after="60"/>
      </w:pPr>
      <w:r>
        <w:t xml:space="preserve">Librarian, Health Officer, Storekeeper, Transport Officer</w:t>
      </w:r>
    </w:p>
    <w:p>
      <w:pPr>
        <w:pStyle w:val="ListParagraph"/>
        <w:numPr>
          <w:ilvl w:val="0"/>
          <w:numId w:val="1"/>
        </w:numPr>
        <w:spacing w:after="60"/>
      </w:pPr>
      <w:r>
        <w:t xml:space="preserve">Parent / Guardian, Student</w:t>
      </w:r>
    </w:p>
    <w:p>
      <w:pPr>
        <w:pStyle w:val="ListParagraph"/>
        <w:numPr>
          <w:ilvl w:val="0"/>
          <w:numId w:val="1"/>
        </w:numPr>
        <w:spacing w:after="60"/>
      </w:pPr>
      <w:r>
        <w:t xml:space="preserve">School ICT Officer — manages that tenant's own configuration; has no visibility into other tenants and no platform role.</w:t>
      </w:r>
    </w:p>
    <w:p>
      <w:pPr>
        <w:pStyle w:val="Heading1"/>
        <w:pageBreakBefore/>
        <w:spacing w:after="200" w:before="240"/>
      </w:pPr>
      <w:r>
        <w:rPr>
          <w:b/>
          <w:bCs/>
        </w:rPr>
        <w:t xml:space="preserve">Chapter 4 — Tenant Lifecycle</w:t>
      </w:r>
    </w:p>
    <w:p>
      <w:pPr>
        <w:pStyle w:val="Heading2"/>
        <w:spacing w:after="100" w:before="220"/>
      </w:pPr>
      <w:r>
        <w:rPr>
          <w:b/>
          <w:bCs/>
        </w:rPr>
        <w:t xml:space="preserve">4.1 Lifecycle States</w:t>
      </w:r>
    </w:p>
    <w:p>
      <w:pPr>
        <w:spacing w:after="120"/>
      </w:pPr>
      <w:r>
        <w:rPr>
          <w:b w:val="false"/>
          <w:bCs w:val="false"/>
          <w:i w:val="false"/>
          <w:iCs w:val="false"/>
        </w:rPr>
        <w:t xml:space="preserve">Trial → Onboarding → Active → Past Due → Suspended → Offboarding → Closed. A tenant record MUST always be in exactly one of these states, and every transition MUST be audited with actor, reason and timestamp.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350"/>
        <w:gridCol w:w="4400"/>
      </w:tblGrid>
      <w:tr>
        <w:trPr>
          <w:tblHeader/>
        </w:trPr>
        <w:tc>
          <w:tcPr>
            <w:tcW w:type="dxa" w:w="1600"/>
            <w:shd w:fill="1F3864" w:val="clear"/>
            <w:tcMar>
              <w:top w:type="dxa" w:w="60"/>
              <w:left w:type="dxa" w:w="100"/>
              <w:bottom w:type="dxa" w:w="60"/>
              <w:right w:type="dxa" w:w="100"/>
            </w:tcMar>
            <w:vAlign w:val="center"/>
          </w:tcPr>
          <w:p>
            <w:r>
              <w:rPr>
                <w:b/>
                <w:bCs/>
                <w:color w:val="FFFFFF"/>
                <w:sz w:val="20"/>
                <w:szCs w:val="20"/>
              </w:rPr>
              <w:t xml:space="preserve">State</w:t>
            </w:r>
          </w:p>
        </w:tc>
        <w:tc>
          <w:tcPr>
            <w:tcW w:type="dxa" w:w="3350"/>
            <w:shd w:fill="1F3864" w:val="clear"/>
            <w:tcMar>
              <w:top w:type="dxa" w:w="60"/>
              <w:left w:type="dxa" w:w="100"/>
              <w:bottom w:type="dxa" w:w="60"/>
              <w:right w:type="dxa" w:w="100"/>
            </w:tcMar>
            <w:vAlign w:val="center"/>
          </w:tcPr>
          <w:p>
            <w:r>
              <w:rPr>
                <w:b/>
                <w:bCs/>
                <w:color w:val="FFFFFF"/>
                <w:sz w:val="20"/>
                <w:szCs w:val="20"/>
              </w:rPr>
              <w:t xml:space="preserve">Meaning</w:t>
            </w:r>
          </w:p>
        </w:tc>
        <w:tc>
          <w:tcPr>
            <w:tcW w:type="dxa" w:w="4400"/>
            <w:shd w:fill="1F3864" w:val="clear"/>
            <w:tcMar>
              <w:top w:type="dxa" w:w="60"/>
              <w:left w:type="dxa" w:w="100"/>
              <w:bottom w:type="dxa" w:w="60"/>
              <w:right w:type="dxa" w:w="100"/>
            </w:tcMar>
            <w:vAlign w:val="center"/>
          </w:tcPr>
          <w:p>
            <w:r>
              <w:rPr>
                <w:b/>
                <w:bCs/>
                <w:color w:val="FFFFFF"/>
                <w:sz w:val="20"/>
                <w:szCs w:val="20"/>
              </w:rPr>
              <w:t xml:space="preserve">Data access</w:t>
            </w:r>
          </w:p>
        </w:tc>
      </w:tr>
      <w:tr>
        <w:tc>
          <w:tcPr>
            <w:tcW w:type="dxa" w:w="1600"/>
            <w:tcMar>
              <w:top w:type="dxa" w:w="60"/>
              <w:left w:type="dxa" w:w="100"/>
              <w:bottom w:type="dxa" w:w="60"/>
              <w:right w:type="dxa" w:w="100"/>
            </w:tcMar>
            <w:vAlign w:val="center"/>
          </w:tcPr>
          <w:p>
            <w:r>
              <w:rPr>
                <w:b w:val="false"/>
                <w:bCs w:val="false"/>
                <w:sz w:val="20"/>
                <w:szCs w:val="20"/>
              </w:rPr>
              <w:t xml:space="preserve">Trial</w:t>
            </w:r>
          </w:p>
        </w:tc>
        <w:tc>
          <w:tcPr>
            <w:tcW w:type="dxa" w:w="3350"/>
            <w:tcMar>
              <w:top w:type="dxa" w:w="60"/>
              <w:left w:type="dxa" w:w="100"/>
              <w:bottom w:type="dxa" w:w="60"/>
              <w:right w:type="dxa" w:w="100"/>
            </w:tcMar>
            <w:vAlign w:val="center"/>
          </w:tcPr>
          <w:p>
            <w:r>
              <w:rPr>
                <w:b w:val="false"/>
                <w:bCs w:val="false"/>
                <w:sz w:val="20"/>
                <w:szCs w:val="20"/>
              </w:rPr>
              <w:t xml:space="preserve">Self-serve or sales-assisted signup, time-limited</w:t>
            </w:r>
          </w:p>
        </w:tc>
        <w:tc>
          <w:tcPr>
            <w:tcW w:type="dxa" w:w="4400"/>
            <w:tcMar>
              <w:top w:type="dxa" w:w="60"/>
              <w:left w:type="dxa" w:w="100"/>
              <w:bottom w:type="dxa" w:w="60"/>
              <w:right w:type="dxa" w:w="100"/>
            </w:tcMar>
            <w:vAlign w:val="center"/>
          </w:tcPr>
          <w:p>
            <w:r>
              <w:rPr>
                <w:b w:val="false"/>
                <w:bCs w:val="false"/>
                <w:sz w:val="20"/>
                <w:szCs w:val="20"/>
              </w:rPr>
              <w:t xml:space="preserve">Full read/write, capped seat/student count, watermarked report cards</w:t>
            </w:r>
          </w:p>
        </w:tc>
      </w:tr>
      <w:tr>
        <w:tc>
          <w:tcPr>
            <w:tcW w:type="dxa" w:w="1600"/>
            <w:shd w:fill="DCE6F1" w:val="clear"/>
            <w:tcMar>
              <w:top w:type="dxa" w:w="60"/>
              <w:left w:type="dxa" w:w="100"/>
              <w:bottom w:type="dxa" w:w="60"/>
              <w:right w:type="dxa" w:w="100"/>
            </w:tcMar>
            <w:vAlign w:val="center"/>
          </w:tcPr>
          <w:p>
            <w:r>
              <w:rPr>
                <w:b w:val="false"/>
                <w:bCs w:val="false"/>
                <w:sz w:val="20"/>
                <w:szCs w:val="20"/>
              </w:rPr>
              <w:t xml:space="preserve">Onboarding</w:t>
            </w:r>
          </w:p>
        </w:tc>
        <w:tc>
          <w:tcPr>
            <w:tcW w:type="dxa" w:w="3350"/>
            <w:shd w:fill="DCE6F1" w:val="clear"/>
            <w:tcMar>
              <w:top w:type="dxa" w:w="60"/>
              <w:left w:type="dxa" w:w="100"/>
              <w:bottom w:type="dxa" w:w="60"/>
              <w:right w:type="dxa" w:w="100"/>
            </w:tcMar>
            <w:vAlign w:val="center"/>
          </w:tcPr>
          <w:p>
            <w:r>
              <w:rPr>
                <w:b w:val="false"/>
                <w:bCs w:val="false"/>
                <w:sz w:val="20"/>
                <w:szCs w:val="20"/>
              </w:rPr>
              <w:t xml:space="preserve">Sales-confirmed conversion, guided setup running</w:t>
            </w:r>
          </w:p>
        </w:tc>
        <w:tc>
          <w:tcPr>
            <w:tcW w:type="dxa" w:w="4400"/>
            <w:shd w:fill="DCE6F1" w:val="clear"/>
            <w:tcMar>
              <w:top w:type="dxa" w:w="60"/>
              <w:left w:type="dxa" w:w="100"/>
              <w:bottom w:type="dxa" w:w="60"/>
              <w:right w:type="dxa" w:w="100"/>
            </w:tcMar>
            <w:vAlign w:val="center"/>
          </w:tcPr>
          <w:p>
            <w:r>
              <w:rPr>
                <w:b w:val="false"/>
                <w:bCs w:val="false"/>
                <w:sz w:val="20"/>
                <w:szCs w:val="20"/>
              </w:rPr>
              <w:t xml:space="preserve">Full read/write; Onboarding Specialist has scoped write access</w:t>
            </w:r>
          </w:p>
        </w:tc>
      </w:tr>
      <w:tr>
        <w:tc>
          <w:tcPr>
            <w:tcW w:type="dxa" w:w="1600"/>
            <w:tcMar>
              <w:top w:type="dxa" w:w="60"/>
              <w:left w:type="dxa" w:w="100"/>
              <w:bottom w:type="dxa" w:w="60"/>
              <w:right w:type="dxa" w:w="100"/>
            </w:tcMar>
            <w:vAlign w:val="center"/>
          </w:tcPr>
          <w:p>
            <w:r>
              <w:rPr>
                <w:b w:val="false"/>
                <w:bCs w:val="false"/>
                <w:sz w:val="20"/>
                <w:szCs w:val="20"/>
              </w:rPr>
              <w:t xml:space="preserve">Active</w:t>
            </w:r>
          </w:p>
        </w:tc>
        <w:tc>
          <w:tcPr>
            <w:tcW w:type="dxa" w:w="3350"/>
            <w:tcMar>
              <w:top w:type="dxa" w:w="60"/>
              <w:left w:type="dxa" w:w="100"/>
              <w:bottom w:type="dxa" w:w="60"/>
              <w:right w:type="dxa" w:w="100"/>
            </w:tcMar>
            <w:vAlign w:val="center"/>
          </w:tcPr>
          <w:p>
            <w:r>
              <w:rPr>
                <w:b w:val="false"/>
                <w:bCs w:val="false"/>
                <w:sz w:val="20"/>
                <w:szCs w:val="20"/>
              </w:rPr>
              <w:t xml:space="preserve">Paying, in good standing</w:t>
            </w:r>
          </w:p>
        </w:tc>
        <w:tc>
          <w:tcPr>
            <w:tcW w:type="dxa" w:w="4400"/>
            <w:tcMar>
              <w:top w:type="dxa" w:w="60"/>
              <w:left w:type="dxa" w:w="100"/>
              <w:bottom w:type="dxa" w:w="60"/>
              <w:right w:type="dxa" w:w="100"/>
            </w:tcMar>
            <w:vAlign w:val="center"/>
          </w:tcPr>
          <w:p>
            <w:r>
              <w:rPr>
                <w:b w:val="false"/>
                <w:bCs w:val="false"/>
                <w:sz w:val="20"/>
                <w:szCs w:val="20"/>
              </w:rPr>
              <w:t xml:space="preserve">Full read/write per subscription plan limits</w:t>
            </w:r>
          </w:p>
        </w:tc>
      </w:tr>
      <w:tr>
        <w:tc>
          <w:tcPr>
            <w:tcW w:type="dxa" w:w="1600"/>
            <w:shd w:fill="DCE6F1" w:val="clear"/>
            <w:tcMar>
              <w:top w:type="dxa" w:w="60"/>
              <w:left w:type="dxa" w:w="100"/>
              <w:bottom w:type="dxa" w:w="60"/>
              <w:right w:type="dxa" w:w="100"/>
            </w:tcMar>
            <w:vAlign w:val="center"/>
          </w:tcPr>
          <w:p>
            <w:r>
              <w:rPr>
                <w:b w:val="false"/>
                <w:bCs w:val="false"/>
                <w:sz w:val="20"/>
                <w:szCs w:val="20"/>
              </w:rPr>
              <w:t xml:space="preserve">Past Due</w:t>
            </w:r>
          </w:p>
        </w:tc>
        <w:tc>
          <w:tcPr>
            <w:tcW w:type="dxa" w:w="3350"/>
            <w:shd w:fill="DCE6F1" w:val="clear"/>
            <w:tcMar>
              <w:top w:type="dxa" w:w="60"/>
              <w:left w:type="dxa" w:w="100"/>
              <w:bottom w:type="dxa" w:w="60"/>
              <w:right w:type="dxa" w:w="100"/>
            </w:tcMar>
            <w:vAlign w:val="center"/>
          </w:tcPr>
          <w:p>
            <w:r>
              <w:rPr>
                <w:b w:val="false"/>
                <w:bCs w:val="false"/>
                <w:sz w:val="20"/>
                <w:szCs w:val="20"/>
              </w:rPr>
              <w:t xml:space="preserve">Payment failed or overdue, within grace period</w:t>
            </w:r>
          </w:p>
        </w:tc>
        <w:tc>
          <w:tcPr>
            <w:tcW w:type="dxa" w:w="4400"/>
            <w:shd w:fill="DCE6F1" w:val="clear"/>
            <w:tcMar>
              <w:top w:type="dxa" w:w="60"/>
              <w:left w:type="dxa" w:w="100"/>
              <w:bottom w:type="dxa" w:w="60"/>
              <w:right w:type="dxa" w:w="100"/>
            </w:tcMar>
            <w:vAlign w:val="center"/>
          </w:tcPr>
          <w:p>
            <w:r>
              <w:rPr>
                <w:b w:val="false"/>
                <w:bCs w:val="false"/>
                <w:sz w:val="20"/>
                <w:szCs w:val="20"/>
              </w:rPr>
              <w:t xml:space="preserve">Full read/write continues; billing warnings shown to Proprietor/Administrator roles only</w:t>
            </w:r>
          </w:p>
        </w:tc>
      </w:tr>
      <w:tr>
        <w:tc>
          <w:tcPr>
            <w:tcW w:type="dxa" w:w="1600"/>
            <w:tcMar>
              <w:top w:type="dxa" w:w="60"/>
              <w:left w:type="dxa" w:w="100"/>
              <w:bottom w:type="dxa" w:w="60"/>
              <w:right w:type="dxa" w:w="100"/>
            </w:tcMar>
            <w:vAlign w:val="center"/>
          </w:tcPr>
          <w:p>
            <w:r>
              <w:rPr>
                <w:b w:val="false"/>
                <w:bCs w:val="false"/>
                <w:sz w:val="20"/>
                <w:szCs w:val="20"/>
              </w:rPr>
              <w:t xml:space="preserve">Suspended</w:t>
            </w:r>
          </w:p>
        </w:tc>
        <w:tc>
          <w:tcPr>
            <w:tcW w:type="dxa" w:w="3350"/>
            <w:tcMar>
              <w:top w:type="dxa" w:w="60"/>
              <w:left w:type="dxa" w:w="100"/>
              <w:bottom w:type="dxa" w:w="60"/>
              <w:right w:type="dxa" w:w="100"/>
            </w:tcMar>
            <w:vAlign w:val="center"/>
          </w:tcPr>
          <w:p>
            <w:r>
              <w:rPr>
                <w:b w:val="false"/>
                <w:bCs w:val="false"/>
                <w:sz w:val="20"/>
                <w:szCs w:val="20"/>
              </w:rPr>
              <w:t xml:space="preserve">Grace period expired</w:t>
            </w:r>
          </w:p>
        </w:tc>
        <w:tc>
          <w:tcPr>
            <w:tcW w:type="dxa" w:w="4400"/>
            <w:tcMar>
              <w:top w:type="dxa" w:w="60"/>
              <w:left w:type="dxa" w:w="100"/>
              <w:bottom w:type="dxa" w:w="60"/>
              <w:right w:type="dxa" w:w="100"/>
            </w:tcMar>
            <w:vAlign w:val="center"/>
          </w:tcPr>
          <w:p>
            <w:r>
              <w:rPr>
                <w:b w:val="false"/>
                <w:bCs w:val="false"/>
                <w:sz w:val="20"/>
                <w:szCs w:val="20"/>
              </w:rPr>
              <w:t xml:space="preserve">Read-only for guardians/students (published results, invoices, receipts remain visible); write access blocked for staff; data is not deleted</w:t>
            </w:r>
          </w:p>
        </w:tc>
      </w:tr>
      <w:tr>
        <w:tc>
          <w:tcPr>
            <w:tcW w:type="dxa" w:w="1600"/>
            <w:shd w:fill="DCE6F1" w:val="clear"/>
            <w:tcMar>
              <w:top w:type="dxa" w:w="60"/>
              <w:left w:type="dxa" w:w="100"/>
              <w:bottom w:type="dxa" w:w="60"/>
              <w:right w:type="dxa" w:w="100"/>
            </w:tcMar>
            <w:vAlign w:val="center"/>
          </w:tcPr>
          <w:p>
            <w:r>
              <w:rPr>
                <w:b w:val="false"/>
                <w:bCs w:val="false"/>
                <w:sz w:val="20"/>
                <w:szCs w:val="20"/>
              </w:rPr>
              <w:t xml:space="preserve">Offboarding</w:t>
            </w:r>
          </w:p>
        </w:tc>
        <w:tc>
          <w:tcPr>
            <w:tcW w:type="dxa" w:w="3350"/>
            <w:shd w:fill="DCE6F1" w:val="clear"/>
            <w:tcMar>
              <w:top w:type="dxa" w:w="60"/>
              <w:left w:type="dxa" w:w="100"/>
              <w:bottom w:type="dxa" w:w="60"/>
              <w:right w:type="dxa" w:w="100"/>
            </w:tcMar>
            <w:vAlign w:val="center"/>
          </w:tcPr>
          <w:p>
            <w:r>
              <w:rPr>
                <w:b w:val="false"/>
                <w:bCs w:val="false"/>
                <w:sz w:val="20"/>
                <w:szCs w:val="20"/>
              </w:rPr>
              <w:t xml:space="preserve">Tenant has requested closure or been closed for non-payment beyond policy limit</w:t>
            </w:r>
          </w:p>
        </w:tc>
        <w:tc>
          <w:tcPr>
            <w:tcW w:type="dxa" w:w="4400"/>
            <w:shd w:fill="DCE6F1" w:val="clear"/>
            <w:tcMar>
              <w:top w:type="dxa" w:w="60"/>
              <w:left w:type="dxa" w:w="100"/>
              <w:bottom w:type="dxa" w:w="60"/>
              <w:right w:type="dxa" w:w="100"/>
            </w:tcMar>
            <w:vAlign w:val="center"/>
          </w:tcPr>
          <w:p>
            <w:r>
              <w:rPr>
                <w:b w:val="false"/>
                <w:bCs w:val="false"/>
                <w:sz w:val="20"/>
                <w:szCs w:val="20"/>
              </w:rPr>
              <w:t xml:space="preserve">Full data export made available; countdown to permanent deletion begins</w:t>
            </w:r>
          </w:p>
        </w:tc>
      </w:tr>
      <w:tr>
        <w:tc>
          <w:tcPr>
            <w:tcW w:type="dxa" w:w="1600"/>
            <w:tcMar>
              <w:top w:type="dxa" w:w="60"/>
              <w:left w:type="dxa" w:w="100"/>
              <w:bottom w:type="dxa" w:w="60"/>
              <w:right w:type="dxa" w:w="100"/>
            </w:tcMar>
            <w:vAlign w:val="center"/>
          </w:tcPr>
          <w:p>
            <w:r>
              <w:rPr>
                <w:b w:val="false"/>
                <w:bCs w:val="false"/>
                <w:sz w:val="20"/>
                <w:szCs w:val="20"/>
              </w:rPr>
              <w:t xml:space="preserve">Closed</w:t>
            </w:r>
          </w:p>
        </w:tc>
        <w:tc>
          <w:tcPr>
            <w:tcW w:type="dxa" w:w="3350"/>
            <w:tcMar>
              <w:top w:type="dxa" w:w="60"/>
              <w:left w:type="dxa" w:w="100"/>
              <w:bottom w:type="dxa" w:w="60"/>
              <w:right w:type="dxa" w:w="100"/>
            </w:tcMar>
            <w:vAlign w:val="center"/>
          </w:tcPr>
          <w:p>
            <w:r>
              <w:rPr>
                <w:b w:val="false"/>
                <w:bCs w:val="false"/>
                <w:sz w:val="20"/>
                <w:szCs w:val="20"/>
              </w:rPr>
              <w:t xml:space="preserve">Retention period elapsed</w:t>
            </w:r>
          </w:p>
        </w:tc>
        <w:tc>
          <w:tcPr>
            <w:tcW w:type="dxa" w:w="4400"/>
            <w:tcMar>
              <w:top w:type="dxa" w:w="60"/>
              <w:left w:type="dxa" w:w="100"/>
              <w:bottom w:type="dxa" w:w="60"/>
              <w:right w:type="dxa" w:w="100"/>
            </w:tcMar>
            <w:vAlign w:val="center"/>
          </w:tcPr>
          <w:p>
            <w:r>
              <w:rPr>
                <w:b w:val="false"/>
                <w:bCs w:val="false"/>
                <w:sz w:val="20"/>
                <w:szCs w:val="20"/>
              </w:rPr>
              <w:t xml:space="preserve">Data permanently deleted per Chapter 40 retention schedule, except where law requires longer retention</w:t>
            </w:r>
          </w:p>
        </w:tc>
      </w:tr>
    </w:tbl>
    <w:p>
      <w:pPr>
        <w:spacing w:after="120"/>
      </w:pPr>
      <w:r>
        <w:rPr>
          <w:b w:val="false"/>
          <w:bCs w:val="false"/>
          <w:i w:val="false"/>
          <w:iCs w:val="false"/>
        </w:rPr>
        <w:t xml:space="preserve">TEN-023: A trial tenant MUST convert to Onboarding only after a plan is selected and a billing method is confirmed (or an approved free-tier exception is recorded).</w:t>
      </w:r>
    </w:p>
    <w:p>
      <w:pPr>
        <w:spacing w:after="120"/>
      </w:pPr>
      <w:r>
        <w:rPr>
          <w:b w:val="false"/>
          <w:bCs w:val="false"/>
          <w:i w:val="false"/>
          <w:iCs w:val="false"/>
        </w:rPr>
        <w:t xml:space="preserve">TEN-024: Suspension for non-payment MUST NOT remove or hide previously published academic results, issued receipts, or historical records from parents and students — a family's access to their own child's history is not leverage for collecting an unrelated invoice.</w:t>
      </w:r>
    </w:p>
    <w:p>
      <w:pPr>
        <w:spacing w:after="120"/>
      </w:pPr>
      <w:r>
        <w:rPr>
          <w:b w:val="false"/>
          <w:bCs w:val="false"/>
          <w:i w:val="false"/>
          <w:iCs w:val="false"/>
        </w:rPr>
        <w:t xml:space="preserve">TEN-025: A tenant MUST be able to request a full, machine-readable export of all of its data at any time while Active, Past Due or Suspended, and MUST automatically receive one at the start of Offboarding.</w:t>
      </w:r>
    </w:p>
    <w:p>
      <w:pPr>
        <w:spacing w:after="120"/>
      </w:pPr>
      <w:r>
        <w:rPr>
          <w:b w:val="false"/>
          <w:bCs w:val="false"/>
          <w:i w:val="false"/>
          <w:iCs w:val="false"/>
        </w:rPr>
        <w:t xml:space="preserve">TEN-026: Permanent deletion at the end of Offboarding MUST follow the retention schedule in Chapter 40 — financial and academic records subject to statutory retention are archived in cold storage rather than deleted outright, with access restricted to compliance and legal requests only.</w:t>
      </w:r>
    </w:p>
    <w:p>
      <w:pPr>
        <w:pStyle w:val="Heading2"/>
        <w:spacing w:after="100" w:before="220"/>
      </w:pPr>
      <w:r>
        <w:rPr>
          <w:b/>
          <w:bCs/>
        </w:rPr>
        <w:t xml:space="preserve">4.2 Onboarding &amp; Seeding</w:t>
      </w:r>
    </w:p>
    <w:p>
      <w:pPr>
        <w:spacing w:after="120"/>
      </w:pPr>
      <w:r>
        <w:rPr>
          <w:b w:val="false"/>
          <w:bCs w:val="false"/>
          <w:i w:val="false"/>
          <w:iCs w:val="false"/>
        </w:rPr>
        <w:t xml:space="preserve">FR-ONB-010: The system MUST provide a guided onboarding wizard that creates, for a new tenant, a default academic-year structure, a starter grading scale appropriate to the selected divisions, default fee categories, default report-card and receipt templates, and a starter set of KPIs — so that a new school is operable within one working day rather than after weeks of blank-slate configuration.</w:t>
      </w:r>
    </w:p>
    <w:p>
      <w:pPr>
        <w:spacing w:after="120"/>
      </w:pPr>
      <w:r>
        <w:rPr>
          <w:b w:val="false"/>
          <w:bCs w:val="false"/>
          <w:i w:val="false"/>
          <w:iCs w:val="false"/>
        </w:rPr>
        <w:t xml:space="preserve">FR-ONB-020: Onboarding MUST support bulk import of an existing student, guardian and staff roster from CSV/Excel with dry-run validation, duplicate detection and a human approval step before commit, reusing the same import pipeline used for later ad hoc imports (see Chapter 30).</w:t>
      </w:r>
    </w:p>
    <w:p>
      <w:pPr>
        <w:pStyle w:val="Heading1"/>
        <w:pageBreakBefore/>
        <w:spacing w:after="200" w:before="240"/>
      </w:pPr>
      <w:r>
        <w:rPr>
          <w:b/>
          <w:bCs/>
        </w:rPr>
        <w:t xml:space="preserve">Chapter 5 — Subscription, Billing &amp; Metering</w:t>
      </w:r>
    </w:p>
    <w:p>
      <w:pPr>
        <w:spacing w:after="120"/>
      </w:pPr>
      <w:r>
        <w:rPr>
          <w:b w:val="false"/>
          <w:bCs w:val="false"/>
          <w:i w:val="false"/>
          <w:iCs w:val="false"/>
        </w:rPr>
        <w:t xml:space="preserve">This chapter is new in Version 2.0 and did not exist in Version 1.0 in any form. It specifies how PBSMS, the company, is paid by schools — distinct from Chapter 24, which specifies how a school bills its own parents.</w:t>
      </w:r>
    </w:p>
    <w:p>
      <w:pPr>
        <w:pStyle w:val="Heading2"/>
        <w:spacing w:after="100" w:before="220"/>
      </w:pPr>
      <w:r>
        <w:rPr>
          <w:b/>
          <w:bCs/>
        </w:rPr>
        <w:t xml:space="preserve">5.1 Plan Tiers (starting point — confirm pricing with the business before build)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2400"/>
        <w:gridCol w:w="2400"/>
        <w:gridCol w:w="2900"/>
      </w:tblGrid>
      <w:tr>
        <w:trPr>
          <w:tblHeader/>
        </w:trPr>
        <w:tc>
          <w:tcPr>
            <w:tcW w:type="dxa" w:w="1650"/>
            <w:shd w:fill="1F3864" w:val="clear"/>
            <w:tcMar>
              <w:top w:type="dxa" w:w="60"/>
              <w:left w:type="dxa" w:w="100"/>
              <w:bottom w:type="dxa" w:w="60"/>
              <w:right w:type="dxa" w:w="100"/>
            </w:tcMar>
            <w:vAlign w:val="center"/>
          </w:tcPr>
          <w:p>
            <w:r>
              <w:rPr>
                <w:b/>
                <w:bCs/>
                <w:color w:val="FFFFFF"/>
                <w:sz w:val="20"/>
                <w:szCs w:val="20"/>
              </w:rPr>
              <w:t xml:space="preserve">Tier</w:t>
            </w:r>
          </w:p>
        </w:tc>
        <w:tc>
          <w:tcPr>
            <w:tcW w:type="dxa" w:w="2400"/>
            <w:shd w:fill="1F3864" w:val="clear"/>
            <w:tcMar>
              <w:top w:type="dxa" w:w="60"/>
              <w:left w:type="dxa" w:w="100"/>
              <w:bottom w:type="dxa" w:w="60"/>
              <w:right w:type="dxa" w:w="100"/>
            </w:tcMar>
            <w:vAlign w:val="center"/>
          </w:tcPr>
          <w:p>
            <w:r>
              <w:rPr>
                <w:b/>
                <w:bCs/>
                <w:color w:val="FFFFFF"/>
                <w:sz w:val="20"/>
                <w:szCs w:val="20"/>
              </w:rPr>
              <w:t xml:space="preserve">Target customer</w:t>
            </w:r>
          </w:p>
        </w:tc>
        <w:tc>
          <w:tcPr>
            <w:tcW w:type="dxa" w:w="2400"/>
            <w:shd w:fill="1F3864" w:val="clear"/>
            <w:tcMar>
              <w:top w:type="dxa" w:w="60"/>
              <w:left w:type="dxa" w:w="100"/>
              <w:bottom w:type="dxa" w:w="60"/>
              <w:right w:type="dxa" w:w="100"/>
            </w:tcMar>
            <w:vAlign w:val="center"/>
          </w:tcPr>
          <w:p>
            <w:r>
              <w:rPr>
                <w:b/>
                <w:bCs/>
                <w:color w:val="FFFFFF"/>
                <w:sz w:val="20"/>
                <w:szCs w:val="20"/>
              </w:rPr>
              <w:t xml:space="preserve">Indicative basis</w:t>
            </w:r>
          </w:p>
        </w:tc>
        <w:tc>
          <w:tcPr>
            <w:tcW w:type="dxa" w:w="2900"/>
            <w:shd w:fill="1F3864" w:val="clear"/>
            <w:tcMar>
              <w:top w:type="dxa" w:w="60"/>
              <w:left w:type="dxa" w:w="100"/>
              <w:bottom w:type="dxa" w:w="60"/>
              <w:right w:type="dxa" w:w="100"/>
            </w:tcMar>
            <w:vAlign w:val="center"/>
          </w:tcPr>
          <w:p>
            <w:r>
              <w:rPr>
                <w:b/>
                <w:bCs/>
                <w:color w:val="FFFFFF"/>
                <w:sz w:val="20"/>
                <w:szCs w:val="20"/>
              </w:rPr>
              <w:t xml:space="preserve">Illustrative limits</w:t>
            </w:r>
          </w:p>
        </w:tc>
      </w:tr>
      <w:tr>
        <w:tc>
          <w:tcPr>
            <w:tcW w:type="dxa" w:w="1650"/>
            <w:tcMar>
              <w:top w:type="dxa" w:w="60"/>
              <w:left w:type="dxa" w:w="100"/>
              <w:bottom w:type="dxa" w:w="60"/>
              <w:right w:type="dxa" w:w="100"/>
            </w:tcMar>
            <w:vAlign w:val="center"/>
          </w:tcPr>
          <w:p>
            <w:r>
              <w:rPr>
                <w:b w:val="false"/>
                <w:bCs w:val="false"/>
                <w:sz w:val="20"/>
                <w:szCs w:val="20"/>
              </w:rPr>
              <w:t xml:space="preserve">Starter</w:t>
            </w:r>
          </w:p>
        </w:tc>
        <w:tc>
          <w:tcPr>
            <w:tcW w:type="dxa" w:w="2400"/>
            <w:tcMar>
              <w:top w:type="dxa" w:w="60"/>
              <w:left w:type="dxa" w:w="100"/>
              <w:bottom w:type="dxa" w:w="60"/>
              <w:right w:type="dxa" w:w="100"/>
            </w:tcMar>
            <w:vAlign w:val="center"/>
          </w:tcPr>
          <w:p>
            <w:r>
              <w:rPr>
                <w:b w:val="false"/>
                <w:bCs w:val="false"/>
                <w:sz w:val="20"/>
                <w:szCs w:val="20"/>
              </w:rPr>
              <w:t xml:space="preserve">Single small school, under ~150 students</w:t>
            </w:r>
          </w:p>
        </w:tc>
        <w:tc>
          <w:tcPr>
            <w:tcW w:type="dxa" w:w="2400"/>
            <w:tcMar>
              <w:top w:type="dxa" w:w="60"/>
              <w:left w:type="dxa" w:w="100"/>
              <w:bottom w:type="dxa" w:w="60"/>
              <w:right w:type="dxa" w:w="100"/>
            </w:tcMar>
            <w:vAlign w:val="center"/>
          </w:tcPr>
          <w:p>
            <w:r>
              <w:rPr>
                <w:b w:val="false"/>
                <w:bCs w:val="false"/>
                <w:sz w:val="20"/>
                <w:szCs w:val="20"/>
              </w:rPr>
              <w:t xml:space="preserve">Flat monthly fee</w:t>
            </w:r>
          </w:p>
        </w:tc>
        <w:tc>
          <w:tcPr>
            <w:tcW w:type="dxa" w:w="2900"/>
            <w:tcMar>
              <w:top w:type="dxa" w:w="60"/>
              <w:left w:type="dxa" w:w="100"/>
              <w:bottom w:type="dxa" w:w="60"/>
              <w:right w:type="dxa" w:w="100"/>
            </w:tcMar>
            <w:vAlign w:val="center"/>
          </w:tcPr>
          <w:p>
            <w:r>
              <w:rPr>
                <w:b w:val="false"/>
                <w:bCs w:val="false"/>
                <w:sz w:val="20"/>
                <w:szCs w:val="20"/>
              </w:rPr>
              <w:t xml:space="preserve">1 school, 1 campus, core modules, email support</w:t>
            </w:r>
          </w:p>
        </w:tc>
      </w:tr>
      <w:tr>
        <w:tc>
          <w:tcPr>
            <w:tcW w:type="dxa" w:w="1650"/>
            <w:shd w:fill="DCE6F1" w:val="clear"/>
            <w:tcMar>
              <w:top w:type="dxa" w:w="60"/>
              <w:left w:type="dxa" w:w="100"/>
              <w:bottom w:type="dxa" w:w="60"/>
              <w:right w:type="dxa" w:w="100"/>
            </w:tcMar>
            <w:vAlign w:val="center"/>
          </w:tcPr>
          <w:p>
            <w:r>
              <w:rPr>
                <w:b w:val="false"/>
                <w:bCs w:val="false"/>
                <w:sz w:val="20"/>
                <w:szCs w:val="20"/>
              </w:rPr>
              <w:t xml:space="preserve">Standard</w:t>
            </w:r>
          </w:p>
        </w:tc>
        <w:tc>
          <w:tcPr>
            <w:tcW w:type="dxa" w:w="2400"/>
            <w:shd w:fill="DCE6F1" w:val="clear"/>
            <w:tcMar>
              <w:top w:type="dxa" w:w="60"/>
              <w:left w:type="dxa" w:w="100"/>
              <w:bottom w:type="dxa" w:w="60"/>
              <w:right w:type="dxa" w:w="100"/>
            </w:tcMar>
            <w:vAlign w:val="center"/>
          </w:tcPr>
          <w:p>
            <w:r>
              <w:rPr>
                <w:b w:val="false"/>
                <w:bCs w:val="false"/>
                <w:sz w:val="20"/>
                <w:szCs w:val="20"/>
              </w:rPr>
              <w:t xml:space="preserve">Typical single school</w:t>
            </w:r>
          </w:p>
        </w:tc>
        <w:tc>
          <w:tcPr>
            <w:tcW w:type="dxa" w:w="2400"/>
            <w:shd w:fill="DCE6F1" w:val="clear"/>
            <w:tcMar>
              <w:top w:type="dxa" w:w="60"/>
              <w:left w:type="dxa" w:w="100"/>
              <w:bottom w:type="dxa" w:w="60"/>
              <w:right w:type="dxa" w:w="100"/>
            </w:tcMar>
            <w:vAlign w:val="center"/>
          </w:tcPr>
          <w:p>
            <w:r>
              <w:rPr>
                <w:b w:val="false"/>
                <w:bCs w:val="false"/>
                <w:sz w:val="20"/>
                <w:szCs w:val="20"/>
              </w:rPr>
              <w:t xml:space="preserve">Per-active-student per term</w:t>
            </w:r>
          </w:p>
        </w:tc>
        <w:tc>
          <w:tcPr>
            <w:tcW w:type="dxa" w:w="2900"/>
            <w:shd w:fill="DCE6F1" w:val="clear"/>
            <w:tcMar>
              <w:top w:type="dxa" w:w="60"/>
              <w:left w:type="dxa" w:w="100"/>
              <w:bottom w:type="dxa" w:w="60"/>
              <w:right w:type="dxa" w:w="100"/>
            </w:tcMar>
            <w:vAlign w:val="center"/>
          </w:tcPr>
          <w:p>
            <w:r>
              <w:rPr>
                <w:b w:val="false"/>
                <w:bCs w:val="false"/>
                <w:sz w:val="20"/>
                <w:szCs w:val="20"/>
              </w:rPr>
              <w:t xml:space="preserve">Unlimited campuses for that school, WhatsApp/SMS credits included up to a threshold, priority support</w:t>
            </w:r>
          </w:p>
        </w:tc>
      </w:tr>
      <w:tr>
        <w:tc>
          <w:tcPr>
            <w:tcW w:type="dxa" w:w="1650"/>
            <w:tcMar>
              <w:top w:type="dxa" w:w="60"/>
              <w:left w:type="dxa" w:w="100"/>
              <w:bottom w:type="dxa" w:w="60"/>
              <w:right w:type="dxa" w:w="100"/>
            </w:tcMar>
            <w:vAlign w:val="center"/>
          </w:tcPr>
          <w:p>
            <w:r>
              <w:rPr>
                <w:b w:val="false"/>
                <w:bCs w:val="false"/>
                <w:sz w:val="20"/>
                <w:szCs w:val="20"/>
              </w:rPr>
              <w:t xml:space="preserve">Group</w:t>
            </w:r>
          </w:p>
        </w:tc>
        <w:tc>
          <w:tcPr>
            <w:tcW w:type="dxa" w:w="2400"/>
            <w:tcMar>
              <w:top w:type="dxa" w:w="60"/>
              <w:left w:type="dxa" w:w="100"/>
              <w:bottom w:type="dxa" w:w="60"/>
              <w:right w:type="dxa" w:w="100"/>
            </w:tcMar>
            <w:vAlign w:val="center"/>
          </w:tcPr>
          <w:p>
            <w:r>
              <w:rPr>
                <w:b w:val="false"/>
                <w:bCs w:val="false"/>
                <w:sz w:val="20"/>
                <w:szCs w:val="20"/>
              </w:rPr>
              <w:t xml:space="preserve">Proprietor with 2+ schools</w:t>
            </w:r>
          </w:p>
        </w:tc>
        <w:tc>
          <w:tcPr>
            <w:tcW w:type="dxa" w:w="2400"/>
            <w:tcMar>
              <w:top w:type="dxa" w:w="60"/>
              <w:left w:type="dxa" w:w="100"/>
              <w:bottom w:type="dxa" w:w="60"/>
              <w:right w:type="dxa" w:w="100"/>
            </w:tcMar>
            <w:vAlign w:val="center"/>
          </w:tcPr>
          <w:p>
            <w:r>
              <w:rPr>
                <w:b w:val="false"/>
                <w:bCs w:val="false"/>
                <w:sz w:val="20"/>
                <w:szCs w:val="20"/>
              </w:rPr>
              <w:t xml:space="preserve">Per-active-student per term, volume discount</w:t>
            </w:r>
          </w:p>
        </w:tc>
        <w:tc>
          <w:tcPr>
            <w:tcW w:type="dxa" w:w="2900"/>
            <w:tcMar>
              <w:top w:type="dxa" w:w="60"/>
              <w:left w:type="dxa" w:w="100"/>
              <w:bottom w:type="dxa" w:w="60"/>
              <w:right w:type="dxa" w:w="100"/>
            </w:tcMar>
            <w:vAlign w:val="center"/>
          </w:tcPr>
          <w:p>
            <w:r>
              <w:rPr>
                <w:b w:val="false"/>
                <w:bCs w:val="false"/>
                <w:sz w:val="20"/>
                <w:szCs w:val="20"/>
              </w:rPr>
              <w:t xml:space="preserve">Multi-school roll-up dashboards, consolidated billing, dedicated onboarding</w:t>
            </w:r>
          </w:p>
        </w:tc>
      </w:tr>
      <w:tr>
        <w:tc>
          <w:tcPr>
            <w:tcW w:type="dxa" w:w="1650"/>
            <w:shd w:fill="DCE6F1" w:val="clear"/>
            <w:tcMar>
              <w:top w:type="dxa" w:w="60"/>
              <w:left w:type="dxa" w:w="100"/>
              <w:bottom w:type="dxa" w:w="60"/>
              <w:right w:type="dxa" w:w="100"/>
            </w:tcMar>
            <w:vAlign w:val="center"/>
          </w:tcPr>
          <w:p>
            <w:r>
              <w:rPr>
                <w:b w:val="false"/>
                <w:bCs w:val="false"/>
                <w:sz w:val="20"/>
                <w:szCs w:val="20"/>
              </w:rPr>
              <w:t xml:space="preserve">Enterprise / Dedicated</w:t>
            </w:r>
          </w:p>
        </w:tc>
        <w:tc>
          <w:tcPr>
            <w:tcW w:type="dxa" w:w="2400"/>
            <w:shd w:fill="DCE6F1" w:val="clear"/>
            <w:tcMar>
              <w:top w:type="dxa" w:w="60"/>
              <w:left w:type="dxa" w:w="100"/>
              <w:bottom w:type="dxa" w:w="60"/>
              <w:right w:type="dxa" w:w="100"/>
            </w:tcMar>
            <w:vAlign w:val="center"/>
          </w:tcPr>
          <w:p>
            <w:r>
              <w:rPr>
                <w:b w:val="false"/>
                <w:bCs w:val="false"/>
                <w:sz w:val="20"/>
                <w:szCs w:val="20"/>
              </w:rPr>
              <w:t xml:space="preserve">Large groups, regulatory need</w:t>
            </w:r>
          </w:p>
        </w:tc>
        <w:tc>
          <w:tcPr>
            <w:tcW w:type="dxa" w:w="2400"/>
            <w:shd w:fill="DCE6F1" w:val="clear"/>
            <w:tcMar>
              <w:top w:type="dxa" w:w="60"/>
              <w:left w:type="dxa" w:w="100"/>
              <w:bottom w:type="dxa" w:w="60"/>
              <w:right w:type="dxa" w:w="100"/>
            </w:tcMar>
            <w:vAlign w:val="center"/>
          </w:tcPr>
          <w:p>
            <w:r>
              <w:rPr>
                <w:b w:val="false"/>
                <w:bCs w:val="false"/>
                <w:sz w:val="20"/>
                <w:szCs w:val="20"/>
              </w:rPr>
              <w:t xml:space="preserve">Custom</w:t>
            </w:r>
          </w:p>
        </w:tc>
        <w:tc>
          <w:tcPr>
            <w:tcW w:type="dxa" w:w="2900"/>
            <w:shd w:fill="DCE6F1" w:val="clear"/>
            <w:tcMar>
              <w:top w:type="dxa" w:w="60"/>
              <w:left w:type="dxa" w:w="100"/>
              <w:bottom w:type="dxa" w:w="60"/>
              <w:right w:type="dxa" w:w="100"/>
            </w:tcMar>
            <w:vAlign w:val="center"/>
          </w:tcPr>
          <w:p>
            <w:r>
              <w:rPr>
                <w:b w:val="false"/>
                <w:bCs w:val="false"/>
                <w:sz w:val="20"/>
                <w:szCs w:val="20"/>
              </w:rPr>
              <w:t xml:space="preserve">Dedicated-database isolation tier (TEN-002), custom SLA, custom integrations</w:t>
            </w:r>
          </w:p>
        </w:tc>
      </w:tr>
    </w:tbl>
    <w:p>
      <w:pPr>
        <w:spacing w:after="120"/>
      </w:pPr>
      <w:r>
        <w:rPr>
          <w:b w:val="false"/>
          <w:bCs w:val="false"/>
          <w:i w:val="false"/>
          <w:iCs w:val="false"/>
        </w:rPr>
        <w:t xml:space="preserve">TEN-030: An active student is defined as a student with at least one active enrolment in the current term. Suspended, withdrawn, graduated and archived students MUST NOT count toward metered usage.</w:t>
      </w:r>
    </w:p>
    <w:p>
      <w:pPr>
        <w:spacing w:after="120"/>
      </w:pPr>
      <w:r>
        <w:rPr>
          <w:b w:val="false"/>
          <w:bCs w:val="false"/>
          <w:i w:val="false"/>
          <w:iCs w:val="false"/>
        </w:rPr>
        <w:t xml:space="preserve">TEN-031: The platform MUST meter active-student counts per tenant per billing period automatically from enrolment data, and MUST make the current count and the resulting projected bill visible to the tenant's Proprietor/Administrator role at any time — no surprise invoices.</w:t>
      </w:r>
    </w:p>
    <w:p>
      <w:pPr>
        <w:pStyle w:val="Heading2"/>
        <w:spacing w:after="100" w:before="220"/>
      </w:pPr>
      <w:r>
        <w:rPr>
          <w:b/>
          <w:bCs/>
        </w:rPr>
        <w:t xml:space="preserve">5.2 Billing Operations</w:t>
      </w:r>
    </w:p>
    <w:p>
      <w:pPr>
        <w:pStyle w:val="ListParagraph"/>
        <w:numPr>
          <w:ilvl w:val="0"/>
          <w:numId w:val="1"/>
        </w:numPr>
        <w:spacing w:after="60"/>
      </w:pPr>
      <w:r>
        <w:t xml:space="preserve">FR-BIL-010: Generate a platform invoice per tenant per billing cycle from metered usage and plan terms.</w:t>
      </w:r>
    </w:p>
    <w:p>
      <w:pPr>
        <w:pStyle w:val="ListParagraph"/>
        <w:numPr>
          <w:ilvl w:val="0"/>
          <w:numId w:val="1"/>
        </w:numPr>
        <w:spacing w:after="60"/>
      </w:pPr>
      <w:r>
        <w:t xml:space="preserve">FR-BIL-020: Support monthly and termly billing cycles, aligned to the Ghanaian three-term academic calendar as an option.</w:t>
      </w:r>
    </w:p>
    <w:p>
      <w:pPr>
        <w:pStyle w:val="ListParagraph"/>
        <w:numPr>
          <w:ilvl w:val="0"/>
          <w:numId w:val="1"/>
        </w:numPr>
        <w:spacing w:after="60"/>
      </w:pPr>
      <w:r>
        <w:t xml:space="preserve">FR-BIL-030: Accept platform-invoice payment via the same Ghanaian payment rails used for parent billing (Chapter 24), plus bank transfer and card.</w:t>
      </w:r>
    </w:p>
    <w:p>
      <w:pPr>
        <w:pStyle w:val="ListParagraph"/>
        <w:numPr>
          <w:ilvl w:val="0"/>
          <w:numId w:val="1"/>
        </w:numPr>
        <w:spacing w:after="60"/>
      </w:pPr>
      <w:r>
        <w:t xml:space="preserve">FR-BIL-040: Run configurable dunning on payment failure — reminder, grace period, Past Due state, then Suspended per Chapter 4 — with every step notified to the Proprietor by email and WhatsApp.</w:t>
      </w:r>
    </w:p>
    <w:p>
      <w:pPr>
        <w:pStyle w:val="ListParagraph"/>
        <w:numPr>
          <w:ilvl w:val="0"/>
          <w:numId w:val="1"/>
        </w:numPr>
        <w:spacing w:after="60"/>
      </w:pPr>
      <w:r>
        <w:t xml:space="preserve">FR-BIL-050: Produce a platform revenue report (MRR, churn, expansion, tenant-level ARPU) for internal PBSMS use only, isolated from all tenant data views.</w:t>
      </w:r>
    </w:p>
    <w:p>
      <w:pPr>
        <w:pStyle w:val="Heading1"/>
        <w:pageBreakBefore/>
        <w:spacing w:after="200" w:before="240"/>
      </w:pPr>
      <w:r>
        <w:rPr>
          <w:b/>
          <w:bCs/>
        </w:rPr>
        <w:t xml:space="preserve">Chapter 6 — Tenant-Scoped Non-Functional Architecture</w:t>
      </w:r>
    </w:p>
    <w:p>
      <w:pPr>
        <w:spacing w:after="120"/>
      </w:pPr>
      <w:r>
        <w:rPr>
          <w:b w:val="false"/>
          <w:bCs w:val="false"/>
          <w:i w:val="false"/>
          <w:iCs w:val="false"/>
        </w:rPr>
        <w:t xml:space="preserve">Every non-functional concern in Version 1.0 (caching, backup, monitoring, rate limiting) was specified at the level of one school. This chapter restates those concerns with the tenant as the unit of measurement, and is the contract that Chapters 37–38 build on.</w:t>
      </w:r>
    </w:p>
    <w:p>
      <w:pPr>
        <w:pStyle w:val="Heading2"/>
        <w:spacing w:after="100" w:before="220"/>
      </w:pPr>
      <w:r>
        <w:rPr>
          <w:b/>
          <w:bCs/>
        </w:rPr>
        <w:t xml:space="preserve">6.1 Caching</w:t>
      </w:r>
    </w:p>
    <w:p>
      <w:pPr>
        <w:spacing w:after="120"/>
      </w:pPr>
      <w:r>
        <w:rPr>
          <w:b w:val="false"/>
          <w:bCs w:val="false"/>
          <w:i w:val="false"/>
          <w:iCs w:val="false"/>
        </w:rPr>
        <w:t xml:space="preserve">TEN-040: Every cache key MUST begin with tenant_id. No cache MAY be shared across tenants under any circumstance, including "reference data" caches — a shared curriculum template cache, for example, is namespaced per tenant even if its content is momentarily identical across tenants, so a later per-tenant customization cannot leak.</w:t>
      </w:r>
    </w:p>
    <w:p>
      <w:pPr>
        <w:pStyle w:val="Heading2"/>
        <w:spacing w:after="100" w:before="220"/>
      </w:pPr>
      <w:r>
        <w:rPr>
          <w:b/>
          <w:bCs/>
        </w:rPr>
        <w:t xml:space="preserve">6.2 Quotas &amp; Noisy-Neighbour Protection</w:t>
      </w:r>
    </w:p>
    <w:p>
      <w:pPr>
        <w:pStyle w:val="ListParagraph"/>
        <w:numPr>
          <w:ilvl w:val="0"/>
          <w:numId w:val="1"/>
        </w:numPr>
        <w:spacing w:after="60"/>
      </w:pPr>
      <w:r>
        <w:t xml:space="preserve">NFR-PERF-010: Each tenant MUST be subject to a request-rate limit and a background-job fair-share quota so that one tenant's peak load (for example, an entire school entering scores at the Third Term deadline) cannot degrade response times for other tenants.</w:t>
      </w:r>
    </w:p>
    <w:p>
      <w:pPr>
        <w:pStyle w:val="ListParagraph"/>
        <w:numPr>
          <w:ilvl w:val="0"/>
          <w:numId w:val="1"/>
        </w:numPr>
        <w:spacing w:after="60"/>
      </w:pPr>
      <w:r>
        <w:t xml:space="preserve">NFR-PERF-011: Bulk operations (report-card batch generation, bulk import, mass notification send) MUST run on a dedicated worker pool, separate from interactive request-serving capacity.</w:t>
      </w:r>
    </w:p>
    <w:p>
      <w:pPr>
        <w:pStyle w:val="Heading2"/>
        <w:spacing w:after="100" w:before="220"/>
      </w:pPr>
      <w:r>
        <w:rPr>
          <w:b/>
          <w:bCs/>
        </w:rPr>
        <w:t xml:space="preserve">6.3 Observability</w:t>
      </w:r>
    </w:p>
    <w:p>
      <w:pPr>
        <w:spacing w:after="120"/>
      </w:pPr>
      <w:r>
        <w:rPr>
          <w:b w:val="false"/>
          <w:bCs w:val="false"/>
          <w:i w:val="false"/>
          <w:iCs w:val="false"/>
        </w:rPr>
        <w:t xml:space="preserve">TEN-041: Every log line, metric and trace MUST carry tenant_id. Dashboards MUST support both a per-tenant view (for support) and an aggregate platform view (for operations), and MUST NOT allow a platform dashboard query to return the content of tenant-owned records — only counts, timings and health indicators.</w:t>
      </w:r>
    </w:p>
    <w:p>
      <w:pPr>
        <w:pStyle w:val="Heading2"/>
        <w:spacing w:after="100" w:before="220"/>
      </w:pPr>
      <w:r>
        <w:rPr>
          <w:b/>
          <w:bCs/>
        </w:rPr>
        <w:t xml:space="preserve">6.4 Backup &amp; Restore</w:t>
      </w:r>
    </w:p>
    <w:p>
      <w:pPr>
        <w:spacing w:after="120"/>
      </w:pPr>
      <w:r>
        <w:rPr>
          <w:b w:val="false"/>
          <w:bCs w:val="false"/>
          <w:i w:val="false"/>
          <w:iCs w:val="false"/>
        </w:rPr>
        <w:t xml:space="preserve">TEN-042: Backup MUST be taken at the whole-platform level for efficiency, but restore MUST support a per-tenant point-in-time recovery path that does not require restoring or touching any other tenant's current data. This is specified in full in Chapter 39.</w:t>
      </w:r>
    </w:p>
    <w:p>
      <w:pPr>
        <w:pageBreakBefore/>
        <w:spacing w:after="120" w:before="2000"/>
        <w:jc w:val="center"/>
      </w:pPr>
      <w:r>
        <w:rPr>
          <w:color w:val="1F3864"/>
          <w:sz w:val="28"/>
          <w:szCs w:val="28"/>
        </w:rPr>
        <w:t xml:space="preserve">—</w:t>
      </w:r>
    </w:p>
    <w:p>
      <w:pPr>
        <w:pStyle w:val="Heading1"/>
        <w:spacing w:after="120" w:before="200"/>
        <w:jc w:val="center"/>
      </w:pPr>
      <w:r>
        <w:rPr>
          <w:b/>
          <w:bCs/>
          <w:color w:val="1F3864"/>
          <w:sz w:val="36"/>
          <w:szCs w:val="36"/>
        </w:rPr>
        <w:t xml:space="preserve">VOLUME I</w:t>
      </w:r>
    </w:p>
    <w:p>
      <w:pPr>
        <w:spacing w:after="2000"/>
        <w:jc w:val="center"/>
      </w:pPr>
      <w:r>
        <w:rPr>
          <w:i/>
          <w:iCs/>
          <w:sz w:val="24"/>
          <w:szCs w:val="24"/>
        </w:rPr>
        <w:t xml:space="preserve">Enterprise Foundation — Chapters 7–14</w:t>
      </w:r>
    </w:p>
    <w:p>
      <w:pPr>
        <w:pStyle w:val="Heading1"/>
        <w:pageBreakBefore/>
        <w:spacing w:after="200" w:before="240"/>
      </w:pPr>
      <w:r>
        <w:rPr>
          <w:b/>
          <w:bCs/>
        </w:rPr>
        <w:t xml:space="preserve">Chapter 7 — Introduction &amp; Business Context</w:t>
      </w:r>
    </w:p>
    <w:p>
      <w:pPr>
        <w:pStyle w:val="Heading2"/>
        <w:spacing w:after="100" w:before="220"/>
      </w:pPr>
      <w:r>
        <w:rPr>
          <w:b/>
          <w:bCs/>
        </w:rPr>
        <w:t xml:space="preserve">7.1 Background</w:t>
      </w:r>
    </w:p>
    <w:p>
      <w:pPr>
        <w:spacing w:after="120"/>
      </w:pPr>
      <w:r>
        <w:rPr>
          <w:b w:val="false"/>
          <w:bCs w:val="false"/>
          <w:i w:val="false"/>
          <w:iCs w:val="false"/>
        </w:rPr>
        <w:t xml:space="preserve">Basic schools typically maintain admissions, attendance, grading, finance and communication as separate, disconnected records. PBSMS replaces this fragmentation with one integrated platform per school, delivered as a shared, multi-tenant service so that the cost of a professional system is achievable for a single proprietor-owned basic school, not only for large institutions.</w:t>
      </w:r>
    </w:p>
    <w:p>
      <w:pPr>
        <w:pStyle w:val="Heading2"/>
        <w:spacing w:after="100" w:before="220"/>
      </w:pPr>
      <w:r>
        <w:rPr>
          <w:b/>
          <w:bCs/>
        </w:rPr>
        <w:t xml:space="preserve">7.2 Business Context</w:t>
      </w:r>
    </w:p>
    <w:p>
      <w:pPr>
        <w:spacing w:after="120"/>
      </w:pPr>
      <w:r>
        <w:rPr>
          <w:b w:val="false"/>
          <w:bCs w:val="false"/>
          <w:i w:val="false"/>
          <w:iCs w:val="false"/>
        </w:rPr>
        <w:t xml:space="preserve">A school manages people, learning, money, documents, communication, facilities and institutional accountability. PBSMS treats these as connected business domains supported by a common security, data and reporting foundation, delivered multi-tenant so each school's domains stay logically whole while the underlying platform is shared.</w:t>
      </w:r>
    </w:p>
    <w:p>
      <w:pPr>
        <w:pStyle w:val="Heading2"/>
        <w:spacing w:after="100" w:before="220"/>
      </w:pPr>
      <w:r>
        <w:rPr>
          <w:b/>
          <w:bCs/>
        </w:rPr>
        <w:t xml:space="preserve">7.3 Business Drivers</w:t>
      </w:r>
    </w:p>
    <w:p>
      <w:pPr>
        <w:pStyle w:val="ListParagraph"/>
        <w:numPr>
          <w:ilvl w:val="0"/>
          <w:numId w:val="1"/>
        </w:numPr>
        <w:spacing w:after="60"/>
      </w:pPr>
      <w:r>
        <w:t xml:space="preserve">Operational efficiency</w:t>
      </w:r>
    </w:p>
    <w:p>
      <w:pPr>
        <w:pStyle w:val="ListParagraph"/>
        <w:numPr>
          <w:ilvl w:val="0"/>
          <w:numId w:val="1"/>
        </w:numPr>
        <w:spacing w:after="60"/>
      </w:pPr>
      <w:r>
        <w:t xml:space="preserve">Academic quality</w:t>
      </w:r>
    </w:p>
    <w:p>
      <w:pPr>
        <w:pStyle w:val="ListParagraph"/>
        <w:numPr>
          <w:ilvl w:val="0"/>
          <w:numId w:val="1"/>
        </w:numPr>
        <w:spacing w:after="60"/>
      </w:pPr>
      <w:r>
        <w:t xml:space="preserve">Financial accountability</w:t>
      </w:r>
    </w:p>
    <w:p>
      <w:pPr>
        <w:pStyle w:val="ListParagraph"/>
        <w:numPr>
          <w:ilvl w:val="0"/>
          <w:numId w:val="1"/>
        </w:numPr>
        <w:spacing w:after="60"/>
      </w:pPr>
      <w:r>
        <w:t xml:space="preserve">Institutional governance</w:t>
      </w:r>
    </w:p>
    <w:p>
      <w:pPr>
        <w:pStyle w:val="ListParagraph"/>
        <w:numPr>
          <w:ilvl w:val="0"/>
          <w:numId w:val="1"/>
        </w:numPr>
        <w:spacing w:after="60"/>
      </w:pPr>
      <w:r>
        <w:t xml:space="preserve">Parent communication</w:t>
      </w:r>
    </w:p>
    <w:p>
      <w:pPr>
        <w:pStyle w:val="ListParagraph"/>
        <w:numPr>
          <w:ilvl w:val="0"/>
          <w:numId w:val="1"/>
        </w:numPr>
        <w:spacing w:after="60"/>
      </w:pPr>
      <w:r>
        <w:t xml:space="preserve">Data integrity and retention</w:t>
      </w:r>
    </w:p>
    <w:p>
      <w:pPr>
        <w:pStyle w:val="ListParagraph"/>
        <w:numPr>
          <w:ilvl w:val="0"/>
          <w:numId w:val="1"/>
        </w:numPr>
        <w:spacing w:after="60"/>
      </w:pPr>
      <w:r>
        <w:t xml:space="preserve">Platform sustainability (Version 2.0 addition): the product must be commercially viable to operate as a multi-tenant service</w:t>
      </w:r>
    </w:p>
    <w:p>
      <w:pPr>
        <w:pStyle w:val="Heading2"/>
        <w:spacing w:after="100" w:before="220"/>
      </w:pPr>
      <w:r>
        <w:rPr>
          <w:b/>
          <w:bCs/>
        </w:rPr>
        <w:t xml:space="preserve">7.4 In-Scope Education Levels</w:t>
      </w:r>
    </w:p>
    <w:p>
      <w:pPr>
        <w:pStyle w:val="ListParagraph"/>
        <w:numPr>
          <w:ilvl w:val="0"/>
          <w:numId w:val="1"/>
        </w:numPr>
        <w:spacing w:after="60"/>
      </w:pPr>
      <w:r>
        <w:t xml:space="preserve">Nursery 1 and Nursery 2</w:t>
      </w:r>
    </w:p>
    <w:p>
      <w:pPr>
        <w:pStyle w:val="ListParagraph"/>
        <w:numPr>
          <w:ilvl w:val="0"/>
          <w:numId w:val="1"/>
        </w:numPr>
        <w:spacing w:after="60"/>
      </w:pPr>
      <w:r>
        <w:t xml:space="preserve">Kindergarten 1 and Kindergarten 2</w:t>
      </w:r>
    </w:p>
    <w:p>
      <w:pPr>
        <w:pStyle w:val="ListParagraph"/>
        <w:numPr>
          <w:ilvl w:val="0"/>
          <w:numId w:val="1"/>
        </w:numPr>
        <w:spacing w:after="60"/>
      </w:pPr>
      <w:r>
        <w:t xml:space="preserve">Basic 1 through Basic 6</w:t>
      </w:r>
    </w:p>
    <w:p>
      <w:pPr>
        <w:pStyle w:val="ListParagraph"/>
        <w:numPr>
          <w:ilvl w:val="0"/>
          <w:numId w:val="1"/>
        </w:numPr>
        <w:spacing w:after="60"/>
      </w:pPr>
      <w:r>
        <w:t xml:space="preserve">JHS 1 through JHS 3</w:t>
      </w:r>
    </w:p>
    <w:p>
      <w:pPr>
        <w:pStyle w:val="Heading2"/>
        <w:spacing w:after="100" w:before="220"/>
      </w:pPr>
      <w:r>
        <w:rPr>
          <w:b/>
          <w:bCs/>
        </w:rPr>
        <w:t xml:space="preserve">7.5 Out of Scope</w:t>
      </w:r>
    </w:p>
    <w:p>
      <w:pPr>
        <w:pStyle w:val="ListParagraph"/>
        <w:numPr>
          <w:ilvl w:val="0"/>
          <w:numId w:val="1"/>
        </w:numPr>
        <w:spacing w:after="60"/>
      </w:pPr>
      <w:r>
        <w:t xml:space="preserve">Senior High School administration</w:t>
      </w:r>
    </w:p>
    <w:p>
      <w:pPr>
        <w:pStyle w:val="ListParagraph"/>
        <w:numPr>
          <w:ilvl w:val="0"/>
          <w:numId w:val="1"/>
        </w:numPr>
        <w:spacing w:after="60"/>
      </w:pPr>
      <w:r>
        <w:t xml:space="preserve">University, college or tertiary structures</w:t>
      </w:r>
    </w:p>
    <w:p>
      <w:pPr>
        <w:pStyle w:val="ListParagraph"/>
        <w:numPr>
          <w:ilvl w:val="0"/>
          <w:numId w:val="1"/>
        </w:numPr>
        <w:spacing w:after="60"/>
      </w:pPr>
      <w:r>
        <w:t xml:space="preserve">Semesters, credit hours, GPA or CGPA</w:t>
      </w:r>
    </w:p>
    <w:p>
      <w:pPr>
        <w:pStyle w:val="ListParagraph"/>
        <w:numPr>
          <w:ilvl w:val="0"/>
          <w:numId w:val="1"/>
        </w:numPr>
        <w:spacing w:after="60"/>
      </w:pPr>
      <w:r>
        <w:t xml:space="preserve">Lecturers, faculties and degree programmes</w:t>
      </w:r>
    </w:p>
    <w:p>
      <w:pPr>
        <w:pStyle w:val="Heading2"/>
        <w:spacing w:after="100" w:before="220"/>
      </w:pPr>
      <w:r>
        <w:rPr>
          <w:b/>
          <w:bCs/>
        </w:rPr>
        <w:t xml:space="preserve">7.6 Configurable Regional Defaults</w:t>
      </w:r>
    </w:p>
    <w:p>
      <w:pPr>
        <w:spacing w:after="120"/>
      </w:pPr>
      <w:r>
        <w:rPr>
          <w:b w:val="false"/>
          <w:bCs w:val="false"/>
          <w:i w:val="false"/>
          <w:iCs w:val="false"/>
        </w:rPr>
        <w:t xml:space="preserve">The Ghana defaults (GHS currency, Africa/Accra time zone, three-term calendar) remain the shipped default, but are now explicitly per-tenant configuration values (TEN-010 hierarchy), enabling future expansion to other West African markets without a code change.</w:t>
      </w:r>
    </w:p>
    <w:p>
      <w:pPr>
        <w:pStyle w:val="Heading1"/>
        <w:pageBreakBefore/>
        <w:spacing w:after="200" w:before="240"/>
      </w:pPr>
      <w:r>
        <w:rPr>
          <w:b/>
          <w:bCs/>
        </w:rPr>
        <w:t xml:space="preserve">Chapter 8 — Business Requirements</w:t>
      </w:r>
    </w:p>
    <w:p>
      <w:pPr>
        <w:pStyle w:val="Heading2"/>
        <w:spacing w:after="100" w:before="220"/>
      </w:pPr>
      <w:r>
        <w:rPr>
          <w:b/>
          <w:bCs/>
        </w:rPr>
        <w:t xml:space="preserve">8.1 Primary Goal</w:t>
      </w:r>
    </w:p>
    <w:p>
      <w:pPr>
        <w:spacing w:after="120"/>
      </w:pPr>
      <w:r>
        <w:rPr>
          <w:b w:val="false"/>
          <w:bCs w:val="false"/>
          <w:i w:val="false"/>
          <w:iCs w:val="false"/>
        </w:rPr>
        <w:t xml:space="preserve">Provide one integrated, secure, multi-tenant platform for the academic, administrative, operational and financial management of Nursery-to-JHS schools, operable as a sustainable software business.</w:t>
      </w:r>
    </w:p>
    <w:p>
      <w:pPr>
        <w:pStyle w:val="Heading2"/>
        <w:spacing w:after="100" w:before="220"/>
      </w:pPr>
      <w:r>
        <w:rPr>
          <w:b/>
          <w:bCs/>
        </w:rPr>
        <w:t xml:space="preserve">8.2 Strategic Requirements</w:t>
      </w:r>
    </w:p>
    <w:p>
      <w:pPr>
        <w:pStyle w:val="ListParagraph"/>
        <w:numPr>
          <w:ilvl w:val="0"/>
          <w:numId w:val="1"/>
        </w:numPr>
        <w:spacing w:after="60"/>
      </w:pPr>
      <w:r>
        <w:t xml:space="preserve">BR-001: Maintain one authoritative source of institutional data per tenant.</w:t>
      </w:r>
    </w:p>
    <w:p>
      <w:pPr>
        <w:pStyle w:val="ListParagraph"/>
        <w:numPr>
          <w:ilvl w:val="0"/>
          <w:numId w:val="1"/>
        </w:numPr>
        <w:spacing w:after="60"/>
      </w:pPr>
      <w:r>
        <w:t xml:space="preserve">BR-002: Reduce manual workload through safe automation.</w:t>
      </w:r>
    </w:p>
    <w:p>
      <w:pPr>
        <w:pStyle w:val="ListParagraph"/>
        <w:numPr>
          <w:ilvl w:val="0"/>
          <w:numId w:val="1"/>
        </w:numPr>
        <w:spacing w:after="60"/>
      </w:pPr>
      <w:r>
        <w:t xml:space="preserve">BR-003: Provide timely, role-appropriate decision information.</w:t>
      </w:r>
    </w:p>
    <w:p>
      <w:pPr>
        <w:pStyle w:val="ListParagraph"/>
        <w:numPr>
          <w:ilvl w:val="0"/>
          <w:numId w:val="1"/>
        </w:numPr>
        <w:spacing w:after="60"/>
      </w:pPr>
      <w:r>
        <w:t xml:space="preserve">BR-004: Support transparent, reconcilable finance operations, both school-to-parent and platform-to-school.</w:t>
      </w:r>
    </w:p>
    <w:p>
      <w:pPr>
        <w:pStyle w:val="ListParagraph"/>
        <w:numPr>
          <w:ilvl w:val="0"/>
          <w:numId w:val="1"/>
        </w:numPr>
        <w:spacing w:after="60"/>
      </w:pPr>
      <w:r>
        <w:t xml:space="preserve">BR-005: Improve communication with staff and guardians on the channels they actually use.</w:t>
      </w:r>
    </w:p>
    <w:p>
      <w:pPr>
        <w:pStyle w:val="ListParagraph"/>
        <w:numPr>
          <w:ilvl w:val="0"/>
          <w:numId w:val="1"/>
        </w:numPr>
        <w:spacing w:after="60"/>
      </w:pPr>
      <w:r>
        <w:t xml:space="preserve">BR-006: Enforce accountability through permissions, workflows and audit trails, including platform-staff access to tenant data.</w:t>
      </w:r>
    </w:p>
    <w:p>
      <w:pPr>
        <w:pStyle w:val="ListParagraph"/>
        <w:numPr>
          <w:ilvl w:val="0"/>
          <w:numId w:val="1"/>
        </w:numPr>
        <w:spacing w:after="60"/>
      </w:pPr>
      <w:r>
        <w:t xml:space="preserve">BR-007: Preserve historical records and published versions indefinitely, subject to the retention schedule.</w:t>
      </w:r>
    </w:p>
    <w:p>
      <w:pPr>
        <w:pStyle w:val="ListParagraph"/>
        <w:numPr>
          <w:ilvl w:val="0"/>
          <w:numId w:val="1"/>
        </w:numPr>
        <w:spacing w:after="60"/>
      </w:pPr>
      <w:r>
        <w:t xml:space="preserve">BR-008: Support configurable policies without source-code changes, at the tenant level.</w:t>
      </w:r>
    </w:p>
    <w:p>
      <w:pPr>
        <w:pStyle w:val="ListParagraph"/>
        <w:numPr>
          <w:ilvl w:val="0"/>
          <w:numId w:val="1"/>
        </w:numPr>
        <w:spacing w:after="60"/>
      </w:pPr>
      <w:r>
        <w:t xml:space="preserve">BR-009: Monitor responsibilities using measurable KPIs, at both school and platform level.</w:t>
      </w:r>
    </w:p>
    <w:p>
      <w:pPr>
        <w:pStyle w:val="ListParagraph"/>
        <w:numPr>
          <w:ilvl w:val="0"/>
          <w:numId w:val="1"/>
        </w:numPr>
        <w:spacing w:after="60"/>
      </w:pPr>
      <w:r>
        <w:t xml:space="preserve">BR-010: Scale horizontally across tenants without architectural redesign (Version 1.0's BR-010 said "scale" with no tenancy model behind it; Volume 0 is that model).</w:t>
      </w:r>
    </w:p>
    <w:p>
      <w:pPr>
        <w:pStyle w:val="ListParagraph"/>
        <w:numPr>
          <w:ilvl w:val="0"/>
          <w:numId w:val="1"/>
        </w:numPr>
        <w:spacing w:after="60"/>
      </w:pPr>
      <w:r>
        <w:t xml:space="preserve">BR-011 (new): Onboard a new school tenant to a usable state within one working day.</w:t>
      </w:r>
    </w:p>
    <w:p>
      <w:pPr>
        <w:pStyle w:val="ListParagraph"/>
        <w:numPr>
          <w:ilvl w:val="0"/>
          <w:numId w:val="1"/>
        </w:numPr>
        <w:spacing w:after="60"/>
      </w:pPr>
      <w:r>
        <w:t xml:space="preserve">BR-012 (new): Guarantee that no tenant can access, infer, or receive another tenant's data under any product surface, including support tooling.</w:t>
      </w:r>
    </w:p>
    <w:p>
      <w:pPr>
        <w:pStyle w:val="ListParagraph"/>
        <w:numPr>
          <w:ilvl w:val="0"/>
          <w:numId w:val="1"/>
        </w:numPr>
        <w:spacing w:after="60"/>
      </w:pPr>
      <w:r>
        <w:t xml:space="preserve">BR-013 (new): Operate the platform profitably at a per-student price point affordable to a proprietor-owned basic school in Ghana.</w:t>
      </w:r>
    </w:p>
    <w:p>
      <w:pPr>
        <w:pStyle w:val="Heading2"/>
        <w:spacing w:after="100" w:before="220"/>
      </w:pPr>
      <w:r>
        <w:rPr>
          <w:b/>
          <w:bCs/>
        </w:rPr>
        <w:t xml:space="preserve">8.3 Success Measures</w:t>
      </w:r>
    </w:p>
    <w:p>
      <w:pPr>
        <w:spacing w:after="120"/>
      </w:pPr>
      <w:r>
        <w:rPr>
          <w:b w:val="false"/>
          <w:bCs w:val="false"/>
          <w:i w:val="false"/>
          <w:iCs w:val="false"/>
        </w:rPr>
        <w:t xml:space="preserve">Success is measured by: preserved legacy data during any tenant migration, reduced duplicate entry, complete permission and tenant-isolation enforcement, faster processing, reconciled finance at both school and platform level, timely reporting, traceable approvals, successful multi-channel message delivery, and time-to-value for a newly onboarded tenant.</w:t>
      </w:r>
    </w:p>
    <w:p>
      <w:pPr>
        <w:pStyle w:val="Heading1"/>
        <w:pageBreakBefore/>
        <w:spacing w:after="200" w:before="240"/>
      </w:pPr>
      <w:r>
        <w:rPr>
          <w:b/>
          <w:bCs/>
        </w:rPr>
        <w:t xml:space="preserve">Chapter 9 — Enterprise Design Principles</w:t>
      </w:r>
    </w:p>
    <w:p>
      <w:pPr>
        <w:pStyle w:val="ListParagraph"/>
        <w:numPr>
          <w:ilvl w:val="0"/>
          <w:numId w:val="1"/>
        </w:numPr>
        <w:spacing w:after="60"/>
      </w:pPr>
      <w:r>
        <w:t xml:space="preserve">9.1 Tenant Isolation by Default (new): every design decision defaults to isolated; sharing across tenants requires an explicit, reviewed exception.</w:t>
      </w:r>
    </w:p>
    <w:p>
      <w:pPr>
        <w:pStyle w:val="ListParagraph"/>
        <w:numPr>
          <w:ilvl w:val="0"/>
          <w:numId w:val="1"/>
        </w:numPr>
        <w:spacing w:after="60"/>
      </w:pPr>
      <w:r>
        <w:t xml:space="preserve">9.2 Single Source of Truth: each business entity has one authoritative owner within its tenant; other modules consume its data through controlled services.</w:t>
      </w:r>
    </w:p>
    <w:p>
      <w:pPr>
        <w:pStyle w:val="ListParagraph"/>
        <w:numPr>
          <w:ilvl w:val="0"/>
          <w:numId w:val="1"/>
        </w:numPr>
        <w:spacing w:after="60"/>
      </w:pPr>
      <w:r>
        <w:t xml:space="preserve">9.3 Modular Independence: modules own their business responsibility and evolve without direct manipulation of another module's internal data.</w:t>
      </w:r>
    </w:p>
    <w:p>
      <w:pPr>
        <w:pStyle w:val="ListParagraph"/>
        <w:numPr>
          <w:ilvl w:val="0"/>
          <w:numId w:val="1"/>
        </w:numPr>
        <w:spacing w:after="60"/>
      </w:pPr>
      <w:r>
        <w:t xml:space="preserve">9.4 Configuration Before Customization: calendars, class levels, subjects, grading, assessments, fees, reports, branding and workflows are configured per tenant in the application, never hard-coded.</w:t>
      </w:r>
    </w:p>
    <w:p>
      <w:pPr>
        <w:pStyle w:val="ListParagraph"/>
        <w:numPr>
          <w:ilvl w:val="0"/>
          <w:numId w:val="1"/>
        </w:numPr>
        <w:spacing w:after="60"/>
      </w:pPr>
      <w:r>
        <w:t xml:space="preserve">9.5 Security by Design: authentication, server-side authorization, tenant and record scope, auditing and sensitive-data controls apply to every protected operation.</w:t>
      </w:r>
    </w:p>
    <w:p>
      <w:pPr>
        <w:pStyle w:val="ListParagraph"/>
        <w:numPr>
          <w:ilvl w:val="0"/>
          <w:numId w:val="1"/>
        </w:numPr>
        <w:spacing w:after="60"/>
      </w:pPr>
      <w:r>
        <w:t xml:space="preserve">9.6 Automation with Oversight: routine calculations, reminders, schedules and document generation are automated; admissions, publication, reversals, promotion and elevated access retain approval gates.</w:t>
      </w:r>
    </w:p>
    <w:p>
      <w:pPr>
        <w:pStyle w:val="ListParagraph"/>
        <w:numPr>
          <w:ilvl w:val="0"/>
          <w:numId w:val="1"/>
        </w:numPr>
        <w:spacing w:after="60"/>
      </w:pPr>
      <w:r>
        <w:t xml:space="preserve">9.7 Historical Preservation: published academic results, payments, receipts, enrolments and audit records are never silently overwritten or deleted.</w:t>
      </w:r>
    </w:p>
    <w:p>
      <w:pPr>
        <w:pStyle w:val="ListParagraph"/>
        <w:numPr>
          <w:ilvl w:val="0"/>
          <w:numId w:val="1"/>
        </w:numPr>
        <w:spacing w:after="60"/>
      </w:pPr>
      <w:r>
        <w:t xml:space="preserve">9.8 Usability and Accessibility: interfaces are responsive, keyboard-usable, WCAG 2.1 AA conformant (Chapter 42) and consistent across roles.</w:t>
      </w:r>
    </w:p>
    <w:p>
      <w:pPr>
        <w:pStyle w:val="ListParagraph"/>
        <w:numPr>
          <w:ilvl w:val="0"/>
          <w:numId w:val="1"/>
        </w:numPr>
        <w:spacing w:after="60"/>
      </w:pPr>
      <w:r>
        <w:t xml:space="preserve">9.9 Design for Intermittent Connectivity (new): interfaces assume mobile data constraints and occasional connectivity loss as the normal case for this market, not the exception (Chapter 34).</w:t>
      </w:r>
    </w:p>
    <w:p>
      <w:pPr>
        <w:pStyle w:val="Heading1"/>
        <w:pageBreakBefore/>
        <w:spacing w:after="200" w:before="240"/>
      </w:pPr>
      <w:r>
        <w:rPr>
          <w:b/>
          <w:bCs/>
        </w:rPr>
        <w:t xml:space="preserve">Chapter 10 — Enterprise System Architecture</w:t>
      </w:r>
    </w:p>
    <w:p>
      <w:pPr>
        <w:pStyle w:val="Heading2"/>
        <w:spacing w:after="100" w:before="220"/>
      </w:pPr>
      <w:r>
        <w:rPr>
          <w:b/>
          <w:bCs/>
        </w:rPr>
        <w:t xml:space="preserve">10.1 Architectural Objectives</w:t>
      </w:r>
    </w:p>
    <w:p>
      <w:pPr>
        <w:pStyle w:val="ListParagraph"/>
        <w:numPr>
          <w:ilvl w:val="0"/>
          <w:numId w:val="1"/>
        </w:numPr>
        <w:spacing w:after="60"/>
      </w:pPr>
      <w:r>
        <w:t xml:space="preserve">Multi-tenant isolation as a first-class, testable property</w:t>
      </w:r>
    </w:p>
    <w:p>
      <w:pPr>
        <w:pStyle w:val="ListParagraph"/>
        <w:numPr>
          <w:ilvl w:val="0"/>
          <w:numId w:val="1"/>
        </w:numPr>
        <w:spacing w:after="60"/>
      </w:pPr>
      <w:r>
        <w:t xml:space="preserve">Modularity and loose coupling</w:t>
      </w:r>
    </w:p>
    <w:p>
      <w:pPr>
        <w:pStyle w:val="ListParagraph"/>
        <w:numPr>
          <w:ilvl w:val="0"/>
          <w:numId w:val="1"/>
        </w:numPr>
        <w:spacing w:after="60"/>
      </w:pPr>
      <w:r>
        <w:t xml:space="preserve">Scalability and maintainability across a growing tenant base</w:t>
      </w:r>
    </w:p>
    <w:p>
      <w:pPr>
        <w:pStyle w:val="ListParagraph"/>
        <w:numPr>
          <w:ilvl w:val="0"/>
          <w:numId w:val="1"/>
        </w:numPr>
        <w:spacing w:after="60"/>
      </w:pPr>
      <w:r>
        <w:t xml:space="preserve">Reliable automation</w:t>
      </w:r>
    </w:p>
    <w:p>
      <w:pPr>
        <w:pStyle w:val="ListParagraph"/>
        <w:numPr>
          <w:ilvl w:val="0"/>
          <w:numId w:val="1"/>
        </w:numPr>
        <w:spacing w:after="60"/>
      </w:pPr>
      <w:r>
        <w:t xml:space="preserve">Secure integrations</w:t>
      </w:r>
    </w:p>
    <w:p>
      <w:pPr>
        <w:pStyle w:val="ListParagraph"/>
        <w:numPr>
          <w:ilvl w:val="0"/>
          <w:numId w:val="1"/>
        </w:numPr>
        <w:spacing w:after="60"/>
      </w:pPr>
      <w:r>
        <w:t xml:space="preserve">High availability and recovery readiness</w:t>
      </w:r>
    </w:p>
    <w:p>
      <w:pPr>
        <w:pStyle w:val="Heading2"/>
        <w:spacing w:after="100" w:before="220"/>
      </w:pPr>
      <w:r>
        <w:rPr>
          <w:b/>
          <w:bCs/>
        </w:rPr>
        <w:t xml:space="preserve">10.2 Logical Layers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60"/>
              <w:left w:type="dxa" w:w="100"/>
              <w:bottom w:type="dxa" w:w="60"/>
              <w:right w:type="dxa" w:w="100"/>
            </w:tcMar>
            <w:vAlign w:val="center"/>
          </w:tcPr>
          <w:p>
            <w:r>
              <w:rPr>
                <w:b/>
                <w:bCs/>
                <w:color w:val="FFFFFF"/>
                <w:sz w:val="20"/>
                <w:szCs w:val="20"/>
              </w:rPr>
              <w:t xml:space="preserve">Layer</w:t>
            </w:r>
          </w:p>
        </w:tc>
        <w:tc>
          <w:tcPr>
            <w:tcW w:type="dxa" w:w="6950"/>
            <w:shd w:fill="1F3864" w:val="clear"/>
            <w:tcMar>
              <w:top w:type="dxa" w:w="60"/>
              <w:left w:type="dxa" w:w="100"/>
              <w:bottom w:type="dxa" w:w="60"/>
              <w:right w:type="dxa" w:w="100"/>
            </w:tcMar>
            <w:vAlign w:val="center"/>
          </w:tcPr>
          <w:p>
            <w:r>
              <w:rPr>
                <w:b/>
                <w:bCs/>
                <w:color w:val="FFFFFF"/>
                <w:sz w:val="20"/>
                <w:szCs w:val="20"/>
              </w:rPr>
              <w:t xml:space="preserve">Responsibility</w:t>
            </w:r>
          </w:p>
        </w:tc>
      </w:tr>
      <w:tr>
        <w:tc>
          <w:tcPr>
            <w:tcW w:type="dxa" w:w="2400"/>
            <w:tcMar>
              <w:top w:type="dxa" w:w="60"/>
              <w:left w:type="dxa" w:w="100"/>
              <w:bottom w:type="dxa" w:w="60"/>
              <w:right w:type="dxa" w:w="100"/>
            </w:tcMar>
            <w:vAlign w:val="center"/>
          </w:tcPr>
          <w:p>
            <w:r>
              <w:rPr>
                <w:b w:val="false"/>
                <w:bCs w:val="false"/>
                <w:sz w:val="20"/>
                <w:szCs w:val="20"/>
              </w:rPr>
              <w:t xml:space="preserve">Presentation</w:t>
            </w:r>
          </w:p>
        </w:tc>
        <w:tc>
          <w:tcPr>
            <w:tcW w:type="dxa" w:w="6950"/>
            <w:tcMar>
              <w:top w:type="dxa" w:w="60"/>
              <w:left w:type="dxa" w:w="100"/>
              <w:bottom w:type="dxa" w:w="60"/>
              <w:right w:type="dxa" w:w="100"/>
            </w:tcMar>
            <w:vAlign w:val="center"/>
          </w:tcPr>
          <w:p>
            <w:r>
              <w:rPr>
                <w:b w:val="false"/>
                <w:bCs w:val="false"/>
                <w:sz w:val="20"/>
                <w:szCs w:val="20"/>
              </w:rPr>
              <w:t xml:space="preserve">Dashboards, forms and reports; per-tenant branding applied at render time</w:t>
            </w:r>
          </w:p>
        </w:tc>
      </w:tr>
      <w:tr>
        <w:tc>
          <w:tcPr>
            <w:tcW w:type="dxa" w:w="2400"/>
            <w:shd w:fill="DCE6F1" w:val="clear"/>
            <w:tcMar>
              <w:top w:type="dxa" w:w="60"/>
              <w:left w:type="dxa" w:w="100"/>
              <w:bottom w:type="dxa" w:w="60"/>
              <w:right w:type="dxa" w:w="100"/>
            </w:tcMar>
            <w:vAlign w:val="center"/>
          </w:tcPr>
          <w:p>
            <w:r>
              <w:rPr>
                <w:b w:val="false"/>
                <w:bCs w:val="false"/>
                <w:sz w:val="20"/>
                <w:szCs w:val="20"/>
              </w:rPr>
              <w:t xml:space="preserve">Application/API</w:t>
            </w:r>
          </w:p>
        </w:tc>
        <w:tc>
          <w:tcPr>
            <w:tcW w:type="dxa" w:w="6950"/>
            <w:shd w:fill="DCE6F1" w:val="clear"/>
            <w:tcMar>
              <w:top w:type="dxa" w:w="60"/>
              <w:left w:type="dxa" w:w="100"/>
              <w:bottom w:type="dxa" w:w="60"/>
              <w:right w:type="dxa" w:w="100"/>
            </w:tcMar>
            <w:vAlign w:val="center"/>
          </w:tcPr>
          <w:p>
            <w:r>
              <w:rPr>
                <w:b w:val="false"/>
                <w:bCs w:val="false"/>
                <w:sz w:val="20"/>
                <w:szCs w:val="20"/>
              </w:rPr>
              <w:t xml:space="preserve">Requests, validation, tenant-context resolution and transaction coordination</w:t>
            </w:r>
          </w:p>
        </w:tc>
      </w:tr>
      <w:tr>
        <w:tc>
          <w:tcPr>
            <w:tcW w:type="dxa" w:w="2400"/>
            <w:tcMar>
              <w:top w:type="dxa" w:w="60"/>
              <w:left w:type="dxa" w:w="100"/>
              <w:bottom w:type="dxa" w:w="60"/>
              <w:right w:type="dxa" w:w="100"/>
            </w:tcMar>
            <w:vAlign w:val="center"/>
          </w:tcPr>
          <w:p>
            <w:r>
              <w:rPr>
                <w:b w:val="false"/>
                <w:bCs w:val="false"/>
                <w:sz w:val="20"/>
                <w:szCs w:val="20"/>
              </w:rPr>
              <w:t xml:space="preserve">Business domain</w:t>
            </w:r>
          </w:p>
        </w:tc>
        <w:tc>
          <w:tcPr>
            <w:tcW w:type="dxa" w:w="6950"/>
            <w:tcMar>
              <w:top w:type="dxa" w:w="60"/>
              <w:left w:type="dxa" w:w="100"/>
              <w:bottom w:type="dxa" w:w="60"/>
              <w:right w:type="dxa" w:w="100"/>
            </w:tcMar>
            <w:vAlign w:val="center"/>
          </w:tcPr>
          <w:p>
            <w:r>
              <w:rPr>
                <w:b w:val="false"/>
                <w:bCs w:val="false"/>
                <w:sz w:val="20"/>
                <w:szCs w:val="20"/>
              </w:rPr>
              <w:t xml:space="preserve">Institutional rules and workflows, evaluated within tenant scope</w:t>
            </w:r>
          </w:p>
        </w:tc>
      </w:tr>
      <w:tr>
        <w:tc>
          <w:tcPr>
            <w:tcW w:type="dxa" w:w="2400"/>
            <w:shd w:fill="DCE6F1" w:val="clear"/>
            <w:tcMar>
              <w:top w:type="dxa" w:w="60"/>
              <w:left w:type="dxa" w:w="100"/>
              <w:bottom w:type="dxa" w:w="60"/>
              <w:right w:type="dxa" w:w="100"/>
            </w:tcMar>
            <w:vAlign w:val="center"/>
          </w:tcPr>
          <w:p>
            <w:r>
              <w:rPr>
                <w:b w:val="false"/>
                <w:bCs w:val="false"/>
                <w:sz w:val="20"/>
                <w:szCs w:val="20"/>
              </w:rPr>
              <w:t xml:space="preserve">Integration</w:t>
            </w:r>
          </w:p>
        </w:tc>
        <w:tc>
          <w:tcPr>
            <w:tcW w:type="dxa" w:w="6950"/>
            <w:shd w:fill="DCE6F1" w:val="clear"/>
            <w:tcMar>
              <w:top w:type="dxa" w:w="60"/>
              <w:left w:type="dxa" w:w="100"/>
              <w:bottom w:type="dxa" w:w="60"/>
              <w:right w:type="dxa" w:w="100"/>
            </w:tcMar>
            <w:vAlign w:val="center"/>
          </w:tcPr>
          <w:p>
            <w:r>
              <w:rPr>
                <w:b w:val="false"/>
                <w:bCs w:val="false"/>
                <w:sz w:val="20"/>
                <w:szCs w:val="20"/>
              </w:rPr>
              <w:t xml:space="preserve">Internal APIs, events and external connectors, with per-tenant credential scoping</w:t>
            </w:r>
          </w:p>
        </w:tc>
      </w:tr>
      <w:tr>
        <w:tc>
          <w:tcPr>
            <w:tcW w:type="dxa" w:w="2400"/>
            <w:tcMar>
              <w:top w:type="dxa" w:w="60"/>
              <w:left w:type="dxa" w:w="100"/>
              <w:bottom w:type="dxa" w:w="60"/>
              <w:right w:type="dxa" w:w="100"/>
            </w:tcMar>
            <w:vAlign w:val="center"/>
          </w:tcPr>
          <w:p>
            <w:r>
              <w:rPr>
                <w:b w:val="false"/>
                <w:bCs w:val="false"/>
                <w:sz w:val="20"/>
                <w:szCs w:val="20"/>
              </w:rPr>
              <w:t xml:space="preserve">Data access</w:t>
            </w:r>
          </w:p>
        </w:tc>
        <w:tc>
          <w:tcPr>
            <w:tcW w:type="dxa" w:w="6950"/>
            <w:tcMar>
              <w:top w:type="dxa" w:w="60"/>
              <w:left w:type="dxa" w:w="100"/>
              <w:bottom w:type="dxa" w:w="60"/>
              <w:right w:type="dxa" w:w="100"/>
            </w:tcMar>
            <w:vAlign w:val="center"/>
          </w:tcPr>
          <w:p>
            <w:r>
              <w:rPr>
                <w:b w:val="false"/>
                <w:bCs w:val="false"/>
                <w:sz w:val="20"/>
                <w:szCs w:val="20"/>
              </w:rPr>
              <w:t xml:space="preserve">Repositories, queries, caching and transactions; tenant_id enforced on every query</w:t>
            </w:r>
          </w:p>
        </w:tc>
      </w:tr>
      <w:tr>
        <w:tc>
          <w:tcPr>
            <w:tcW w:type="dxa" w:w="2400"/>
            <w:shd w:fill="DCE6F1" w:val="clear"/>
            <w:tcMar>
              <w:top w:type="dxa" w:w="60"/>
              <w:left w:type="dxa" w:w="100"/>
              <w:bottom w:type="dxa" w:w="60"/>
              <w:right w:type="dxa" w:w="100"/>
            </w:tcMar>
            <w:vAlign w:val="center"/>
          </w:tcPr>
          <w:p>
            <w:r>
              <w:rPr>
                <w:b w:val="false"/>
                <w:bCs w:val="false"/>
                <w:sz w:val="20"/>
                <w:szCs w:val="20"/>
              </w:rPr>
              <w:t xml:space="preserve">Database</w:t>
            </w:r>
          </w:p>
        </w:tc>
        <w:tc>
          <w:tcPr>
            <w:tcW w:type="dxa" w:w="6950"/>
            <w:shd w:fill="DCE6F1" w:val="clear"/>
            <w:tcMar>
              <w:top w:type="dxa" w:w="60"/>
              <w:left w:type="dxa" w:w="100"/>
              <w:bottom w:type="dxa" w:w="60"/>
              <w:right w:type="dxa" w:w="100"/>
            </w:tcMar>
            <w:vAlign w:val="center"/>
          </w:tcPr>
          <w:p>
            <w:r>
              <w:rPr>
                <w:b w:val="false"/>
                <w:bCs w:val="false"/>
                <w:sz w:val="20"/>
                <w:szCs w:val="20"/>
              </w:rPr>
              <w:t xml:space="preserve">Master, transactional, historical and audit data, with Row-Level Security policies</w:t>
            </w:r>
          </w:p>
        </w:tc>
      </w:tr>
    </w:tbl>
    <w:p>
      <w:pPr>
        <w:pStyle w:val="Heading2"/>
        <w:spacing w:after="100" w:before="220"/>
      </w:pPr>
      <w:r>
        <w:rPr>
          <w:b/>
          <w:bCs/>
        </w:rPr>
        <w:t xml:space="preserve">10.3 Enterprise Domains</w:t>
      </w:r>
    </w:p>
    <w:p>
      <w:pPr>
        <w:pStyle w:val="ListParagraph"/>
        <w:numPr>
          <w:ilvl w:val="0"/>
          <w:numId w:val="1"/>
        </w:numPr>
        <w:spacing w:after="60"/>
      </w:pPr>
      <w:r>
        <w:t xml:space="preserve">Platform &amp; Tenancy (new — Volume 0)</w:t>
      </w:r>
    </w:p>
    <w:p>
      <w:pPr>
        <w:pStyle w:val="ListParagraph"/>
        <w:numPr>
          <w:ilvl w:val="0"/>
          <w:numId w:val="1"/>
        </w:numPr>
        <w:spacing w:after="60"/>
      </w:pPr>
      <w:r>
        <w:t xml:space="preserve">Foundation Services</w:t>
      </w:r>
    </w:p>
    <w:p>
      <w:pPr>
        <w:pStyle w:val="ListParagraph"/>
        <w:numPr>
          <w:ilvl w:val="0"/>
          <w:numId w:val="1"/>
        </w:numPr>
        <w:spacing w:after="60"/>
      </w:pPr>
      <w:r>
        <w:t xml:space="preserve">Student Lifecycle</w:t>
      </w:r>
    </w:p>
    <w:p>
      <w:pPr>
        <w:pStyle w:val="ListParagraph"/>
        <w:numPr>
          <w:ilvl w:val="0"/>
          <w:numId w:val="1"/>
        </w:numPr>
        <w:spacing w:after="60"/>
      </w:pPr>
      <w:r>
        <w:t xml:space="preserve">Academic Operations</w:t>
      </w:r>
    </w:p>
    <w:p>
      <w:pPr>
        <w:pStyle w:val="ListParagraph"/>
        <w:numPr>
          <w:ilvl w:val="0"/>
          <w:numId w:val="1"/>
        </w:numPr>
        <w:spacing w:after="60"/>
      </w:pPr>
      <w:r>
        <w:t xml:space="preserve">Financial Management (school-to-parent and platform-to-tenant)</w:t>
      </w:r>
    </w:p>
    <w:p>
      <w:pPr>
        <w:pStyle w:val="ListParagraph"/>
        <w:numPr>
          <w:ilvl w:val="0"/>
          <w:numId w:val="1"/>
        </w:numPr>
        <w:spacing w:after="60"/>
      </w:pPr>
      <w:r>
        <w:t xml:space="preserve">Operational Intelligence</w:t>
      </w:r>
    </w:p>
    <w:p>
      <w:pPr>
        <w:pStyle w:val="ListParagraph"/>
        <w:numPr>
          <w:ilvl w:val="0"/>
          <w:numId w:val="1"/>
        </w:numPr>
        <w:spacing w:after="60"/>
      </w:pPr>
      <w:r>
        <w:t xml:space="preserve">Governance and Compliance</w:t>
      </w:r>
    </w:p>
    <w:p>
      <w:pPr>
        <w:pStyle w:val="Heading2"/>
        <w:spacing w:after="100" w:before="220"/>
      </w:pPr>
      <w:r>
        <w:rPr>
          <w:b/>
          <w:bCs/>
        </w:rPr>
        <w:t xml:space="preserve">10.4 Communication Rules</w:t>
      </w:r>
    </w:p>
    <w:p>
      <w:pPr>
        <w:spacing w:after="120"/>
      </w:pPr>
      <w:r>
        <w:rPr>
          <w:b w:val="false"/>
          <w:bCs w:val="false"/>
          <w:i w:val="false"/>
          <w:iCs w:val="false"/>
        </w:rPr>
        <w:t xml:space="preserve">Modules communicate through approved services, APIs or events. Direct cross-module table manipulation is prohibited. Cross-tenant communication of any kind is prohibited outside the platform-role paths defined in Chapter 3.</w:t>
      </w:r>
    </w:p>
    <w:p>
      <w:pPr>
        <w:pStyle w:val="Heading2"/>
        <w:spacing w:after="100" w:before="220"/>
      </w:pPr>
      <w:r>
        <w:rPr>
          <w:b/>
          <w:bCs/>
        </w:rPr>
        <w:t xml:space="preserve">10.5 Event-Driven Processing</w:t>
      </w:r>
    </w:p>
    <w:p>
      <w:pPr>
        <w:spacing w:after="120"/>
      </w:pPr>
      <w:r>
        <w:rPr>
          <w:b w:val="false"/>
          <w:bCs w:val="false"/>
          <w:i w:val="false"/>
          <w:iCs w:val="false"/>
        </w:rPr>
        <w:t xml:space="preserve">Domain events (Admission Approved, Result Published, Student Promoted, Payment Reversed, Tenant Suspended, Subscription Renewed) carry tenant_id as a mandatory field and trigger controlled downstream actions scoped to that tenant.</w:t>
      </w:r>
    </w:p>
    <w:p>
      <w:pPr>
        <w:pStyle w:val="Heading1"/>
        <w:pageBreakBefore/>
        <w:spacing w:after="200" w:before="240"/>
      </w:pPr>
      <w:r>
        <w:rPr>
          <w:b/>
          <w:bCs/>
        </w:rPr>
        <w:t xml:space="preserve">Chapter 11 — Master Data &amp; Enterprise Data Architecture</w:t>
      </w:r>
    </w:p>
    <w:p>
      <w:pPr>
        <w:pStyle w:val="Heading2"/>
        <w:spacing w:after="100" w:before="220"/>
      </w:pPr>
      <w:r>
        <w:rPr>
          <w:b/>
          <w:bCs/>
        </w:rPr>
        <w:t xml:space="preserve">11.1 Master Data Domains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700"/>
        <w:gridCol w:w="2050"/>
      </w:tblGrid>
      <w:tr>
        <w:trPr>
          <w:tblHeader/>
        </w:trPr>
        <w:tc>
          <w:tcPr>
            <w:tcW w:type="dxa" w:w="2600"/>
            <w:shd w:fill="1F3864" w:val="clear"/>
            <w:tcMar>
              <w:top w:type="dxa" w:w="60"/>
              <w:left w:type="dxa" w:w="100"/>
              <w:bottom w:type="dxa" w:w="60"/>
              <w:right w:type="dxa" w:w="100"/>
            </w:tcMar>
            <w:vAlign w:val="center"/>
          </w:tcPr>
          <w:p>
            <w:r>
              <w:rPr>
                <w:b/>
                <w:bCs/>
                <w:color w:val="FFFFFF"/>
                <w:sz w:val="20"/>
                <w:szCs w:val="20"/>
              </w:rPr>
              <w:t xml:space="preserve">Domain</w:t>
            </w:r>
          </w:p>
        </w:tc>
        <w:tc>
          <w:tcPr>
            <w:tcW w:type="dxa" w:w="4700"/>
            <w:shd w:fill="1F3864" w:val="clear"/>
            <w:tcMar>
              <w:top w:type="dxa" w:w="60"/>
              <w:left w:type="dxa" w:w="100"/>
              <w:bottom w:type="dxa" w:w="60"/>
              <w:right w:type="dxa" w:w="100"/>
            </w:tcMar>
            <w:vAlign w:val="center"/>
          </w:tcPr>
          <w:p>
            <w:r>
              <w:rPr>
                <w:b/>
                <w:bCs/>
                <w:color w:val="FFFFFF"/>
                <w:sz w:val="20"/>
                <w:szCs w:val="20"/>
              </w:rPr>
              <w:t xml:space="preserve">Examples</w:t>
            </w:r>
          </w:p>
        </w:tc>
        <w:tc>
          <w:tcPr>
            <w:tcW w:type="dxa" w:w="2050"/>
            <w:shd w:fill="1F3864" w:val="clear"/>
            <w:tcMar>
              <w:top w:type="dxa" w:w="60"/>
              <w:left w:type="dxa" w:w="100"/>
              <w:bottom w:type="dxa" w:w="60"/>
              <w:right w:type="dxa" w:w="100"/>
            </w:tcMar>
            <w:vAlign w:val="center"/>
          </w:tcPr>
          <w:p>
            <w:r>
              <w:rPr>
                <w:b/>
                <w:bCs/>
                <w:color w:val="FFFFFF"/>
                <w:sz w:val="20"/>
                <w:szCs w:val="20"/>
              </w:rPr>
              <w:t xml:space="preserve">Owner</w:t>
            </w:r>
          </w:p>
        </w:tc>
      </w:tr>
      <w:tr>
        <w:tc>
          <w:tcPr>
            <w:tcW w:type="dxa" w:w="2600"/>
            <w:tcMar>
              <w:top w:type="dxa" w:w="60"/>
              <w:left w:type="dxa" w:w="100"/>
              <w:bottom w:type="dxa" w:w="60"/>
              <w:right w:type="dxa" w:w="100"/>
            </w:tcMar>
            <w:vAlign w:val="center"/>
          </w:tcPr>
          <w:p>
            <w:r>
              <w:rPr>
                <w:b w:val="false"/>
                <w:bCs w:val="false"/>
                <w:sz w:val="20"/>
                <w:szCs w:val="20"/>
              </w:rPr>
              <w:t xml:space="preserve">Platform master data (new)</w:t>
            </w:r>
          </w:p>
        </w:tc>
        <w:tc>
          <w:tcPr>
            <w:tcW w:type="dxa" w:w="4700"/>
            <w:tcMar>
              <w:top w:type="dxa" w:w="60"/>
              <w:left w:type="dxa" w:w="100"/>
              <w:bottom w:type="dxa" w:w="60"/>
              <w:right w:type="dxa" w:w="100"/>
            </w:tcMar>
            <w:vAlign w:val="center"/>
          </w:tcPr>
          <w:p>
            <w:r>
              <w:rPr>
                <w:b w:val="false"/>
                <w:bCs w:val="false"/>
                <w:sz w:val="20"/>
                <w:szCs w:val="20"/>
              </w:rPr>
              <w:t xml:space="preserve">Subscription plans, feature flags, integration provider registry</w:t>
            </w:r>
          </w:p>
        </w:tc>
        <w:tc>
          <w:tcPr>
            <w:tcW w:type="dxa" w:w="2050"/>
            <w:tcMar>
              <w:top w:type="dxa" w:w="60"/>
              <w:left w:type="dxa" w:w="100"/>
              <w:bottom w:type="dxa" w:w="60"/>
              <w:right w:type="dxa" w:w="100"/>
            </w:tcMar>
            <w:vAlign w:val="center"/>
          </w:tcPr>
          <w:p>
            <w:r>
              <w:rPr>
                <w:b w:val="false"/>
                <w:bCs w:val="false"/>
                <w:sz w:val="20"/>
                <w:szCs w:val="20"/>
              </w:rPr>
              <w:t xml:space="preserve">Platform</w:t>
            </w:r>
          </w:p>
        </w:tc>
      </w:tr>
      <w:tr>
        <w:tc>
          <w:tcPr>
            <w:tcW w:type="dxa" w:w="2600"/>
            <w:shd w:fill="DCE6F1" w:val="clear"/>
            <w:tcMar>
              <w:top w:type="dxa" w:w="60"/>
              <w:left w:type="dxa" w:w="100"/>
              <w:bottom w:type="dxa" w:w="60"/>
              <w:right w:type="dxa" w:w="100"/>
            </w:tcMar>
            <w:vAlign w:val="center"/>
          </w:tcPr>
          <w:p>
            <w:r>
              <w:rPr>
                <w:b w:val="false"/>
                <w:bCs w:val="false"/>
                <w:sz w:val="20"/>
                <w:szCs w:val="20"/>
              </w:rPr>
              <w:t xml:space="preserve">Institutional master data</w:t>
            </w:r>
          </w:p>
        </w:tc>
        <w:tc>
          <w:tcPr>
            <w:tcW w:type="dxa" w:w="4700"/>
            <w:shd w:fill="DCE6F1" w:val="clear"/>
            <w:tcMar>
              <w:top w:type="dxa" w:w="60"/>
              <w:left w:type="dxa" w:w="100"/>
              <w:bottom w:type="dxa" w:w="60"/>
              <w:right w:type="dxa" w:w="100"/>
            </w:tcMar>
            <w:vAlign w:val="center"/>
          </w:tcPr>
          <w:p>
            <w:r>
              <w:rPr>
                <w:b w:val="false"/>
                <w:bCs w:val="false"/>
                <w:sz w:val="20"/>
                <w:szCs w:val="20"/>
              </w:rPr>
              <w:t xml:space="preserve">School and campuses, academic years and terms, divisions and class levels, classes, rooms, calendars and holidays</w:t>
            </w:r>
          </w:p>
        </w:tc>
        <w:tc>
          <w:tcPr>
            <w:tcW w:type="dxa" w:w="2050"/>
            <w:shd w:fill="DCE6F1" w:val="clear"/>
            <w:tcMar>
              <w:top w:type="dxa" w:w="60"/>
              <w:left w:type="dxa" w:w="100"/>
              <w:bottom w:type="dxa" w:w="60"/>
              <w:right w:type="dxa" w:w="100"/>
            </w:tcMar>
            <w:vAlign w:val="center"/>
          </w:tcPr>
          <w:p>
            <w:r>
              <w:rPr>
                <w:b w:val="false"/>
                <w:bCs w:val="false"/>
                <w:sz w:val="20"/>
                <w:szCs w:val="20"/>
              </w:rPr>
              <w:t xml:space="preserve">Tenant</w:t>
            </w:r>
          </w:p>
        </w:tc>
      </w:tr>
      <w:tr>
        <w:tc>
          <w:tcPr>
            <w:tcW w:type="dxa" w:w="2600"/>
            <w:tcMar>
              <w:top w:type="dxa" w:w="60"/>
              <w:left w:type="dxa" w:w="100"/>
              <w:bottom w:type="dxa" w:w="60"/>
              <w:right w:type="dxa" w:w="100"/>
            </w:tcMar>
            <w:vAlign w:val="center"/>
          </w:tcPr>
          <w:p>
            <w:r>
              <w:rPr>
                <w:b w:val="false"/>
                <w:bCs w:val="false"/>
                <w:sz w:val="20"/>
                <w:szCs w:val="20"/>
              </w:rPr>
              <w:t xml:space="preserve">Academic master data</w:t>
            </w:r>
          </w:p>
        </w:tc>
        <w:tc>
          <w:tcPr>
            <w:tcW w:type="dxa" w:w="4700"/>
            <w:tcMar>
              <w:top w:type="dxa" w:w="60"/>
              <w:left w:type="dxa" w:w="100"/>
              <w:bottom w:type="dxa" w:w="60"/>
              <w:right w:type="dxa" w:w="100"/>
            </w:tcMar>
            <w:vAlign w:val="center"/>
          </w:tcPr>
          <w:p>
            <w:r>
              <w:rPr>
                <w:b w:val="false"/>
                <w:bCs w:val="false"/>
                <w:sz w:val="20"/>
                <w:szCs w:val="20"/>
              </w:rPr>
              <w:t xml:space="preserve">Subjects, assessment types, grading scales, promotion rules, report templates</w:t>
            </w:r>
          </w:p>
        </w:tc>
        <w:tc>
          <w:tcPr>
            <w:tcW w:type="dxa" w:w="2050"/>
            <w:tcMar>
              <w:top w:type="dxa" w:w="60"/>
              <w:left w:type="dxa" w:w="100"/>
              <w:bottom w:type="dxa" w:w="60"/>
              <w:right w:type="dxa" w:w="100"/>
            </w:tcMar>
            <w:vAlign w:val="center"/>
          </w:tcPr>
          <w:p>
            <w:r>
              <w:rPr>
                <w:b w:val="false"/>
                <w:bCs w:val="false"/>
                <w:sz w:val="20"/>
                <w:szCs w:val="20"/>
              </w:rPr>
              <w:t xml:space="preserve">Tenant</w:t>
            </w:r>
          </w:p>
        </w:tc>
      </w:tr>
      <w:tr>
        <w:tc>
          <w:tcPr>
            <w:tcW w:type="dxa" w:w="2600"/>
            <w:shd w:fill="DCE6F1" w:val="clear"/>
            <w:tcMar>
              <w:top w:type="dxa" w:w="60"/>
              <w:left w:type="dxa" w:w="100"/>
              <w:bottom w:type="dxa" w:w="60"/>
              <w:right w:type="dxa" w:w="100"/>
            </w:tcMar>
            <w:vAlign w:val="center"/>
          </w:tcPr>
          <w:p>
            <w:r>
              <w:rPr>
                <w:b w:val="false"/>
                <w:bCs w:val="false"/>
                <w:sz w:val="20"/>
                <w:szCs w:val="20"/>
              </w:rPr>
              <w:t xml:space="preserve">People &amp; finance reference data</w:t>
            </w:r>
          </w:p>
        </w:tc>
        <w:tc>
          <w:tcPr>
            <w:tcW w:type="dxa" w:w="4700"/>
            <w:shd w:fill="DCE6F1" w:val="clear"/>
            <w:tcMar>
              <w:top w:type="dxa" w:w="60"/>
              <w:left w:type="dxa" w:w="100"/>
              <w:bottom w:type="dxa" w:w="60"/>
              <w:right w:type="dxa" w:w="100"/>
            </w:tcMar>
            <w:vAlign w:val="center"/>
          </w:tcPr>
          <w:p>
            <w:r>
              <w:rPr>
                <w:b w:val="false"/>
                <w:bCs w:val="false"/>
                <w:sz w:val="20"/>
                <w:szCs w:val="20"/>
              </w:rPr>
              <w:t xml:space="preserve">Relationships, nationalities, languages, employment types, fee categories, payment methods, scholarship types</w:t>
            </w:r>
          </w:p>
        </w:tc>
        <w:tc>
          <w:tcPr>
            <w:tcW w:type="dxa" w:w="2050"/>
            <w:shd w:fill="DCE6F1" w:val="clear"/>
            <w:tcMar>
              <w:top w:type="dxa" w:w="60"/>
              <w:left w:type="dxa" w:w="100"/>
              <w:bottom w:type="dxa" w:w="60"/>
              <w:right w:type="dxa" w:w="100"/>
            </w:tcMar>
            <w:vAlign w:val="center"/>
          </w:tcPr>
          <w:p>
            <w:r>
              <w:rPr>
                <w:b w:val="false"/>
                <w:bCs w:val="false"/>
                <w:sz w:val="20"/>
                <w:szCs w:val="20"/>
              </w:rPr>
              <w:t xml:space="preserve">Tenant</w:t>
            </w:r>
          </w:p>
        </w:tc>
      </w:tr>
    </w:tbl>
    <w:p>
      <w:pPr>
        <w:pStyle w:val="Heading2"/>
        <w:spacing w:after="100" w:before="220"/>
      </w:pPr>
      <w:r>
        <w:rPr>
          <w:b/>
          <w:bCs/>
        </w:rPr>
        <w:t xml:space="preserve">11.2 Data Classes</w:t>
      </w:r>
    </w:p>
    <w:p>
      <w:pPr>
        <w:pStyle w:val="ListParagraph"/>
        <w:numPr>
          <w:ilvl w:val="0"/>
          <w:numId w:val="1"/>
        </w:numPr>
        <w:spacing w:after="60"/>
      </w:pPr>
      <w:r>
        <w:t xml:space="preserve">Platform data (new)</w:t>
      </w:r>
    </w:p>
    <w:p>
      <w:pPr>
        <w:pStyle w:val="ListParagraph"/>
        <w:numPr>
          <w:ilvl w:val="0"/>
          <w:numId w:val="1"/>
        </w:numPr>
        <w:spacing w:after="60"/>
      </w:pPr>
      <w:r>
        <w:t xml:space="preserve">Master data</w:t>
      </w:r>
    </w:p>
    <w:p>
      <w:pPr>
        <w:pStyle w:val="ListParagraph"/>
        <w:numPr>
          <w:ilvl w:val="0"/>
          <w:numId w:val="1"/>
        </w:numPr>
        <w:spacing w:after="60"/>
      </w:pPr>
      <w:r>
        <w:t xml:space="preserve">Transactional data</w:t>
      </w:r>
    </w:p>
    <w:p>
      <w:pPr>
        <w:pStyle w:val="ListParagraph"/>
        <w:numPr>
          <w:ilvl w:val="0"/>
          <w:numId w:val="1"/>
        </w:numPr>
        <w:spacing w:after="60"/>
      </w:pPr>
      <w:r>
        <w:t xml:space="preserve">Reference data</w:t>
      </w:r>
    </w:p>
    <w:p>
      <w:pPr>
        <w:pStyle w:val="ListParagraph"/>
        <w:numPr>
          <w:ilvl w:val="0"/>
          <w:numId w:val="1"/>
        </w:numPr>
        <w:spacing w:after="60"/>
      </w:pPr>
      <w:r>
        <w:t xml:space="preserve">Generated data</w:t>
      </w:r>
    </w:p>
    <w:p>
      <w:pPr>
        <w:pStyle w:val="ListParagraph"/>
        <w:numPr>
          <w:ilvl w:val="0"/>
          <w:numId w:val="1"/>
        </w:numPr>
        <w:spacing w:after="60"/>
      </w:pPr>
      <w:r>
        <w:t xml:space="preserve">Audit and security data</w:t>
      </w:r>
    </w:p>
    <w:p>
      <w:pPr>
        <w:pStyle w:val="Heading2"/>
        <w:spacing w:after="100" w:before="220"/>
      </w:pPr>
      <w:r>
        <w:rPr>
          <w:b/>
          <w:bCs/>
        </w:rPr>
        <w:t xml:space="preserve">11.3 Ownership Model</w:t>
      </w:r>
    </w:p>
    <w:p>
      <w:pPr>
        <w:spacing w:after="120"/>
      </w:pPr>
      <w:r>
        <w:rPr>
          <w:b w:val="false"/>
          <w:bCs w:val="false"/>
          <w:i w:val="false"/>
          <w:iCs w:val="false"/>
        </w:rPr>
        <w:t xml:space="preserve">A business entity has one owner within its tenant and any number of authorized consumers. Ownership controls mutation; permissions control visibility; tenant_id controls the outer boundary that neither ownership nor permission may cross.</w:t>
      </w:r>
    </w:p>
    <w:p>
      <w:pPr>
        <w:pStyle w:val="Heading2"/>
        <w:spacing w:after="100" w:before="220"/>
      </w:pPr>
      <w:r>
        <w:rPr>
          <w:b/>
          <w:bCs/>
        </w:rPr>
        <w:t xml:space="preserve">11.4 Integrity</w:t>
      </w:r>
    </w:p>
    <w:p>
      <w:pPr>
        <w:pStyle w:val="ListParagraph"/>
        <w:numPr>
          <w:ilvl w:val="0"/>
          <w:numId w:val="1"/>
        </w:numPr>
        <w:spacing w:after="60"/>
      </w:pPr>
      <w:r>
        <w:t xml:space="preserve">Entity integrity through immutable primary identifiers, scoped by tenant_id.</w:t>
      </w:r>
    </w:p>
    <w:p>
      <w:pPr>
        <w:pStyle w:val="ListParagraph"/>
        <w:numPr>
          <w:ilvl w:val="0"/>
          <w:numId w:val="1"/>
        </w:numPr>
        <w:spacing w:after="60"/>
      </w:pPr>
      <w:r>
        <w:t xml:space="preserve">Referential integrity through foreign keys, which MUST NOT reference rows in a different tenant.</w:t>
      </w:r>
    </w:p>
    <w:p>
      <w:pPr>
        <w:pStyle w:val="ListParagraph"/>
        <w:numPr>
          <w:ilvl w:val="0"/>
          <w:numId w:val="1"/>
        </w:numPr>
        <w:spacing w:after="60"/>
      </w:pPr>
      <w:r>
        <w:t xml:space="preserve">Domain integrity through validation and controlled vocabularies.</w:t>
      </w:r>
    </w:p>
    <w:p>
      <w:pPr>
        <w:pStyle w:val="ListParagraph"/>
        <w:numPr>
          <w:ilvl w:val="0"/>
          <w:numId w:val="1"/>
        </w:numPr>
        <w:spacing w:after="60"/>
      </w:pPr>
      <w:r>
        <w:t xml:space="preserve">Business integrity through workflow and policy checks.</w:t>
      </w:r>
    </w:p>
    <w:p>
      <w:pPr>
        <w:pStyle w:val="Heading2"/>
        <w:spacing w:after="100" w:before="220"/>
      </w:pPr>
      <w:r>
        <w:rPr>
          <w:b/>
          <w:bCs/>
        </w:rPr>
        <w:t xml:space="preserve">11.5 Lifecycle</w:t>
      </w:r>
    </w:p>
    <w:p>
      <w:pPr>
        <w:spacing w:after="120"/>
      </w:pPr>
      <w:r>
        <w:rPr>
          <w:b w:val="false"/>
          <w:bCs w:val="false"/>
          <w:i w:val="false"/>
          <w:iCs w:val="false"/>
        </w:rPr>
        <w:t xml:space="preserve">Records move through controlled states such as Draft, Submitted, Reviewed, Approved, Published, Locked and Archived. Every transition is authorized, tenant-scoped and audited.</w:t>
      </w:r>
    </w:p>
    <w:p>
      <w:pPr>
        <w:pStyle w:val="Heading2"/>
        <w:spacing w:after="100" w:before="220"/>
      </w:pPr>
      <w:r>
        <w:rPr>
          <w:b/>
          <w:bCs/>
        </w:rPr>
        <w:t xml:space="preserve">11.6 Security Classification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rPr>
          <w:tblHeader/>
        </w:trPr>
        <w:tc>
          <w:tcPr>
            <w:tcW w:type="dxa" w:w="2300"/>
            <w:shd w:fill="1F3864" w:val="clear"/>
            <w:tcMar>
              <w:top w:type="dxa" w:w="60"/>
              <w:left w:type="dxa" w:w="100"/>
              <w:bottom w:type="dxa" w:w="60"/>
              <w:right w:type="dxa" w:w="100"/>
            </w:tcMar>
            <w:vAlign w:val="center"/>
          </w:tcPr>
          <w:p>
            <w:r>
              <w:rPr>
                <w:b/>
                <w:bCs/>
                <w:color w:val="FFFFFF"/>
                <w:sz w:val="20"/>
                <w:szCs w:val="20"/>
              </w:rPr>
              <w:t xml:space="preserve">Class</w:t>
            </w:r>
          </w:p>
        </w:tc>
        <w:tc>
          <w:tcPr>
            <w:tcW w:type="dxa" w:w="7050"/>
            <w:shd w:fill="1F3864" w:val="clear"/>
            <w:tcMar>
              <w:top w:type="dxa" w:w="60"/>
              <w:left w:type="dxa" w:w="100"/>
              <w:bottom w:type="dxa" w:w="60"/>
              <w:right w:type="dxa" w:w="100"/>
            </w:tcMar>
            <w:vAlign w:val="center"/>
          </w:tcPr>
          <w:p>
            <w:r>
              <w:rPr>
                <w:b/>
                <w:bCs/>
                <w:color w:val="FFFFFF"/>
                <w:sz w:val="20"/>
                <w:szCs w:val="20"/>
              </w:rPr>
              <w:t xml:space="preserve">Examples</w:t>
            </w:r>
          </w:p>
        </w:tc>
      </w:tr>
      <w:tr>
        <w:tc>
          <w:tcPr>
            <w:tcW w:type="dxa" w:w="2300"/>
            <w:tcMar>
              <w:top w:type="dxa" w:w="60"/>
              <w:left w:type="dxa" w:w="100"/>
              <w:bottom w:type="dxa" w:w="60"/>
              <w:right w:type="dxa" w:w="100"/>
            </w:tcMar>
            <w:vAlign w:val="center"/>
          </w:tcPr>
          <w:p>
            <w:r>
              <w:rPr>
                <w:b w:val="false"/>
                <w:bCs w:val="false"/>
                <w:sz w:val="20"/>
                <w:szCs w:val="20"/>
              </w:rPr>
              <w:t xml:space="preserve">Public</w:t>
            </w:r>
          </w:p>
        </w:tc>
        <w:tc>
          <w:tcPr>
            <w:tcW w:type="dxa" w:w="7050"/>
            <w:tcMar>
              <w:top w:type="dxa" w:w="60"/>
              <w:left w:type="dxa" w:w="100"/>
              <w:bottom w:type="dxa" w:w="60"/>
              <w:right w:type="dxa" w:w="100"/>
            </w:tcMar>
            <w:vAlign w:val="center"/>
          </w:tcPr>
          <w:p>
            <w:r>
              <w:rPr>
                <w:b w:val="false"/>
                <w:bCs w:val="false"/>
                <w:sz w:val="20"/>
                <w:szCs w:val="20"/>
              </w:rPr>
              <w:t xml:space="preserve">Approved announcements</w:t>
            </w:r>
          </w:p>
        </w:tc>
      </w:tr>
      <w:tr>
        <w:tc>
          <w:tcPr>
            <w:tcW w:type="dxa" w:w="2300"/>
            <w:shd w:fill="DCE6F1" w:val="clear"/>
            <w:tcMar>
              <w:top w:type="dxa" w:w="60"/>
              <w:left w:type="dxa" w:w="100"/>
              <w:bottom w:type="dxa" w:w="60"/>
              <w:right w:type="dxa" w:w="100"/>
            </w:tcMar>
            <w:vAlign w:val="center"/>
          </w:tcPr>
          <w:p>
            <w:r>
              <w:rPr>
                <w:b w:val="false"/>
                <w:bCs w:val="false"/>
                <w:sz w:val="20"/>
                <w:szCs w:val="20"/>
              </w:rPr>
              <w:t xml:space="preserve">Internal</w:t>
            </w:r>
          </w:p>
        </w:tc>
        <w:tc>
          <w:tcPr>
            <w:tcW w:type="dxa" w:w="7050"/>
            <w:shd w:fill="DCE6F1" w:val="clear"/>
            <w:tcMar>
              <w:top w:type="dxa" w:w="60"/>
              <w:left w:type="dxa" w:w="100"/>
              <w:bottom w:type="dxa" w:w="60"/>
              <w:right w:type="dxa" w:w="100"/>
            </w:tcMar>
            <w:vAlign w:val="center"/>
          </w:tcPr>
          <w:p>
            <w:r>
              <w:rPr>
                <w:b w:val="false"/>
                <w:bCs w:val="false"/>
                <w:sz w:val="20"/>
                <w:szCs w:val="20"/>
              </w:rPr>
              <w:t xml:space="preserve">Timetables and assignments</w:t>
            </w:r>
          </w:p>
        </w:tc>
      </w:tr>
      <w:tr>
        <w:tc>
          <w:tcPr>
            <w:tcW w:type="dxa" w:w="2300"/>
            <w:tcMar>
              <w:top w:type="dxa" w:w="60"/>
              <w:left w:type="dxa" w:w="100"/>
              <w:bottom w:type="dxa" w:w="60"/>
              <w:right w:type="dxa" w:w="100"/>
            </w:tcMar>
            <w:vAlign w:val="center"/>
          </w:tcPr>
          <w:p>
            <w:r>
              <w:rPr>
                <w:b w:val="false"/>
                <w:bCs w:val="false"/>
                <w:sz w:val="20"/>
                <w:szCs w:val="20"/>
              </w:rPr>
              <w:t xml:space="preserve">Confidential</w:t>
            </w:r>
          </w:p>
        </w:tc>
        <w:tc>
          <w:tcPr>
            <w:tcW w:type="dxa" w:w="7050"/>
            <w:tcMar>
              <w:top w:type="dxa" w:w="60"/>
              <w:left w:type="dxa" w:w="100"/>
              <w:bottom w:type="dxa" w:w="60"/>
              <w:right w:type="dxa" w:w="100"/>
            </w:tcMar>
            <w:vAlign w:val="center"/>
          </w:tcPr>
          <w:p>
            <w:r>
              <w:rPr>
                <w:b w:val="false"/>
                <w:bCs w:val="false"/>
                <w:sz w:val="20"/>
                <w:szCs w:val="20"/>
              </w:rPr>
              <w:t xml:space="preserve">Student, guardian, results and statements</w:t>
            </w:r>
          </w:p>
        </w:tc>
      </w:tr>
      <w:tr>
        <w:tc>
          <w:tcPr>
            <w:tcW w:type="dxa" w:w="2300"/>
            <w:shd w:fill="DCE6F1" w:val="clear"/>
            <w:tcMar>
              <w:top w:type="dxa" w:w="60"/>
              <w:left w:type="dxa" w:w="100"/>
              <w:bottom w:type="dxa" w:w="60"/>
              <w:right w:type="dxa" w:w="100"/>
            </w:tcMar>
            <w:vAlign w:val="center"/>
          </w:tcPr>
          <w:p>
            <w:r>
              <w:rPr>
                <w:b w:val="false"/>
                <w:bCs w:val="false"/>
                <w:sz w:val="20"/>
                <w:szCs w:val="20"/>
              </w:rPr>
              <w:t xml:space="preserve">Highly Confidential</w:t>
            </w:r>
          </w:p>
        </w:tc>
        <w:tc>
          <w:tcPr>
            <w:tcW w:type="dxa" w:w="7050"/>
            <w:shd w:fill="DCE6F1" w:val="clear"/>
            <w:tcMar>
              <w:top w:type="dxa" w:w="60"/>
              <w:left w:type="dxa" w:w="100"/>
              <w:bottom w:type="dxa" w:w="60"/>
              <w:right w:type="dxa" w:w="100"/>
            </w:tcMar>
            <w:vAlign w:val="center"/>
          </w:tcPr>
          <w:p>
            <w:r>
              <w:rPr>
                <w:b w:val="false"/>
                <w:bCs w:val="false"/>
                <w:sz w:val="20"/>
                <w:szCs w:val="20"/>
              </w:rPr>
              <w:t xml:space="preserve">Medical, biometric, banking data, IDs and credentials</w:t>
            </w:r>
          </w:p>
        </w:tc>
      </w:tr>
    </w:tbl>
    <w:p>
      <w:pPr>
        <w:spacing w:after="120"/>
      </w:pPr>
      <w:r>
        <w:rPr>
          <w:b w:val="false"/>
          <w:bCs w:val="false"/>
          <w:i w:val="false"/>
          <w:iCs w:val="false"/>
        </w:rPr>
        <w:t xml:space="preserve">11.7 Sensitive data (medical details, identification numbers, salaries, banking data, biometric templates, password material and security settings) requires elevated controls, masking and restricted export, and is in scope for the retention and consent rules in Volume V.</w:t>
      </w:r>
    </w:p>
    <w:p>
      <w:pPr>
        <w:pStyle w:val="Heading1"/>
        <w:pageBreakBefore/>
        <w:spacing w:after="200" w:before="240"/>
      </w:pPr>
      <w:r>
        <w:rPr>
          <w:b/>
          <w:bCs/>
        </w:rPr>
        <w:t xml:space="preserve">Chapter 12 — Enterprise Business Rules Framework</w:t>
      </w:r>
    </w:p>
    <w:p>
      <w:pPr>
        <w:pStyle w:val="Heading2"/>
        <w:spacing w:after="100" w:before="220"/>
      </w:pPr>
      <w:r>
        <w:rPr>
          <w:b/>
          <w:bCs/>
        </w:rPr>
        <w:t xml:space="preserve">12.1 Tenancy Rules (new)</w:t>
      </w:r>
    </w:p>
    <w:p>
      <w:pPr>
        <w:pStyle w:val="ListParagraph"/>
        <w:numPr>
          <w:ilvl w:val="0"/>
          <w:numId w:val="1"/>
        </w:numPr>
        <w:spacing w:after="60"/>
      </w:pPr>
      <w:r>
        <w:t xml:space="preserve">No record MAY reference a foreign key belonging to a different tenant.</w:t>
      </w:r>
    </w:p>
    <w:p>
      <w:pPr>
        <w:pStyle w:val="ListParagraph"/>
        <w:numPr>
          <w:ilvl w:val="0"/>
          <w:numId w:val="1"/>
        </w:numPr>
        <w:spacing w:after="60"/>
      </w:pPr>
      <w:r>
        <w:t xml:space="preserve">No user session MAY carry more than one active tenant context at a time, except platform roles operating under Chapter 3.</w:t>
      </w:r>
    </w:p>
    <w:p>
      <w:pPr>
        <w:pStyle w:val="ListParagraph"/>
        <w:numPr>
          <w:ilvl w:val="0"/>
          <w:numId w:val="1"/>
        </w:numPr>
        <w:spacing w:after="60"/>
      </w:pPr>
      <w:r>
        <w:t xml:space="preserve">Suspension of a tenant MUST NOT alter or hide historical published data (TEN-024).</w:t>
      </w:r>
    </w:p>
    <w:p>
      <w:pPr>
        <w:pStyle w:val="Heading2"/>
        <w:spacing w:after="100" w:before="220"/>
      </w:pPr>
      <w:r>
        <w:rPr>
          <w:b/>
          <w:bCs/>
        </w:rPr>
        <w:t xml:space="preserve">12.2 Institutional Rules</w:t>
      </w:r>
    </w:p>
    <w:p>
      <w:pPr>
        <w:pStyle w:val="ListParagraph"/>
        <w:numPr>
          <w:ilvl w:val="0"/>
          <w:numId w:val="1"/>
        </w:numPr>
        <w:spacing w:after="60"/>
      </w:pPr>
      <w:r>
        <w:t xml:space="preserve">Only one academic year is normally current per school or campus.</w:t>
      </w:r>
    </w:p>
    <w:p>
      <w:pPr>
        <w:pStyle w:val="ListParagraph"/>
        <w:numPr>
          <w:ilvl w:val="0"/>
          <w:numId w:val="1"/>
        </w:numPr>
        <w:spacing w:after="60"/>
      </w:pPr>
      <w:r>
        <w:t xml:space="preserve">Term dates fall within the academic year.</w:t>
      </w:r>
    </w:p>
    <w:p>
      <w:pPr>
        <w:pStyle w:val="ListParagraph"/>
        <w:numPr>
          <w:ilvl w:val="0"/>
          <w:numId w:val="1"/>
        </w:numPr>
        <w:spacing w:after="60"/>
      </w:pPr>
      <w:r>
        <w:t xml:space="preserve">Every class belongs to one level and every level to one division.</w:t>
      </w:r>
    </w:p>
    <w:p>
      <w:pPr>
        <w:pStyle w:val="ListParagraph"/>
        <w:numPr>
          <w:ilvl w:val="0"/>
          <w:numId w:val="1"/>
        </w:numPr>
        <w:spacing w:after="60"/>
      </w:pPr>
      <w:r>
        <w:t xml:space="preserve">Every offered class subject must have a valid configuration before publication.</w:t>
      </w:r>
    </w:p>
    <w:p>
      <w:pPr>
        <w:pStyle w:val="Heading2"/>
        <w:spacing w:after="100" w:before="220"/>
      </w:pPr>
      <w:r>
        <w:rPr>
          <w:b/>
          <w:bCs/>
        </w:rPr>
        <w:t xml:space="preserve">12.3 Student Rules</w:t>
      </w:r>
    </w:p>
    <w:p>
      <w:pPr>
        <w:pStyle w:val="ListParagraph"/>
        <w:numPr>
          <w:ilvl w:val="0"/>
          <w:numId w:val="1"/>
        </w:numPr>
        <w:spacing w:after="60"/>
      </w:pPr>
      <w:r>
        <w:t xml:space="preserve">Student and admission identifiers are unique per tenant and never reused.</w:t>
      </w:r>
    </w:p>
    <w:p>
      <w:pPr>
        <w:pStyle w:val="ListParagraph"/>
        <w:numPr>
          <w:ilvl w:val="0"/>
          <w:numId w:val="1"/>
        </w:numPr>
        <w:spacing w:after="60"/>
      </w:pPr>
      <w:r>
        <w:t xml:space="preserve">A student has no more than one active enrolment per academic year unless an explicit exception is configured.</w:t>
      </w:r>
    </w:p>
    <w:p>
      <w:pPr>
        <w:pStyle w:val="ListParagraph"/>
        <w:numPr>
          <w:ilvl w:val="0"/>
          <w:numId w:val="1"/>
        </w:numPr>
        <w:spacing w:after="60"/>
      </w:pPr>
      <w:r>
        <w:t xml:space="preserve">Transfers preserve academic, attendance, financial, health and discipline history.</w:t>
      </w:r>
    </w:p>
    <w:p>
      <w:pPr>
        <w:pStyle w:val="ListParagraph"/>
        <w:numPr>
          <w:ilvl w:val="0"/>
          <w:numId w:val="1"/>
        </w:numPr>
        <w:spacing w:after="60"/>
      </w:pPr>
      <w:r>
        <w:t xml:space="preserve">Student records are archived, not permanently deleted, subject to the retention schedule.</w:t>
      </w:r>
    </w:p>
    <w:p>
      <w:pPr>
        <w:pStyle w:val="Heading2"/>
        <w:spacing w:after="100" w:before="220"/>
      </w:pPr>
      <w:r>
        <w:rPr>
          <w:b/>
          <w:bCs/>
        </w:rPr>
        <w:t xml:space="preserve">12.4 Attendance, Assessment and Finance Rules (retained from v1.0)</w:t>
      </w:r>
    </w:p>
    <w:p>
      <w:pPr>
        <w:pStyle w:val="ListParagraph"/>
        <w:numPr>
          <w:ilvl w:val="0"/>
          <w:numId w:val="1"/>
        </w:numPr>
        <w:spacing w:after="60"/>
      </w:pPr>
      <w:r>
        <w:t xml:space="preserve">Only active enrolments appear in registers; one record exists per student, date and configured session.</w:t>
      </w:r>
    </w:p>
    <w:p>
      <w:pPr>
        <w:pStyle w:val="ListParagraph"/>
        <w:numPr>
          <w:ilvl w:val="0"/>
          <w:numId w:val="1"/>
        </w:numPr>
        <w:spacing w:after="60"/>
      </w:pPr>
      <w:r>
        <w:t xml:space="preserve">Teachers enter scores only for active assignments; submitted and published data is locked until controlled reopening.</w:t>
      </w:r>
    </w:p>
    <w:p>
      <w:pPr>
        <w:pStyle w:val="ListParagraph"/>
        <w:numPr>
          <w:ilvl w:val="0"/>
          <w:numId w:val="1"/>
        </w:numPr>
        <w:spacing w:after="60"/>
      </w:pPr>
      <w:r>
        <w:t xml:space="preserve">Invoices and receipts have unique numbers, scoped per tenant; payments reference valid obligations and are never deleted; corrections use reversal transactions with approval and reason.</w:t>
      </w:r>
    </w:p>
    <w:p>
      <w:pPr>
        <w:pStyle w:val="Heading2"/>
        <w:spacing w:after="100" w:before="220"/>
      </w:pPr>
      <w:r>
        <w:rPr>
          <w:b/>
          <w:bCs/>
        </w:rPr>
        <w:t xml:space="preserve">12.5 Reporting Rules</w:t>
      </w:r>
    </w:p>
    <w:p>
      <w:pPr>
        <w:pStyle w:val="ListParagraph"/>
        <w:numPr>
          <w:ilvl w:val="0"/>
          <w:numId w:val="1"/>
        </w:numPr>
        <w:spacing w:after="60"/>
      </w:pPr>
      <w:r>
        <w:t xml:space="preserve">Reports respect tenant and record scope with least privilege.</w:t>
      </w:r>
    </w:p>
    <w:p>
      <w:pPr>
        <w:pStyle w:val="ListParagraph"/>
        <w:numPr>
          <w:ilvl w:val="0"/>
          <w:numId w:val="1"/>
        </w:numPr>
        <w:spacing w:after="60"/>
      </w:pPr>
      <w:r>
        <w:t xml:space="preserve">Schedules include weekly, monthly, termly and yearly cycles, plus group-level roll-ups where the tenant contains multiple schools.</w:t>
      </w:r>
    </w:p>
    <w:p>
      <w:pPr>
        <w:pStyle w:val="ListParagraph"/>
        <w:numPr>
          <w:ilvl w:val="0"/>
          <w:numId w:val="1"/>
        </w:numPr>
        <w:spacing w:after="60"/>
      </w:pPr>
      <w:r>
        <w:t xml:space="preserve">Failed deliveries retry and escalate.</w:t>
      </w:r>
    </w:p>
    <w:p>
      <w:pPr>
        <w:pStyle w:val="Heading1"/>
        <w:pageBreakBefore/>
        <w:spacing w:after="200" w:before="240"/>
      </w:pPr>
      <w:r>
        <w:rPr>
          <w:b/>
          <w:bCs/>
        </w:rPr>
        <w:t xml:space="preserve">Chapter 13 — Roles, Responsibility, Authority &amp; Scope</w:t>
      </w:r>
    </w:p>
    <w:p>
      <w:pPr>
        <w:spacing w:after="120"/>
      </w:pPr>
      <w:r>
        <w:rPr>
          <w:b w:val="false"/>
          <w:bCs w:val="false"/>
          <w:i w:val="false"/>
          <w:iCs w:val="false"/>
        </w:rPr>
        <w:t xml:space="preserve">Platform roles are specified in Chapter 3. This chapter restates and retains the school-level model from Version 1.0, which was already sound.</w:t>
      </w:r>
    </w:p>
    <w:p>
      <w:pPr>
        <w:pStyle w:val="Heading2"/>
        <w:spacing w:after="100" w:before="220"/>
      </w:pPr>
      <w:r>
        <w:rPr>
          <w:b/>
          <w:bCs/>
        </w:rPr>
        <w:t xml:space="preserve">13.1 Model</w:t>
      </w:r>
    </w:p>
    <w:p>
      <w:pPr>
        <w:spacing w:after="120"/>
      </w:pPr>
      <w:r>
        <w:rPr>
          <w:b w:val="false"/>
          <w:bCs w:val="false"/>
          <w:i w:val="false"/>
          <w:iCs w:val="false"/>
        </w:rPr>
        <w:t xml:space="preserve">PBSMS separates roles (institutional identity), responsibilities (expected work), permissions (allowed actions) and authority (approval power), all evaluated within a resolved tenant context.</w:t>
      </w:r>
    </w:p>
    <w:p>
      <w:pPr>
        <w:pStyle w:val="Heading2"/>
        <w:spacing w:after="100" w:before="220"/>
      </w:pPr>
      <w:r>
        <w:rPr>
          <w:b/>
          <w:bCs/>
        </w:rPr>
        <w:t xml:space="preserve">13.2 Permission Actions</w:t>
      </w:r>
    </w:p>
    <w:p>
      <w:pPr>
        <w:pStyle w:val="ListParagraph"/>
        <w:numPr>
          <w:ilvl w:val="0"/>
          <w:numId w:val="1"/>
        </w:numPr>
        <w:spacing w:after="60"/>
      </w:pPr>
      <w:r>
        <w:t xml:space="preserve">View</w:t>
      </w:r>
    </w:p>
    <w:p>
      <w:pPr>
        <w:pStyle w:val="ListParagraph"/>
        <w:numPr>
          <w:ilvl w:val="0"/>
          <w:numId w:val="1"/>
        </w:numPr>
        <w:spacing w:after="60"/>
      </w:pPr>
      <w:r>
        <w:t xml:space="preserve">Create</w:t>
      </w:r>
    </w:p>
    <w:p>
      <w:pPr>
        <w:pStyle w:val="ListParagraph"/>
        <w:numPr>
          <w:ilvl w:val="0"/>
          <w:numId w:val="1"/>
        </w:numPr>
        <w:spacing w:after="60"/>
      </w:pPr>
      <w:r>
        <w:t xml:space="preserve">Edit</w:t>
      </w:r>
    </w:p>
    <w:p>
      <w:pPr>
        <w:pStyle w:val="ListParagraph"/>
        <w:numPr>
          <w:ilvl w:val="0"/>
          <w:numId w:val="1"/>
        </w:numPr>
        <w:spacing w:after="60"/>
      </w:pPr>
      <w:r>
        <w:t xml:space="preserve">Submit</w:t>
      </w:r>
    </w:p>
    <w:p>
      <w:pPr>
        <w:pStyle w:val="ListParagraph"/>
        <w:numPr>
          <w:ilvl w:val="0"/>
          <w:numId w:val="1"/>
        </w:numPr>
        <w:spacing w:after="60"/>
      </w:pPr>
      <w:r>
        <w:t xml:space="preserve">Review</w:t>
      </w:r>
    </w:p>
    <w:p>
      <w:pPr>
        <w:pStyle w:val="ListParagraph"/>
        <w:numPr>
          <w:ilvl w:val="0"/>
          <w:numId w:val="1"/>
        </w:numPr>
        <w:spacing w:after="60"/>
      </w:pPr>
      <w:r>
        <w:t xml:space="preserve">Return</w:t>
      </w:r>
    </w:p>
    <w:p>
      <w:pPr>
        <w:pStyle w:val="ListParagraph"/>
        <w:numPr>
          <w:ilvl w:val="0"/>
          <w:numId w:val="1"/>
        </w:numPr>
        <w:spacing w:after="60"/>
      </w:pPr>
      <w:r>
        <w:t xml:space="preserve">Approve</w:t>
      </w:r>
    </w:p>
    <w:p>
      <w:pPr>
        <w:pStyle w:val="ListParagraph"/>
        <w:numPr>
          <w:ilvl w:val="0"/>
          <w:numId w:val="1"/>
        </w:numPr>
        <w:spacing w:after="60"/>
      </w:pPr>
      <w:r>
        <w:t xml:space="preserve">Reject</w:t>
      </w:r>
    </w:p>
    <w:p>
      <w:pPr>
        <w:pStyle w:val="ListParagraph"/>
        <w:numPr>
          <w:ilvl w:val="0"/>
          <w:numId w:val="1"/>
        </w:numPr>
        <w:spacing w:after="60"/>
      </w:pPr>
      <w:r>
        <w:t xml:space="preserve">Publish</w:t>
      </w:r>
    </w:p>
    <w:p>
      <w:pPr>
        <w:pStyle w:val="ListParagraph"/>
        <w:numPr>
          <w:ilvl w:val="0"/>
          <w:numId w:val="1"/>
        </w:numPr>
        <w:spacing w:after="60"/>
      </w:pPr>
      <w:r>
        <w:t xml:space="preserve">Reopen</w:t>
      </w:r>
    </w:p>
    <w:p>
      <w:pPr>
        <w:pStyle w:val="ListParagraph"/>
        <w:numPr>
          <w:ilvl w:val="0"/>
          <w:numId w:val="1"/>
        </w:numPr>
        <w:spacing w:after="60"/>
      </w:pPr>
      <w:r>
        <w:t xml:space="preserve">Reverse</w:t>
      </w:r>
    </w:p>
    <w:p>
      <w:pPr>
        <w:pStyle w:val="ListParagraph"/>
        <w:numPr>
          <w:ilvl w:val="0"/>
          <w:numId w:val="1"/>
        </w:numPr>
        <w:spacing w:after="60"/>
      </w:pPr>
      <w:r>
        <w:t xml:space="preserve">Export</w:t>
      </w:r>
    </w:p>
    <w:p>
      <w:pPr>
        <w:pStyle w:val="ListParagraph"/>
        <w:numPr>
          <w:ilvl w:val="0"/>
          <w:numId w:val="1"/>
        </w:numPr>
        <w:spacing w:after="60"/>
      </w:pPr>
      <w:r>
        <w:t xml:space="preserve">Print</w:t>
      </w:r>
    </w:p>
    <w:p>
      <w:pPr>
        <w:pStyle w:val="ListParagraph"/>
        <w:numPr>
          <w:ilvl w:val="0"/>
          <w:numId w:val="1"/>
        </w:numPr>
        <w:spacing w:after="60"/>
      </w:pPr>
      <w:r>
        <w:t xml:space="preserve">Configure</w:t>
      </w:r>
    </w:p>
    <w:p>
      <w:pPr>
        <w:pStyle w:val="ListParagraph"/>
        <w:numPr>
          <w:ilvl w:val="0"/>
          <w:numId w:val="1"/>
        </w:numPr>
        <w:spacing w:after="60"/>
      </w:pPr>
      <w:r>
        <w:t xml:space="preserve">Archive</w:t>
      </w:r>
    </w:p>
    <w:p>
      <w:pPr>
        <w:pStyle w:val="ListParagraph"/>
        <w:numPr>
          <w:ilvl w:val="0"/>
          <w:numId w:val="1"/>
        </w:numPr>
        <w:spacing w:after="60"/>
      </w:pPr>
      <w:r>
        <w:t xml:space="preserve">Restore</w:t>
      </w:r>
    </w:p>
    <w:p>
      <w:pPr>
        <w:pStyle w:val="ListParagraph"/>
        <w:numPr>
          <w:ilvl w:val="0"/>
          <w:numId w:val="1"/>
        </w:numPr>
        <w:spacing w:after="60"/>
      </w:pPr>
      <w:r>
        <w:t xml:space="preserve">View audit history</w:t>
      </w:r>
    </w:p>
    <w:p>
      <w:pPr>
        <w:pStyle w:val="Heading2"/>
        <w:spacing w:after="100" w:before="220"/>
      </w:pPr>
      <w:r>
        <w:rPr>
          <w:b/>
          <w:bCs/>
        </w:rPr>
        <w:t xml:space="preserve">13.3 Scope Hierarchy</w:t>
      </w:r>
    </w:p>
    <w:p>
      <w:pPr>
        <w:spacing w:after="120"/>
      </w:pPr>
      <w:r>
        <w:rPr>
          <w:b w:val="false"/>
          <w:bCs w:val="false"/>
          <w:i w:val="false"/>
          <w:iCs w:val="false"/>
        </w:rPr>
        <w:t xml:space="preserve">Tenant → School → Campus → Department → Division → Class level → Class → Subject → Assigned students → Linked children → Record ownership. Tenant is the new outermost scope added in Version 2.0; every scope below it is meaningless without it.</w:t>
      </w:r>
    </w:p>
    <w:p>
      <w:pPr>
        <w:pStyle w:val="Heading2"/>
        <w:spacing w:after="100" w:before="220"/>
      </w:pPr>
      <w:r>
        <w:rPr>
          <w:b/>
          <w:bCs/>
        </w:rPr>
        <w:t xml:space="preserve">13.4 Delegation &amp; Conflict of Interest</w:t>
      </w:r>
    </w:p>
    <w:p>
      <w:pPr>
        <w:spacing w:after="120"/>
      </w:pPr>
      <w:r>
        <w:rPr>
          <w:b w:val="false"/>
          <w:bCs w:val="false"/>
          <w:i w:val="false"/>
          <w:iCs w:val="false"/>
        </w:rPr>
        <w:t xml:space="preserve">Temporary authority includes delegator, recipient, exact functions, start, end and automatic expiry; delegation is visible and audited. Workflows identify when one user holds overlapping roles and prevent required independent review from being silently bypassed.</w:t>
      </w:r>
    </w:p>
    <w:p>
      <w:pPr>
        <w:pStyle w:val="Heading1"/>
        <w:pageBreakBefore/>
        <w:spacing w:after="200" w:before="240"/>
      </w:pPr>
      <w:r>
        <w:rPr>
          <w:b/>
          <w:bCs/>
        </w:rPr>
        <w:t xml:space="preserve">Chapter 14 — Operational Intelligence Framework</w:t>
      </w:r>
    </w:p>
    <w:p>
      <w:pPr>
        <w:pStyle w:val="Heading2"/>
        <w:spacing w:after="100" w:before="220"/>
      </w:pPr>
      <w:r>
        <w:rPr>
          <w:b/>
          <w:bCs/>
        </w:rPr>
        <w:t xml:space="preserve">14.1 Components</w:t>
      </w:r>
    </w:p>
    <w:p>
      <w:pPr>
        <w:pStyle w:val="ListParagraph"/>
        <w:numPr>
          <w:ilvl w:val="0"/>
          <w:numId w:val="1"/>
        </w:numPr>
        <w:spacing w:after="60"/>
      </w:pPr>
      <w:r>
        <w:t xml:space="preserve">KPI Engine</w:t>
      </w:r>
    </w:p>
    <w:p>
      <w:pPr>
        <w:pStyle w:val="ListParagraph"/>
        <w:numPr>
          <w:ilvl w:val="0"/>
          <w:numId w:val="1"/>
        </w:numPr>
        <w:spacing w:after="60"/>
      </w:pPr>
      <w:r>
        <w:t xml:space="preserve">Reporting Engine</w:t>
      </w:r>
    </w:p>
    <w:p>
      <w:pPr>
        <w:pStyle w:val="ListParagraph"/>
        <w:numPr>
          <w:ilvl w:val="0"/>
          <w:numId w:val="1"/>
        </w:numPr>
        <w:spacing w:after="60"/>
      </w:pPr>
      <w:r>
        <w:t xml:space="preserve">Scheduler</w:t>
      </w:r>
    </w:p>
    <w:p>
      <w:pPr>
        <w:pStyle w:val="ListParagraph"/>
        <w:numPr>
          <w:ilvl w:val="0"/>
          <w:numId w:val="1"/>
        </w:numPr>
        <w:spacing w:after="60"/>
      </w:pPr>
      <w:r>
        <w:t xml:space="preserve">Email/SMS/WhatsApp Service</w:t>
      </w:r>
    </w:p>
    <w:p>
      <w:pPr>
        <w:pStyle w:val="ListParagraph"/>
        <w:numPr>
          <w:ilvl w:val="0"/>
          <w:numId w:val="1"/>
        </w:numPr>
        <w:spacing w:after="60"/>
      </w:pPr>
      <w:r>
        <w:t xml:space="preserve">Notification Engine</w:t>
      </w:r>
    </w:p>
    <w:p>
      <w:pPr>
        <w:pStyle w:val="ListParagraph"/>
        <w:numPr>
          <w:ilvl w:val="0"/>
          <w:numId w:val="1"/>
        </w:numPr>
        <w:spacing w:after="60"/>
      </w:pPr>
      <w:r>
        <w:t xml:space="preserve">Action Tracker</w:t>
      </w:r>
    </w:p>
    <w:p>
      <w:pPr>
        <w:pStyle w:val="ListParagraph"/>
        <w:numPr>
          <w:ilvl w:val="0"/>
          <w:numId w:val="1"/>
        </w:numPr>
        <w:spacing w:after="60"/>
      </w:pPr>
      <w:r>
        <w:t xml:space="preserve">Escalation Engine</w:t>
      </w:r>
    </w:p>
    <w:p>
      <w:pPr>
        <w:pStyle w:val="ListParagraph"/>
        <w:numPr>
          <w:ilvl w:val="0"/>
          <w:numId w:val="1"/>
        </w:numPr>
        <w:spacing w:after="60"/>
      </w:pPr>
      <w:r>
        <w:t xml:space="preserve">Executive Dashboards</w:t>
      </w:r>
    </w:p>
    <w:p>
      <w:pPr>
        <w:pStyle w:val="ListParagraph"/>
        <w:numPr>
          <w:ilvl w:val="0"/>
          <w:numId w:val="1"/>
        </w:numPr>
        <w:spacing w:after="60"/>
      </w:pPr>
      <w:r>
        <w:t xml:space="preserve">Group/Multi-School Roll-Up (new)</w:t>
      </w:r>
    </w:p>
    <w:p>
      <w:pPr>
        <w:pStyle w:val="Heading2"/>
        <w:spacing w:after="100" w:before="220"/>
      </w:pPr>
      <w:r>
        <w:rPr>
          <w:b/>
          <w:bCs/>
        </w:rPr>
        <w:t xml:space="preserve">14.2 KPI Definition</w:t>
      </w:r>
    </w:p>
    <w:p>
      <w:pPr>
        <w:spacing w:after="120"/>
      </w:pPr>
      <w:r>
        <w:rPr>
          <w:b w:val="false"/>
          <w:bCs w:val="false"/>
          <w:i w:val="false"/>
          <w:iCs w:val="false"/>
        </w:rPr>
        <w:t xml:space="preserve">Each KPI carries code, name, responsible role, data source and formula, target and weight, warning and critical thresholds, reporting frequency, supervisor, status, and tenant scope.</w:t>
      </w:r>
    </w:p>
    <w:p>
      <w:pPr>
        <w:pStyle w:val="Heading2"/>
        <w:spacing w:after="100" w:before="220"/>
      </w:pPr>
      <w:r>
        <w:rPr>
          <w:b/>
          <w:bCs/>
        </w:rPr>
        <w:t xml:space="preserve">14.3 Group Roll-Up (new capability)</w:t>
      </w:r>
    </w:p>
    <w:p>
      <w:pPr>
        <w:spacing w:after="120"/>
      </w:pPr>
      <w:r>
        <w:rPr>
          <w:b w:val="false"/>
          <w:bCs w:val="false"/>
          <w:i w:val="false"/>
          <w:iCs w:val="false"/>
        </w:rPr>
        <w:t xml:space="preserve">FR-ANL-010: Where a tenant contains more than one school, the Proprietor/Director role MUST see a consolidated dashboard comparing collections, attendance, academic performance and outstanding actions across all schools in the tenant, in addition to each school's own dashboard. This directly addresses a capability Version 1.0 could not offer because it had no concept of a tenant above a single school.</w:t>
      </w:r>
    </w:p>
    <w:p>
      <w:pPr>
        <w:pStyle w:val="Heading2"/>
        <w:spacing w:after="100" w:before="220"/>
      </w:pPr>
      <w:r>
        <w:rPr>
          <w:b/>
          <w:bCs/>
        </w:rPr>
        <w:t xml:space="preserve">14.4 AI Readiness</w:t>
      </w:r>
    </w:p>
    <w:p>
      <w:pPr>
        <w:spacing w:after="120"/>
      </w:pPr>
      <w:r>
        <w:rPr>
          <w:b w:val="false"/>
          <w:bCs w:val="false"/>
          <w:i w:val="false"/>
          <w:iCs w:val="false"/>
        </w:rPr>
        <w:t xml:space="preserve">Future AI features may summarize trends, draft report-card remarks, and flag at-risk students or unusual attendance patterns, but official academic and financial decisions remain with authorized human personnel at all times.</w:t>
      </w:r>
    </w:p>
    <w:p>
      <w:pPr>
        <w:pageBreakBefore/>
        <w:spacing w:after="120" w:before="2000"/>
        <w:jc w:val="center"/>
      </w:pPr>
      <w:r>
        <w:rPr>
          <w:color w:val="1F3864"/>
          <w:sz w:val="28"/>
          <w:szCs w:val="28"/>
        </w:rPr>
        <w:t xml:space="preserve">—</w:t>
      </w:r>
    </w:p>
    <w:p>
      <w:pPr>
        <w:pStyle w:val="Heading1"/>
        <w:spacing w:after="120" w:before="200"/>
        <w:jc w:val="center"/>
      </w:pPr>
      <w:r>
        <w:rPr>
          <w:b/>
          <w:bCs/>
          <w:color w:val="1F3864"/>
          <w:sz w:val="36"/>
          <w:szCs w:val="36"/>
        </w:rPr>
        <w:t xml:space="preserve">VOLUME II</w:t>
      </w:r>
    </w:p>
    <w:p>
      <w:pPr>
        <w:spacing w:after="2000"/>
        <w:jc w:val="center"/>
      </w:pPr>
      <w:r>
        <w:rPr>
          <w:i/>
          <w:iCs/>
          <w:sz w:val="24"/>
          <w:szCs w:val="24"/>
        </w:rPr>
        <w:t xml:space="preserve">Academic &amp; Student Lifecycle — Chapters 15–22</w:t>
      </w:r>
    </w:p>
    <w:p>
      <w:pPr>
        <w:pStyle w:val="Heading1"/>
        <w:pageBreakBefore/>
        <w:spacing w:after="200" w:before="240"/>
      </w:pPr>
      <w:r>
        <w:rPr>
          <w:b/>
          <w:bCs/>
        </w:rPr>
        <w:t xml:space="preserve">Chapter 15 — Admissions Management</w:t>
      </w:r>
    </w:p>
    <w:p>
      <w:pPr>
        <w:pStyle w:val="Heading2"/>
        <w:spacing w:after="100" w:before="220"/>
      </w:pPr>
      <w:r>
        <w:rPr>
          <w:b/>
          <w:bCs/>
        </w:rPr>
        <w:t xml:space="preserve">15.1 Purpose</w:t>
      </w:r>
    </w:p>
    <w:p>
      <w:pPr>
        <w:spacing w:after="120"/>
      </w:pPr>
      <w:r>
        <w:rPr>
          <w:b w:val="false"/>
          <w:bCs w:val="false"/>
          <w:i w:val="false"/>
          <w:iCs w:val="false"/>
        </w:rPr>
        <w:t xml:space="preserve">Admissions controls the applicant lifecycle, within one tenant, before any permanent student record is created.</w:t>
      </w:r>
    </w:p>
    <w:p>
      <w:pPr>
        <w:pStyle w:val="Heading2"/>
        <w:spacing w:after="100" w:before="220"/>
      </w:pPr>
      <w:r>
        <w:rPr>
          <w:b/>
          <w:bCs/>
        </w:rPr>
        <w:t xml:space="preserve">15.2 States</w:t>
      </w:r>
    </w:p>
    <w:p>
      <w:pPr>
        <w:spacing w:after="120"/>
      </w:pPr>
      <w:r>
        <w:rPr>
          <w:b w:val="false"/>
          <w:bCs w:val="false"/>
          <w:i w:val="false"/>
          <w:iCs w:val="false"/>
        </w:rPr>
        <w:t xml:space="preserve">Draft → Submitted → Under Review → Documents Incomplete → Interview/Assessment Scheduled → Waitlisted → Approved / Rejected → Admitted → Cancelled.</w:t>
      </w:r>
    </w:p>
    <w:p>
      <w:pPr>
        <w:pStyle w:val="Heading2"/>
        <w:spacing w:after="100" w:before="220"/>
      </w:pPr>
      <w:r>
        <w:rPr>
          <w:b/>
          <w:bCs/>
        </w:rPr>
        <w:t xml:space="preserve">15.3 Requirements</w:t>
      </w:r>
    </w:p>
    <w:p>
      <w:pPr>
        <w:pStyle w:val="ListParagraph"/>
        <w:numPr>
          <w:ilvl w:val="0"/>
          <w:numId w:val="1"/>
        </w:numPr>
        <w:spacing w:after="60"/>
      </w:pPr>
      <w:r>
        <w:t xml:space="preserve">FR-ADM-010: Capture applicant identity, photo, birth/nationality/language/address, previous school, guardian and emergency contacts, medical and learning-support information, supporting documents, and interview/entrance-assessment outcomes.</w:t>
      </w:r>
    </w:p>
    <w:p>
      <w:pPr>
        <w:pStyle w:val="ListParagraph"/>
        <w:numPr>
          <w:ilvl w:val="0"/>
          <w:numId w:val="1"/>
        </w:numPr>
        <w:spacing w:after="60"/>
      </w:pPr>
      <w:r>
        <w:t xml:space="preserve">FR-ADM-020: Detect potential duplicates using configurable combinations of name, birth date, guardian contact and prior school; matches are surfaced for review, never auto-discarded.</w:t>
      </w:r>
    </w:p>
    <w:p>
      <w:pPr>
        <w:pStyle w:val="ListParagraph"/>
        <w:numPr>
          <w:ilvl w:val="0"/>
          <w:numId w:val="1"/>
        </w:numPr>
        <w:spacing w:after="60"/>
      </w:pPr>
      <w:r>
        <w:t xml:space="preserve">FR-ADM-030: Perform approval-to-student conversion as one atomic transaction — student, guardian relationships and enrolment are created together or not at all.</w:t>
      </w:r>
    </w:p>
    <w:p>
      <w:pPr>
        <w:pStyle w:val="ListParagraph"/>
        <w:numPr>
          <w:ilvl w:val="0"/>
          <w:numId w:val="1"/>
        </w:numPr>
        <w:spacing w:after="60"/>
      </w:pPr>
      <w:r>
        <w:t xml:space="preserve">FR-ADM-040: Assign the tenant-scoped admission number at conversion, never before, and never reuse a number.</w:t>
      </w:r>
    </w:p>
    <w:p>
      <w:pPr>
        <w:pStyle w:val="ListParagraph"/>
        <w:numPr>
          <w:ilvl w:val="0"/>
          <w:numId w:val="1"/>
        </w:numPr>
        <w:spacing w:after="60"/>
      </w:pPr>
      <w:r>
        <w:t xml:space="preserve">FR-ADM-050: Provide applications-received, processing-time, conversion-rate and pending-interview/document KPIs, scoped per school and rolled up per tenant.</w:t>
      </w:r>
    </w:p>
    <w:p>
      <w:pPr>
        <w:pStyle w:val="Heading1"/>
        <w:pageBreakBefore/>
        <w:spacing w:after="200" w:before="240"/>
      </w:pPr>
      <w:r>
        <w:rPr>
          <w:b/>
          <w:bCs/>
        </w:rPr>
        <w:t xml:space="preserve">Chapter 16 — Student Lifecycle Management</w:t>
      </w:r>
    </w:p>
    <w:p>
      <w:pPr>
        <w:pStyle w:val="Heading2"/>
        <w:spacing w:after="100" w:before="220"/>
      </w:pPr>
      <w:r>
        <w:rPr>
          <w:b/>
          <w:bCs/>
        </w:rPr>
        <w:t xml:space="preserve">16.1 Central Record</w:t>
      </w:r>
    </w:p>
    <w:p>
      <w:pPr>
        <w:spacing w:after="120"/>
      </w:pPr>
      <w:r>
        <w:rPr>
          <w:b w:val="false"/>
          <w:bCs w:val="false"/>
          <w:i w:val="false"/>
          <w:iCs w:val="false"/>
        </w:rPr>
        <w:t xml:space="preserve">One permanent student profile, scoped to its tenant, connects admissions, guardians, enrolments, attendance, academics, finance, health, discipline, documents, promotion and JHS completion.</w:t>
      </w:r>
    </w:p>
    <w:p>
      <w:pPr>
        <w:pStyle w:val="Heading2"/>
        <w:spacing w:after="100" w:before="220"/>
      </w:pPr>
      <w:r>
        <w:rPr>
          <w:b/>
          <w:bCs/>
        </w:rPr>
        <w:t xml:space="preserve">16.2 Requirements</w:t>
      </w:r>
    </w:p>
    <w:p>
      <w:pPr>
        <w:pStyle w:val="ListParagraph"/>
        <w:numPr>
          <w:ilvl w:val="0"/>
          <w:numId w:val="1"/>
        </w:numPr>
        <w:spacing w:after="60"/>
      </w:pPr>
      <w:r>
        <w:t xml:space="preserve">FR-STU-010: Maintain a permanent identifier separate from admission number and from yearly enrolment.</w:t>
      </w:r>
    </w:p>
    <w:p>
      <w:pPr>
        <w:pStyle w:val="ListParagraph"/>
        <w:numPr>
          <w:ilvl w:val="0"/>
          <w:numId w:val="1"/>
        </w:numPr>
        <w:spacing w:after="60"/>
      </w:pPr>
      <w:r>
        <w:t xml:space="preserve">FR-STU-020: Support multiple guardians per student and multiple students per guardian, with relationship-level flags for primary contact, emergency, pickup, finance and report access.</w:t>
      </w:r>
    </w:p>
    <w:p>
      <w:pPr>
        <w:pStyle w:val="ListParagraph"/>
        <w:numPr>
          <w:ilvl w:val="0"/>
          <w:numId w:val="1"/>
        </w:numPr>
        <w:spacing w:after="60"/>
      </w:pPr>
      <w:r>
        <w:t xml:space="preserve">FR-STU-030: Support class, campus, inbound and outbound transfers with effective dates, reasons, documents and approval, preserving full history. Inter-tenant transfer (a student leaving one PBSMS-hosted school for another) MUST be modelled as export-then-new-admission, never as a direct cross-tenant record move.</w:t>
      </w:r>
    </w:p>
    <w:p>
      <w:pPr>
        <w:pStyle w:val="ListParagraph"/>
        <w:numPr>
          <w:ilvl w:val="0"/>
          <w:numId w:val="1"/>
        </w:numPr>
        <w:spacing w:after="60"/>
      </w:pPr>
      <w:r>
        <w:t xml:space="preserve">FR-STU-040: Restrict health information beyond general student data; support discipline investigation, response, guardian contact, follow-up, appeal and positive-behaviour recording.</w:t>
      </w:r>
    </w:p>
    <w:p>
      <w:pPr>
        <w:pStyle w:val="ListParagraph"/>
        <w:numPr>
          <w:ilvl w:val="0"/>
          <w:numId w:val="1"/>
        </w:numPr>
        <w:spacing w:after="60"/>
      </w:pPr>
      <w:r>
        <w:t xml:space="preserve">FR-STU-050: Record every significant student event chronologically with timestamp, actor, module, description and related evidence (student timeline).</w:t>
      </w:r>
    </w:p>
    <w:p>
      <w:pPr>
        <w:pStyle w:val="ListParagraph"/>
        <w:numPr>
          <w:ilvl w:val="0"/>
          <w:numId w:val="1"/>
        </w:numPr>
        <w:spacing w:after="60"/>
      </w:pPr>
      <w:r>
        <w:t xml:space="preserve">FR-STU-060: Guardians see only linked learners, and only published or explicitly authorized academic, attendance, financial and communication records, enforced identically whether accessed via web or the parent mobile experience (Chapter 34).</w:t>
      </w:r>
    </w:p>
    <w:p>
      <w:pPr>
        <w:pStyle w:val="Heading1"/>
        <w:pageBreakBefore/>
        <w:spacing w:after="200" w:before="240"/>
      </w:pPr>
      <w:r>
        <w:rPr>
          <w:b/>
          <w:bCs/>
        </w:rPr>
        <w:t xml:space="preserve">Chapter 17 — Academic Management</w:t>
      </w:r>
    </w:p>
    <w:p>
      <w:pPr>
        <w:pStyle w:val="Heading2"/>
        <w:spacing w:after="100" w:before="220"/>
      </w:pPr>
      <w:r>
        <w:rPr>
          <w:b/>
          <w:bCs/>
        </w:rPr>
        <w:t xml:space="preserve">17.1 Academic Hierarchy</w:t>
      </w:r>
    </w:p>
    <w:p>
      <w:pPr>
        <w:spacing w:after="120"/>
      </w:pPr>
      <w:r>
        <w:rPr>
          <w:b w:val="false"/>
          <w:bCs w:val="false"/>
          <w:i w:val="false"/>
          <w:iCs w:val="false"/>
        </w:rPr>
        <w:t xml:space="preserve">Tenant → School → Campus → Academic Year → Term → Division → Class Level → Class/Section → Class Subjects → Teacher Assignments.</w:t>
      </w:r>
    </w:p>
    <w:p>
      <w:pPr>
        <w:pStyle w:val="Heading2"/>
        <w:spacing w:after="100" w:before="220"/>
      </w:pPr>
      <w:r>
        <w:rPr>
          <w:b/>
          <w:bCs/>
        </w:rPr>
        <w:t xml:space="preserve">17.2 Requirements</w:t>
      </w:r>
    </w:p>
    <w:p>
      <w:pPr>
        <w:pStyle w:val="ListParagraph"/>
        <w:numPr>
          <w:ilvl w:val="0"/>
          <w:numId w:val="1"/>
        </w:numPr>
        <w:spacing w:after="60"/>
      </w:pPr>
      <w:r>
        <w:t xml:space="preserve">FR-ACA-010: Default progression Nursery 1 → Nursery 2 → KG 1 → KG 2 → Basic 1–6 → JHS 1–3 → Completed Basic Education, configurable per tenant.</w:t>
      </w:r>
    </w:p>
    <w:p>
      <w:pPr>
        <w:pStyle w:val="ListParagraph"/>
        <w:numPr>
          <w:ilvl w:val="0"/>
          <w:numId w:val="1"/>
        </w:numPr>
        <w:spacing w:after="60"/>
      </w:pPr>
      <w:r>
        <w:t xml:space="preserve">FR-ACA-020: Academic years and terms use Planned, Active/Open, Closed and Archived states; score-entry, review, approval and publication windows are separately configurable per term.</w:t>
      </w:r>
    </w:p>
    <w:p>
      <w:pPr>
        <w:pStyle w:val="ListParagraph"/>
        <w:numPr>
          <w:ilvl w:val="0"/>
          <w:numId w:val="1"/>
        </w:numPr>
        <w:spacing w:after="60"/>
      </w:pPr>
      <w:r>
        <w:t xml:space="preserve">FR-ACA-030: Subjects vary by division and class level; Nursery/KG may use developmental learning areas, Primary/JHS use configurable subject structures, with an optional NaCCA strand/sub-strand mapping (Chapter 41).</w:t>
      </w:r>
    </w:p>
    <w:p>
      <w:pPr>
        <w:pStyle w:val="ListParagraph"/>
        <w:numPr>
          <w:ilvl w:val="0"/>
          <w:numId w:val="1"/>
        </w:numPr>
        <w:spacing w:after="60"/>
      </w:pPr>
      <w:r>
        <w:t xml:space="preserve">FR-ACA-040: Detect teacher, class and room conflicts before a timetable can be published; provide class, teacher and room views.</w:t>
      </w:r>
    </w:p>
    <w:p>
      <w:pPr>
        <w:pStyle w:val="ListParagraph"/>
        <w:numPr>
          <w:ilvl w:val="0"/>
          <w:numId w:val="1"/>
        </w:numPr>
        <w:spacing w:after="60"/>
      </w:pPr>
      <w:r>
        <w:t xml:space="preserve">FR-ACA-050: Provide teacher-workload, unassigned-subject, timetable-compliance, academic-progress, curriculum-coverage and promotion-readiness reports.</w:t>
      </w:r>
    </w:p>
    <w:p>
      <w:pPr>
        <w:pStyle w:val="Heading1"/>
        <w:pageBreakBefore/>
        <w:spacing w:after="200" w:before="240"/>
      </w:pPr>
      <w:r>
        <w:rPr>
          <w:b/>
          <w:bCs/>
        </w:rPr>
        <w:t xml:space="preserve">Chapter 18 — Attendance Management</w:t>
      </w:r>
    </w:p>
    <w:p>
      <w:pPr>
        <w:pStyle w:val="Heading2"/>
        <w:spacing w:after="100" w:before="220"/>
      </w:pPr>
      <w:r>
        <w:rPr>
          <w:b/>
          <w:bCs/>
        </w:rPr>
        <w:t xml:space="preserve">18.1 Scope</w:t>
      </w:r>
    </w:p>
    <w:p>
      <w:pPr>
        <w:spacing w:after="120"/>
      </w:pPr>
      <w:r>
        <w:rPr>
          <w:b w:val="false"/>
          <w:bCs w:val="false"/>
          <w:i w:val="false"/>
          <w:iCs w:val="false"/>
        </w:rPr>
        <w:t xml:space="preserve">Attendance covers students, teachers and non-teaching staff, feeding communication, promotion and performance monitoring.</w:t>
      </w:r>
    </w:p>
    <w:p>
      <w:pPr>
        <w:pStyle w:val="Heading2"/>
        <w:spacing w:after="100" w:before="220"/>
      </w:pPr>
      <w:r>
        <w:rPr>
          <w:b/>
          <w:bCs/>
        </w:rPr>
        <w:t xml:space="preserve">18.2 Offline-First Requirement (new — closes a Version 1.0 gap)</w:t>
      </w:r>
    </w:p>
    <w:p>
      <w:pPr>
        <w:spacing w:after="120"/>
      </w:pPr>
      <w:r>
        <w:rPr>
          <w:b w:val="false"/>
          <w:bCs w:val="false"/>
          <w:i w:val="false"/>
          <w:iCs w:val="false"/>
        </w:rPr>
        <w:t xml:space="preserve">FR-ATT-010: Attendance capture on a teacher's device MUST function without an active internet connection, queueing entries locally and synchronizing automatically once connectivity returns, per the offline/sync protocol defined in Chapter 34. This is treated as a release-blocking requirement, not an enhancement, because intermittent connectivity is the normal operating condition for many basic schools in this market, and a register a teacher cannot mark is a register that does not get marked.</w:t>
      </w:r>
    </w:p>
    <w:p>
      <w:pPr>
        <w:spacing w:after="120"/>
      </w:pPr>
      <w:r>
        <w:rPr>
          <w:b w:val="false"/>
          <w:bCs w:val="false"/>
          <w:i w:val="false"/>
          <w:iCs w:val="false"/>
        </w:rPr>
        <w:t xml:space="preserve">FR-ATT-011: Conflicting attendance entries created offline by the same user across devices are resolved last-write-wins by device timestamp; entries created by different users for the same student/date/session are surfaced for manual reconciliation rather than silently overwritten.</w:t>
      </w:r>
    </w:p>
    <w:p>
      <w:pPr>
        <w:pStyle w:val="Heading2"/>
        <w:spacing w:after="100" w:before="220"/>
      </w:pPr>
      <w:r>
        <w:rPr>
          <w:b/>
          <w:bCs/>
        </w:rPr>
        <w:t xml:space="preserve">18.3 Other Requirements</w:t>
      </w:r>
    </w:p>
    <w:p>
      <w:pPr>
        <w:pStyle w:val="ListParagraph"/>
        <w:numPr>
          <w:ilvl w:val="0"/>
          <w:numId w:val="1"/>
        </w:numPr>
        <w:spacing w:after="60"/>
      </w:pPr>
      <w:r>
        <w:t xml:space="preserve">FR-ATT-020: Statuses: Present, Absent, Late, Excused, Sick, Suspended, Official Activity.</w:t>
      </w:r>
    </w:p>
    <w:p>
      <w:pPr>
        <w:pStyle w:val="ListParagraph"/>
        <w:numPr>
          <w:ilvl w:val="0"/>
          <w:numId w:val="1"/>
        </w:numPr>
        <w:spacing w:after="60"/>
      </w:pPr>
      <w:r>
        <w:t xml:space="preserve">FR-ATT-030: Corrections after the submission window require permission and a reason, retaining both original and corrected values.</w:t>
      </w:r>
    </w:p>
    <w:p>
      <w:pPr>
        <w:pStyle w:val="ListParagraph"/>
        <w:numPr>
          <w:ilvl w:val="0"/>
          <w:numId w:val="1"/>
        </w:numPr>
        <w:spacing w:after="60"/>
      </w:pPr>
      <w:r>
        <w:t xml:space="preserve">FR-ATT-040: Repeated absence, low attendance and missing teacher submissions generate notifications, KPI updates and escalation when unresolved.</w:t>
      </w:r>
    </w:p>
    <w:p>
      <w:pPr>
        <w:pStyle w:val="ListParagraph"/>
        <w:numPr>
          <w:ilvl w:val="0"/>
          <w:numId w:val="1"/>
        </w:numPr>
        <w:spacing w:after="60"/>
      </w:pPr>
      <w:r>
        <w:t xml:space="preserve">FR-ATT-050: Provide daily registers, weekly trends, monthly summaries, term promotion-eligibility and yearly institutional attendance analysis.</w:t>
      </w:r>
    </w:p>
    <w:p>
      <w:pPr>
        <w:pStyle w:val="Heading1"/>
        <w:pageBreakBefore/>
        <w:spacing w:after="200" w:before="240"/>
      </w:pPr>
      <w:r>
        <w:rPr>
          <w:b/>
          <w:bCs/>
        </w:rPr>
        <w:t xml:space="preserve">Chapter 19 — Assessment Management</w:t>
      </w:r>
    </w:p>
    <w:p>
      <w:pPr>
        <w:pStyle w:val="Heading2"/>
        <w:spacing w:after="100" w:before="220"/>
      </w:pPr>
      <w:r>
        <w:rPr>
          <w:b/>
          <w:bCs/>
        </w:rPr>
        <w:t xml:space="preserve">19.1 Requirements</w:t>
      </w:r>
    </w:p>
    <w:p>
      <w:pPr>
        <w:pStyle w:val="ListParagraph"/>
        <w:numPr>
          <w:ilvl w:val="0"/>
          <w:numId w:val="1"/>
        </w:numPr>
        <w:spacing w:after="60"/>
      </w:pPr>
      <w:r>
        <w:t xml:space="preserve">FR-ASM-010: Support configurable assessment types (class exercise, homework, project, mid-term, end-of-term exam) with weighting that sums to a valid total before publication is permitted.</w:t>
      </w:r>
    </w:p>
    <w:p>
      <w:pPr>
        <w:pStyle w:val="ListParagraph"/>
        <w:numPr>
          <w:ilvl w:val="0"/>
          <w:numId w:val="1"/>
        </w:numPr>
        <w:spacing w:after="60"/>
      </w:pPr>
      <w:r>
        <w:t xml:space="preserve">FR-ASM-020: Restrict score entry to teachers with an active assignment for that class subject in the current term.</w:t>
      </w:r>
    </w:p>
    <w:p>
      <w:pPr>
        <w:pStyle w:val="ListParagraph"/>
        <w:numPr>
          <w:ilvl w:val="0"/>
          <w:numId w:val="1"/>
        </w:numPr>
        <w:spacing w:after="60"/>
      </w:pPr>
      <w:r>
        <w:t xml:space="preserve">FR-ASM-030: Enforce configured score bounds; require a status or reason for missing scores.</w:t>
      </w:r>
    </w:p>
    <w:p>
      <w:pPr>
        <w:pStyle w:val="ListParagraph"/>
        <w:numPr>
          <w:ilvl w:val="0"/>
          <w:numId w:val="1"/>
        </w:numPr>
        <w:spacing w:after="60"/>
      </w:pPr>
      <w:r>
        <w:t xml:space="preserve">FR-ASM-040: Lock submitted and published assessment data until a controlled, audited reopening.</w:t>
      </w:r>
    </w:p>
    <w:p>
      <w:pPr>
        <w:pStyle w:val="ListParagraph"/>
        <w:numPr>
          <w:ilvl w:val="0"/>
          <w:numId w:val="1"/>
        </w:numPr>
        <w:spacing w:after="60"/>
      </w:pPr>
      <w:r>
        <w:t xml:space="preserve">FR-ASM-050: Support an optional NaCCA competency/sub-strand tagging on assessment items for schools that opt into curriculum-aligned reporting (Chapter 41).</w:t>
      </w:r>
    </w:p>
    <w:p>
      <w:pPr>
        <w:pStyle w:val="Heading1"/>
        <w:pageBreakBefore/>
        <w:spacing w:after="200" w:before="240"/>
      </w:pPr>
      <w:r>
        <w:rPr>
          <w:b/>
          <w:bCs/>
        </w:rPr>
        <w:t xml:space="preserve">Chapter 20 — Enterprise Grading Engine</w:t>
      </w:r>
    </w:p>
    <w:p>
      <w:pPr>
        <w:pStyle w:val="Heading2"/>
        <w:spacing w:after="100" w:before="220"/>
      </w:pPr>
      <w:r>
        <w:rPr>
          <w:b/>
          <w:bCs/>
        </w:rPr>
        <w:t xml:space="preserve">20.1 Requirements</w:t>
      </w:r>
    </w:p>
    <w:p>
      <w:pPr>
        <w:pStyle w:val="ListParagraph"/>
        <w:numPr>
          <w:ilvl w:val="0"/>
          <w:numId w:val="1"/>
        </w:numPr>
        <w:spacing w:after="60"/>
      </w:pPr>
      <w:r>
        <w:t xml:space="preserve">FR-GRA-010: Interpret approved assessment data using a versioned grading policy; the engine never collects scores directly.</w:t>
      </w:r>
    </w:p>
    <w:p>
      <w:pPr>
        <w:pStyle w:val="ListParagraph"/>
        <w:numPr>
          <w:ilvl w:val="0"/>
          <w:numId w:val="1"/>
        </w:numPr>
        <w:spacing w:after="60"/>
      </w:pPr>
      <w:r>
        <w:t xml:space="preserve">FR-GRA-020: Support developmental grading for Nursery/KG, numerical grading for Primary/JHS, and a competency-based model aligned to NaCCA for schools that opt in, without altering historical outcomes graded under a prior model.</w:t>
      </w:r>
    </w:p>
    <w:p>
      <w:pPr>
        <w:pStyle w:val="ListParagraph"/>
        <w:numPr>
          <w:ilvl w:val="0"/>
          <w:numId w:val="1"/>
        </w:numPr>
        <w:spacing w:after="60"/>
      </w:pPr>
      <w:r>
        <w:t xml:space="preserve">FR-GRA-030: Each scale item has minimum, maximum, grade, optional point, remark and pass/fail status; ranges MUST NOT overlap or leave unintended gaps.</w:t>
      </w:r>
    </w:p>
    <w:p>
      <w:pPr>
        <w:pStyle w:val="ListParagraph"/>
        <w:numPr>
          <w:ilvl w:val="0"/>
          <w:numId w:val="1"/>
        </w:numPr>
        <w:spacing w:after="60"/>
      </w:pPr>
      <w:r>
        <w:t xml:space="preserve">FR-GRA-040: Processing pipeline: approved scores → totals → percentage → policy lookup → grade → remark → aggregate calculations → result candidate.</w:t>
      </w:r>
    </w:p>
    <w:p>
      <w:pPr>
        <w:pStyle w:val="ListParagraph"/>
        <w:numPr>
          <w:ilvl w:val="0"/>
          <w:numId w:val="1"/>
        </w:numPr>
        <w:spacing w:after="60"/>
      </w:pPr>
      <w:r>
        <w:t xml:space="preserve">FR-GRA-050: Ranking is disabled by default where developmentally unsuitable (Nursery/KG) and configurable for Primary/JHS, with competition, dense and none modes and explicit tie rules.</w:t>
      </w:r>
    </w:p>
    <w:p>
      <w:pPr>
        <w:pStyle w:val="ListParagraph"/>
        <w:numPr>
          <w:ilvl w:val="0"/>
          <w:numId w:val="1"/>
        </w:numPr>
        <w:spacing w:after="60"/>
      </w:pPr>
      <w:r>
        <w:t xml:space="preserve">FR-GRA-060: Undefined scales, incomplete components and invalid weights stop processing and create actionable errors rather than silent defaults.</w:t>
      </w:r>
    </w:p>
    <w:p>
      <w:pPr>
        <w:pStyle w:val="ListParagraph"/>
        <w:numPr>
          <w:ilvl w:val="0"/>
          <w:numId w:val="1"/>
        </w:numPr>
        <w:spacing w:after="60"/>
      </w:pPr>
      <w:r>
        <w:t xml:space="preserve">FR-GRA-070: Every published outcome retains the exact grading-policy version used, permanently.</w:t>
      </w:r>
    </w:p>
    <w:p>
      <w:pPr>
        <w:pStyle w:val="Heading1"/>
        <w:pageBreakBefore/>
        <w:spacing w:after="200" w:before="240"/>
      </w:pPr>
      <w:r>
        <w:rPr>
          <w:b/>
          <w:bCs/>
        </w:rPr>
        <w:t xml:space="preserve">Chapter 21 — Results Management Engine</w:t>
      </w:r>
    </w:p>
    <w:p>
      <w:pPr>
        <w:pStyle w:val="Heading2"/>
        <w:spacing w:after="100" w:before="220"/>
      </w:pPr>
      <w:r>
        <w:rPr>
          <w:b/>
          <w:bCs/>
        </w:rPr>
        <w:t xml:space="preserve">21.1 Workflow</w:t>
      </w:r>
    </w:p>
    <w:p>
      <w:pPr>
        <w:spacing w:after="120"/>
      </w:pPr>
      <w:r>
        <w:rPr>
          <w:b w:val="false"/>
          <w:bCs w:val="false"/>
          <w:i w:val="false"/>
          <w:iCs w:val="false"/>
        </w:rPr>
        <w:t xml:space="preserve">Subject Teacher → Class Teacher → optional Academic Coordinator/Examination Officer → Headmaster → authorized publication.</w:t>
      </w:r>
    </w:p>
    <w:p>
      <w:pPr>
        <w:pStyle w:val="Heading2"/>
        <w:spacing w:after="100" w:before="220"/>
      </w:pPr>
      <w:r>
        <w:rPr>
          <w:b/>
          <w:bCs/>
        </w:rPr>
        <w:t xml:space="preserve">21.2 Requirements</w:t>
      </w:r>
    </w:p>
    <w:p>
      <w:pPr>
        <w:pStyle w:val="ListParagraph"/>
        <w:numPr>
          <w:ilvl w:val="0"/>
          <w:numId w:val="1"/>
        </w:numPr>
        <w:spacing w:after="60"/>
      </w:pPr>
      <w:r>
        <w:t xml:space="preserve">FR-RES-010: States: Draft, Submitted, Returned, Corrected, Reviewed, Approved, Published, Locked, Archived.</w:t>
      </w:r>
    </w:p>
    <w:p>
      <w:pPr>
        <w:pStyle w:val="ListParagraph"/>
        <w:numPr>
          <w:ilvl w:val="0"/>
          <w:numId w:val="1"/>
        </w:numPr>
        <w:spacing w:after="60"/>
      </w:pPr>
      <w:r>
        <w:t xml:space="preserve">FR-RES-020: Publication requires all configured approvals complete, required subjects resolved or formally exempted, term/publication windows valid, an applicable report template available, and no unresolved validation errors.</w:t>
      </w:r>
    </w:p>
    <w:p>
      <w:pPr>
        <w:pStyle w:val="ListParagraph"/>
        <w:numPr>
          <w:ilvl w:val="0"/>
          <w:numId w:val="1"/>
        </w:numPr>
        <w:spacing w:after="60"/>
      </w:pPr>
      <w:r>
        <w:t xml:space="preserve">FR-RES-030: Published results are never overwritten; reopening requires reason and authority; recalculation creates a new version while preserving the previous publication.</w:t>
      </w:r>
    </w:p>
    <w:p>
      <w:pPr>
        <w:pStyle w:val="ListParagraph"/>
        <w:numPr>
          <w:ilvl w:val="0"/>
          <w:numId w:val="1"/>
        </w:numPr>
        <w:spacing w:after="60"/>
      </w:pPr>
      <w:r>
        <w:t xml:space="preserve">FR-RES-040: Teachers see assigned records, managers see their authorized scope, guardians see linked learners, students see only their own published results.</w:t>
      </w:r>
    </w:p>
    <w:p>
      <w:pPr>
        <w:pStyle w:val="ListParagraph"/>
        <w:numPr>
          <w:ilvl w:val="0"/>
          <w:numId w:val="1"/>
        </w:numPr>
        <w:spacing w:after="60"/>
      </w:pPr>
      <w:r>
        <w:t xml:space="preserve">FR-RES-050: Provide student-trend, class-average/pass-rate, subject-performance, division-comparison and promotion-readiness analytics, with an optional BECE-format mock-exam analytics view for JHS (Chapter 41).</w:t>
      </w:r>
    </w:p>
    <w:p>
      <w:pPr>
        <w:pStyle w:val="Heading1"/>
        <w:pageBreakBefore/>
        <w:spacing w:after="200" w:before="240"/>
      </w:pPr>
      <w:r>
        <w:rPr>
          <w:b/>
          <w:bCs/>
        </w:rPr>
        <w:t xml:space="preserve">Chapter 22 — Document Engine &amp; Promotion / Completion</w:t>
      </w:r>
    </w:p>
    <w:p>
      <w:pPr>
        <w:pStyle w:val="Heading2"/>
        <w:spacing w:after="100" w:before="220"/>
      </w:pPr>
      <w:r>
        <w:rPr>
          <w:b/>
          <w:bCs/>
        </w:rPr>
        <w:t xml:space="preserve">22.1 Document Engine</w:t>
      </w:r>
    </w:p>
    <w:p>
      <w:pPr>
        <w:pStyle w:val="ListParagraph"/>
        <w:numPr>
          <w:ilvl w:val="0"/>
          <w:numId w:val="1"/>
        </w:numPr>
        <w:spacing w:after="60"/>
      </w:pPr>
      <w:r>
        <w:t xml:space="preserve">FR-DOC-010: Generate report cards, transcripts, admission letters and completion certificates from approved, versioned data — never from live/unapproved records.</w:t>
      </w:r>
    </w:p>
    <w:p>
      <w:pPr>
        <w:pStyle w:val="ListParagraph"/>
        <w:numPr>
          <w:ilvl w:val="0"/>
          <w:numId w:val="1"/>
        </w:numPr>
        <w:spacing w:after="60"/>
      </w:pPr>
      <w:r>
        <w:t xml:space="preserve">FR-DOC-020: Every generated official document carries a unique, tenant-scoped reference and a digitally verifiable signature or QR code allowing a third party (e.g., a receiving SHS) to confirm authenticity without contacting the school directly.</w:t>
      </w:r>
    </w:p>
    <w:p>
      <w:pPr>
        <w:pStyle w:val="ListParagraph"/>
        <w:numPr>
          <w:ilvl w:val="0"/>
          <w:numId w:val="1"/>
        </w:numPr>
        <w:spacing w:after="60"/>
      </w:pPr>
      <w:r>
        <w:t xml:space="preserve">FR-DOC-030: Documents are branded per tenant (Chapter 6, Volume 0) using that tenant's configured letterhead, logo and signatory.</w:t>
      </w:r>
    </w:p>
    <w:p>
      <w:pPr>
        <w:pStyle w:val="Heading2"/>
        <w:spacing w:after="100" w:before="220"/>
      </w:pPr>
      <w:r>
        <w:rPr>
          <w:b/>
          <w:bCs/>
        </w:rPr>
        <w:t xml:space="preserve">22.2 Promotion &amp; JHS Completion</w:t>
      </w:r>
    </w:p>
    <w:p>
      <w:pPr>
        <w:pStyle w:val="ListParagraph"/>
        <w:numPr>
          <w:ilvl w:val="0"/>
          <w:numId w:val="1"/>
        </w:numPr>
        <w:spacing w:after="60"/>
      </w:pPr>
      <w:r>
        <w:t xml:space="preserve">FR-PRO-010: Convert approved annual academic evidence into controlled progression decisions: promotion, repetition, conditional promotion, pending, transfer, or completion of Basic Education after JHS 3, without overwriting historical enrolments.</w:t>
      </w:r>
    </w:p>
    <w:p>
      <w:pPr>
        <w:pStyle w:val="ListParagraph"/>
        <w:numPr>
          <w:ilvl w:val="0"/>
          <w:numId w:val="1"/>
        </w:numPr>
        <w:spacing w:after="60"/>
      </w:pPr>
      <w:r>
        <w:t xml:space="preserve">FR-PRO-020: Apply configurable promotion policies by division and class level; separate system recommendations from authorized human decisions.</w:t>
      </w:r>
    </w:p>
    <w:p>
      <w:pPr>
        <w:pStyle w:val="ListParagraph"/>
        <w:numPr>
          <w:ilvl w:val="0"/>
          <w:numId w:val="1"/>
        </w:numPr>
        <w:spacing w:after="60"/>
      </w:pPr>
      <w:r>
        <w:t xml:space="preserve">FR-PRO-030: Create the next academic-year enrolment only after approval, closing the prior enrolment rather than mutating it.</w:t>
      </w:r>
    </w:p>
    <w:p>
      <w:pPr>
        <w:pageBreakBefore/>
        <w:spacing w:after="120" w:before="2000"/>
        <w:jc w:val="center"/>
      </w:pPr>
      <w:r>
        <w:rPr>
          <w:color w:val="1F3864"/>
          <w:sz w:val="28"/>
          <w:szCs w:val="28"/>
        </w:rPr>
        <w:t xml:space="preserve">—</w:t>
      </w:r>
    </w:p>
    <w:p>
      <w:pPr>
        <w:pStyle w:val="Heading1"/>
        <w:spacing w:after="120" w:before="200"/>
        <w:jc w:val="center"/>
      </w:pPr>
      <w:r>
        <w:rPr>
          <w:b/>
          <w:bCs/>
          <w:color w:val="1F3864"/>
          <w:sz w:val="36"/>
          <w:szCs w:val="36"/>
        </w:rPr>
        <w:t xml:space="preserve">VOLUME III</w:t>
      </w:r>
    </w:p>
    <w:p>
      <w:pPr>
        <w:spacing w:after="2000"/>
        <w:jc w:val="center"/>
      </w:pPr>
      <w:r>
        <w:rPr>
          <w:i/>
          <w:iCs/>
          <w:sz w:val="24"/>
          <w:szCs w:val="24"/>
        </w:rPr>
        <w:t xml:space="preserve">Finance, Communication &amp; Operations — Chapters 23–28</w:t>
      </w:r>
    </w:p>
    <w:p>
      <w:pPr>
        <w:pStyle w:val="Heading1"/>
        <w:pageBreakBefore/>
        <w:spacing w:after="200" w:before="240"/>
      </w:pPr>
      <w:r>
        <w:rPr>
          <w:b/>
          <w:bCs/>
        </w:rPr>
        <w:t xml:space="preserve">Chapter 23 — Enterprise Financial Management &amp; Fee Structures</w:t>
      </w:r>
    </w:p>
    <w:p>
      <w:pPr>
        <w:spacing w:after="120"/>
      </w:pPr>
      <w:r>
        <w:rPr>
          <w:b w:val="false"/>
          <w:bCs w:val="false"/>
          <w:i w:val="false"/>
          <w:iCs w:val="false"/>
        </w:rPr>
        <w:t xml:space="preserve">This chapter governs school-to-parent finance. Platform-to-school (subscription) finance is specified in Chapter 5 and is architecturally and data-model separate — a school's parent-facing ledger MUST NOT share tables with the tenant's own platform subscription ledger, even though both may appear in one PBSMS account for the Proprietor.</w:t>
      </w:r>
    </w:p>
    <w:p>
      <w:pPr>
        <w:pStyle w:val="Heading2"/>
        <w:spacing w:after="100" w:before="220"/>
      </w:pPr>
      <w:r>
        <w:rPr>
          <w:b/>
          <w:bCs/>
        </w:rPr>
        <w:t xml:space="preserve">23.1 Core Principles (retained from v1.0)</w:t>
      </w:r>
    </w:p>
    <w:p>
      <w:pPr>
        <w:pStyle w:val="ListParagraph"/>
        <w:numPr>
          <w:ilvl w:val="0"/>
          <w:numId w:val="1"/>
        </w:numPr>
        <w:spacing w:after="60"/>
      </w:pPr>
      <w:r>
        <w:t xml:space="preserve">Posted transactions are never silently edited or deleted.</w:t>
      </w:r>
    </w:p>
    <w:p>
      <w:pPr>
        <w:pStyle w:val="ListParagraph"/>
        <w:numPr>
          <w:ilvl w:val="0"/>
          <w:numId w:val="1"/>
        </w:numPr>
        <w:spacing w:after="60"/>
      </w:pPr>
      <w:r>
        <w:t xml:space="preserve">Every balance is derived from valid transactions.</w:t>
      </w:r>
    </w:p>
    <w:p>
      <w:pPr>
        <w:pStyle w:val="ListParagraph"/>
        <w:numPr>
          <w:ilvl w:val="0"/>
          <w:numId w:val="1"/>
        </w:numPr>
        <w:spacing w:after="60"/>
      </w:pPr>
      <w:r>
        <w:t xml:space="preserve">Receipt and invoice numbers are unique per tenant.</w:t>
      </w:r>
    </w:p>
    <w:p>
      <w:pPr>
        <w:pStyle w:val="ListParagraph"/>
        <w:numPr>
          <w:ilvl w:val="0"/>
          <w:numId w:val="1"/>
        </w:numPr>
        <w:spacing w:after="60"/>
      </w:pPr>
      <w:r>
        <w:t xml:space="preserve">Sensitive actions require reasons and, where configured, approval.</w:t>
      </w:r>
    </w:p>
    <w:p>
      <w:pPr>
        <w:pStyle w:val="ListParagraph"/>
        <w:numPr>
          <w:ilvl w:val="0"/>
          <w:numId w:val="1"/>
        </w:numPr>
        <w:spacing w:after="60"/>
      </w:pPr>
      <w:r>
        <w:t xml:space="preserve">Financial reports reconcile to source records.</w:t>
      </w:r>
    </w:p>
    <w:p>
      <w:pPr>
        <w:pStyle w:val="ListParagraph"/>
        <w:numPr>
          <w:ilvl w:val="0"/>
          <w:numId w:val="1"/>
        </w:numPr>
        <w:spacing w:after="60"/>
      </w:pPr>
      <w:r>
        <w:t xml:space="preserve">Access is restricted by tenant, school, campus and role.</w:t>
      </w:r>
    </w:p>
    <w:p>
      <w:pPr>
        <w:pStyle w:val="Heading2"/>
        <w:spacing w:after="100" w:before="220"/>
      </w:pPr>
      <w:r>
        <w:rPr>
          <w:b/>
          <w:bCs/>
        </w:rPr>
        <w:t xml:space="preserve">23.2 Fee Structures</w:t>
      </w:r>
    </w:p>
    <w:p>
      <w:pPr>
        <w:pStyle w:val="ListParagraph"/>
        <w:numPr>
          <w:ilvl w:val="0"/>
          <w:numId w:val="1"/>
        </w:numPr>
        <w:spacing w:after="60"/>
      </w:pPr>
      <w:r>
        <w:t xml:space="preserve">FR-FEE-010: Fee structures are configurable by academic year, term, campus, division, class level and student category.</w:t>
      </w:r>
    </w:p>
    <w:p>
      <w:pPr>
        <w:pStyle w:val="ListParagraph"/>
        <w:numPr>
          <w:ilvl w:val="0"/>
          <w:numId w:val="1"/>
        </w:numPr>
        <w:spacing w:after="60"/>
      </w:pPr>
      <w:r>
        <w:t xml:space="preserve">FR-FEE-020: Instalment plans define sequence, amount or percentage and due date; the sum MUST equal the total charge.</w:t>
      </w:r>
    </w:p>
    <w:p>
      <w:pPr>
        <w:pStyle w:val="ListParagraph"/>
        <w:numPr>
          <w:ilvl w:val="0"/>
          <w:numId w:val="1"/>
        </w:numPr>
        <w:spacing w:after="60"/>
      </w:pPr>
      <w:r>
        <w:t xml:space="preserve">FR-FEE-030: Support full, daily, monthly or percentage proration for late entry or transfer.</w:t>
      </w:r>
    </w:p>
    <w:p>
      <w:pPr>
        <w:pStyle w:val="ListParagraph"/>
        <w:numPr>
          <w:ilvl w:val="0"/>
          <w:numId w:val="1"/>
        </w:numPr>
        <w:spacing w:after="60"/>
      </w:pPr>
      <w:r>
        <w:t xml:space="preserve">FR-FEE-040: Penalty rules specify trigger, grace period, fixed or percentage amount, cap and frequency, tracked separately from the base charge.</w:t>
      </w:r>
    </w:p>
    <w:p>
      <w:pPr>
        <w:pStyle w:val="Heading1"/>
        <w:pageBreakBefore/>
        <w:spacing w:after="200" w:before="240"/>
      </w:pPr>
      <w:r>
        <w:rPr>
          <w:b/>
          <w:bCs/>
        </w:rPr>
        <w:t xml:space="preserve">Chapter 24 — Invoicing, Payments, Allocation &amp; Receipts</w:t>
      </w:r>
    </w:p>
    <w:p>
      <w:pPr>
        <w:pStyle w:val="Heading2"/>
        <w:spacing w:after="100" w:before="220"/>
      </w:pPr>
      <w:r>
        <w:rPr>
          <w:b/>
          <w:bCs/>
        </w:rPr>
        <w:t xml:space="preserve">24.1 Financial Record Model (retained — this was correct in v1.0)</w:t>
      </w:r>
    </w:p>
    <w:p>
      <w:pPr>
        <w:spacing w:after="120"/>
      </w:pPr>
      <w:r>
        <w:rPr>
          <w:b w:val="false"/>
          <w:bCs w:val="false"/>
          <w:i w:val="false"/>
          <w:iCs w:val="false"/>
        </w:rPr>
        <w:t xml:space="preserve">Student obligations are represented by invoices and items. Payments remain independent receipts of value and connect to obligations through allocations. Assistance and adjustments are explicit transactions, enabling a complete explanation of every balance.</w:t>
      </w:r>
    </w:p>
    <w:p>
      <w:pPr>
        <w:pStyle w:val="Heading2"/>
        <w:spacing w:after="100" w:before="220"/>
      </w:pPr>
      <w:r>
        <w:rPr>
          <w:b/>
          <w:bCs/>
        </w:rPr>
        <w:t xml:space="preserve">24.2 Named Payment Integrations (new — Version 1.0 left this generic)</w:t>
      </w:r>
    </w:p>
    <w:p>
      <w:pPr>
        <w:spacing w:after="120"/>
      </w:pPr>
      <w:r>
        <w:rPr>
          <w:b w:val="false"/>
          <w:bCs w:val="false"/>
          <w:i w:val="false"/>
          <w:iCs w:val="false"/>
        </w:rPr>
        <w:t xml:space="preserve">FR-PAY-010: The platform MUST integrate with the following payment rails at launch, each behind the common provider-adapter contract (Chapter 36):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4250"/>
      </w:tblGrid>
      <w:tr>
        <w:trPr>
          <w:tblHeader/>
        </w:trPr>
        <w:tc>
          <w:tcPr>
            <w:tcW w:type="dxa" w:w="2600"/>
            <w:shd w:fill="1F3864" w:val="clear"/>
            <w:tcMar>
              <w:top w:type="dxa" w:w="60"/>
              <w:left w:type="dxa" w:w="100"/>
              <w:bottom w:type="dxa" w:w="60"/>
              <w:right w:type="dxa" w:w="100"/>
            </w:tcMar>
            <w:vAlign w:val="center"/>
          </w:tcPr>
          <w:p>
            <w:r>
              <w:rPr>
                <w:b/>
                <w:bCs/>
                <w:color w:val="FFFFFF"/>
                <w:sz w:val="20"/>
                <w:szCs w:val="20"/>
              </w:rPr>
              <w:t xml:space="preserve">Provider</w:t>
            </w:r>
          </w:p>
        </w:tc>
        <w:tc>
          <w:tcPr>
            <w:tcW w:type="dxa" w:w="2500"/>
            <w:shd w:fill="1F3864" w:val="clear"/>
            <w:tcMar>
              <w:top w:type="dxa" w:w="60"/>
              <w:left w:type="dxa" w:w="100"/>
              <w:bottom w:type="dxa" w:w="60"/>
              <w:right w:type="dxa" w:w="100"/>
            </w:tcMar>
            <w:vAlign w:val="center"/>
          </w:tcPr>
          <w:p>
            <w:r>
              <w:rPr>
                <w:b/>
                <w:bCs/>
                <w:color w:val="FFFFFF"/>
                <w:sz w:val="20"/>
                <w:szCs w:val="20"/>
              </w:rPr>
              <w:t xml:space="preserve">Rail</w:t>
            </w:r>
          </w:p>
        </w:tc>
        <w:tc>
          <w:tcPr>
            <w:tcW w:type="dxa" w:w="4250"/>
            <w:shd w:fill="1F3864" w:val="clear"/>
            <w:tcMar>
              <w:top w:type="dxa" w:w="60"/>
              <w:left w:type="dxa" w:w="100"/>
              <w:bottom w:type="dxa" w:w="60"/>
              <w:right w:type="dxa" w:w="100"/>
            </w:tcMar>
            <w:vAlign w:val="center"/>
          </w:tcPr>
          <w:p>
            <w:r>
              <w:rPr>
                <w:b/>
                <w:bCs/>
                <w:color w:val="FFFFFF"/>
                <w:sz w:val="20"/>
                <w:szCs w:val="20"/>
              </w:rPr>
              <w:t xml:space="preserve">Notes</w:t>
            </w:r>
          </w:p>
        </w:tc>
      </w:tr>
      <w:tr>
        <w:tc>
          <w:tcPr>
            <w:tcW w:type="dxa" w:w="2600"/>
            <w:tcMar>
              <w:top w:type="dxa" w:w="60"/>
              <w:left w:type="dxa" w:w="100"/>
              <w:bottom w:type="dxa" w:w="60"/>
              <w:right w:type="dxa" w:w="100"/>
            </w:tcMar>
            <w:vAlign w:val="center"/>
          </w:tcPr>
          <w:p>
            <w:r>
              <w:rPr>
                <w:b w:val="false"/>
                <w:bCs w:val="false"/>
                <w:sz w:val="20"/>
                <w:szCs w:val="20"/>
              </w:rPr>
              <w:t xml:space="preserve">Paystack Ghana</w:t>
            </w:r>
          </w:p>
        </w:tc>
        <w:tc>
          <w:tcPr>
            <w:tcW w:type="dxa" w:w="2500"/>
            <w:tcMar>
              <w:top w:type="dxa" w:w="60"/>
              <w:left w:type="dxa" w:w="100"/>
              <w:bottom w:type="dxa" w:w="60"/>
              <w:right w:type="dxa" w:w="100"/>
            </w:tcMar>
            <w:vAlign w:val="center"/>
          </w:tcPr>
          <w:p>
            <w:r>
              <w:rPr>
                <w:b w:val="false"/>
                <w:bCs w:val="false"/>
                <w:sz w:val="20"/>
                <w:szCs w:val="20"/>
              </w:rPr>
              <w:t xml:space="preserve">Card, bank, mobile money aggregation</w:t>
            </w:r>
          </w:p>
        </w:tc>
        <w:tc>
          <w:tcPr>
            <w:tcW w:type="dxa" w:w="4250"/>
            <w:tcMar>
              <w:top w:type="dxa" w:w="60"/>
              <w:left w:type="dxa" w:w="100"/>
              <w:bottom w:type="dxa" w:w="60"/>
              <w:right w:type="dxa" w:w="100"/>
            </w:tcMar>
            <w:vAlign w:val="center"/>
          </w:tcPr>
          <w:p>
            <w:r>
              <w:rPr>
                <w:b w:val="false"/>
                <w:bCs w:val="false"/>
                <w:sz w:val="20"/>
                <w:szCs w:val="20"/>
              </w:rPr>
              <w:t xml:space="preserve">Primary recommended aggregator for breadth of coverage</w:t>
            </w:r>
          </w:p>
        </w:tc>
      </w:tr>
      <w:tr>
        <w:tc>
          <w:tcPr>
            <w:tcW w:type="dxa" w:w="2600"/>
            <w:shd w:fill="DCE6F1" w:val="clear"/>
            <w:tcMar>
              <w:top w:type="dxa" w:w="60"/>
              <w:left w:type="dxa" w:w="100"/>
              <w:bottom w:type="dxa" w:w="60"/>
              <w:right w:type="dxa" w:w="100"/>
            </w:tcMar>
            <w:vAlign w:val="center"/>
          </w:tcPr>
          <w:p>
            <w:r>
              <w:rPr>
                <w:b w:val="false"/>
                <w:bCs w:val="false"/>
                <w:sz w:val="20"/>
                <w:szCs w:val="20"/>
              </w:rPr>
              <w:t xml:space="preserve">Hubtel</w:t>
            </w:r>
          </w:p>
        </w:tc>
        <w:tc>
          <w:tcPr>
            <w:tcW w:type="dxa" w:w="2500"/>
            <w:shd w:fill="DCE6F1" w:val="clear"/>
            <w:tcMar>
              <w:top w:type="dxa" w:w="60"/>
              <w:left w:type="dxa" w:w="100"/>
              <w:bottom w:type="dxa" w:w="60"/>
              <w:right w:type="dxa" w:w="100"/>
            </w:tcMar>
            <w:vAlign w:val="center"/>
          </w:tcPr>
          <w:p>
            <w:r>
              <w:rPr>
                <w:b w:val="false"/>
                <w:bCs w:val="false"/>
                <w:sz w:val="20"/>
                <w:szCs w:val="20"/>
              </w:rPr>
              <w:t xml:space="preserve">Mobile money aggregation, USSD</w:t>
            </w:r>
          </w:p>
        </w:tc>
        <w:tc>
          <w:tcPr>
            <w:tcW w:type="dxa" w:w="4250"/>
            <w:shd w:fill="DCE6F1" w:val="clear"/>
            <w:tcMar>
              <w:top w:type="dxa" w:w="60"/>
              <w:left w:type="dxa" w:w="100"/>
              <w:bottom w:type="dxa" w:w="60"/>
              <w:right w:type="dxa" w:w="100"/>
            </w:tcMar>
            <w:vAlign w:val="center"/>
          </w:tcPr>
          <w:p>
            <w:r>
              <w:rPr>
                <w:b w:val="false"/>
                <w:bCs w:val="false"/>
                <w:sz w:val="20"/>
                <w:szCs w:val="20"/>
              </w:rPr>
              <w:t xml:space="preserve">Strong Ghana mobile money reach</w:t>
            </w:r>
          </w:p>
        </w:tc>
      </w:tr>
      <w:tr>
        <w:tc>
          <w:tcPr>
            <w:tcW w:type="dxa" w:w="2600"/>
            <w:tcMar>
              <w:top w:type="dxa" w:w="60"/>
              <w:left w:type="dxa" w:w="100"/>
              <w:bottom w:type="dxa" w:w="60"/>
              <w:right w:type="dxa" w:w="100"/>
            </w:tcMar>
            <w:vAlign w:val="center"/>
          </w:tcPr>
          <w:p>
            <w:r>
              <w:rPr>
                <w:b w:val="false"/>
                <w:bCs w:val="false"/>
                <w:sz w:val="20"/>
                <w:szCs w:val="20"/>
              </w:rPr>
              <w:t xml:space="preserve">MTN Mobile Money (direct)</w:t>
            </w:r>
          </w:p>
        </w:tc>
        <w:tc>
          <w:tcPr>
            <w:tcW w:type="dxa" w:w="2500"/>
            <w:tcMar>
              <w:top w:type="dxa" w:w="60"/>
              <w:left w:type="dxa" w:w="100"/>
              <w:bottom w:type="dxa" w:w="60"/>
              <w:right w:type="dxa" w:w="100"/>
            </w:tcMar>
            <w:vAlign w:val="center"/>
          </w:tcPr>
          <w:p>
            <w:r>
              <w:rPr>
                <w:b w:val="false"/>
                <w:bCs w:val="false"/>
                <w:sz w:val="20"/>
                <w:szCs w:val="20"/>
              </w:rPr>
              <w:t xml:space="preserve">Mobile money</w:t>
            </w:r>
          </w:p>
        </w:tc>
        <w:tc>
          <w:tcPr>
            <w:tcW w:type="dxa" w:w="4250"/>
            <w:tcMar>
              <w:top w:type="dxa" w:w="60"/>
              <w:left w:type="dxa" w:w="100"/>
              <w:bottom w:type="dxa" w:w="60"/>
              <w:right w:type="dxa" w:w="100"/>
            </w:tcMar>
            <w:vAlign w:val="center"/>
          </w:tcPr>
          <w:p>
            <w:r>
              <w:rPr>
                <w:b w:val="false"/>
                <w:bCs w:val="false"/>
                <w:sz w:val="20"/>
                <w:szCs w:val="20"/>
              </w:rPr>
              <w:t xml:space="preserve">Largest single mobile money network in Ghana</w:t>
            </w:r>
          </w:p>
        </w:tc>
      </w:tr>
      <w:tr>
        <w:tc>
          <w:tcPr>
            <w:tcW w:type="dxa" w:w="2600"/>
            <w:shd w:fill="DCE6F1" w:val="clear"/>
            <w:tcMar>
              <w:top w:type="dxa" w:w="60"/>
              <w:left w:type="dxa" w:w="100"/>
              <w:bottom w:type="dxa" w:w="60"/>
              <w:right w:type="dxa" w:w="100"/>
            </w:tcMar>
            <w:vAlign w:val="center"/>
          </w:tcPr>
          <w:p>
            <w:r>
              <w:rPr>
                <w:b w:val="false"/>
                <w:bCs w:val="false"/>
                <w:sz w:val="20"/>
                <w:szCs w:val="20"/>
              </w:rPr>
              <w:t xml:space="preserve">Telecel Cash (formerly Vodafone Cash)</w:t>
            </w:r>
          </w:p>
        </w:tc>
        <w:tc>
          <w:tcPr>
            <w:tcW w:type="dxa" w:w="2500"/>
            <w:shd w:fill="DCE6F1" w:val="clear"/>
            <w:tcMar>
              <w:top w:type="dxa" w:w="60"/>
              <w:left w:type="dxa" w:w="100"/>
              <w:bottom w:type="dxa" w:w="60"/>
              <w:right w:type="dxa" w:w="100"/>
            </w:tcMar>
            <w:vAlign w:val="center"/>
          </w:tcPr>
          <w:p>
            <w:r>
              <w:rPr>
                <w:b w:val="false"/>
                <w:bCs w:val="false"/>
                <w:sz w:val="20"/>
                <w:szCs w:val="20"/>
              </w:rPr>
              <w:t xml:space="preserve">Mobile money</w:t>
            </w:r>
          </w:p>
        </w:tc>
        <w:tc>
          <w:tcPr>
            <w:tcW w:type="dxa" w:w="4250"/>
            <w:shd w:fill="DCE6F1" w:val="clear"/>
            <w:tcMar>
              <w:top w:type="dxa" w:w="60"/>
              <w:left w:type="dxa" w:w="100"/>
              <w:bottom w:type="dxa" w:w="60"/>
              <w:right w:type="dxa" w:w="100"/>
            </w:tcMar>
            <w:vAlign w:val="center"/>
          </w:tcPr>
          <w:p>
            <w:r>
              <w:rPr>
                <w:b w:val="false"/>
                <w:bCs w:val="false"/>
                <w:sz w:val="20"/>
                <w:szCs w:val="20"/>
              </w:rPr>
              <w:t xml:space="preserve">Second major network</w:t>
            </w:r>
          </w:p>
        </w:tc>
      </w:tr>
      <w:tr>
        <w:tc>
          <w:tcPr>
            <w:tcW w:type="dxa" w:w="2600"/>
            <w:tcMar>
              <w:top w:type="dxa" w:w="60"/>
              <w:left w:type="dxa" w:w="100"/>
              <w:bottom w:type="dxa" w:w="60"/>
              <w:right w:type="dxa" w:w="100"/>
            </w:tcMar>
            <w:vAlign w:val="center"/>
          </w:tcPr>
          <w:p>
            <w:r>
              <w:rPr>
                <w:b w:val="false"/>
                <w:bCs w:val="false"/>
                <w:sz w:val="20"/>
                <w:szCs w:val="20"/>
              </w:rPr>
              <w:t xml:space="preserve">Manual/offline reference</w:t>
            </w:r>
          </w:p>
        </w:tc>
        <w:tc>
          <w:tcPr>
            <w:tcW w:type="dxa" w:w="2500"/>
            <w:tcMar>
              <w:top w:type="dxa" w:w="60"/>
              <w:left w:type="dxa" w:w="100"/>
              <w:bottom w:type="dxa" w:w="60"/>
              <w:right w:type="dxa" w:w="100"/>
            </w:tcMar>
            <w:vAlign w:val="center"/>
          </w:tcPr>
          <w:p>
            <w:r>
              <w:rPr>
                <w:b w:val="false"/>
                <w:bCs w:val="false"/>
                <w:sz w:val="20"/>
                <w:szCs w:val="20"/>
              </w:rPr>
              <w:t xml:space="preserve">Cash, bank transfer, cheque</w:t>
            </w:r>
          </w:p>
        </w:tc>
        <w:tc>
          <w:tcPr>
            <w:tcW w:type="dxa" w:w="4250"/>
            <w:tcMar>
              <w:top w:type="dxa" w:w="60"/>
              <w:left w:type="dxa" w:w="100"/>
              <w:bottom w:type="dxa" w:w="60"/>
              <w:right w:type="dxa" w:w="100"/>
            </w:tcMar>
            <w:vAlign w:val="center"/>
          </w:tcPr>
          <w:p>
            <w:r>
              <w:rPr>
                <w:b w:val="false"/>
                <w:bCs w:val="false"/>
                <w:sz w:val="20"/>
                <w:szCs w:val="20"/>
              </w:rPr>
              <w:t xml:space="preserve">Cashier-entered with reference and reconciliation, for schools/parents without digital rails</w:t>
            </w:r>
          </w:p>
        </w:tc>
      </w:tr>
    </w:tbl>
    <w:p>
      <w:pPr>
        <w:spacing w:after="120"/>
      </w:pPr>
      <w:r>
        <w:rPr>
          <w:b w:val="false"/>
          <w:bCs w:val="false"/>
          <w:i w:val="false"/>
          <w:iCs w:val="false"/>
        </w:rPr>
        <w:t xml:space="preserve">FR-PAY-020: PBSMS creates an internal payment reference before any provider call; provider callbacks are validated for provider identity, signature, timestamp, replay, reference, amount, currency and event ID; duplicate delivery is idempotent; provider status maps to a controlled internal state machine; settlement, including provider fees, is reconciled against internal records.</w:t>
      </w:r>
    </w:p>
    <w:p>
      <w:pPr>
        <w:spacing w:after="120"/>
      </w:pPr>
      <w:r>
        <w:rPr>
          <w:b w:val="false"/>
          <w:bCs w:val="false"/>
          <w:i w:val="false"/>
          <w:iCs w:val="false"/>
        </w:rPr>
        <w:t xml:space="preserve">FR-PAY-030: Every payment integration credential is stored per tenant, never shared across tenants, and is rotatable independently per tenant (TEN and SEC chapters).</w:t>
      </w:r>
    </w:p>
    <w:p>
      <w:pPr>
        <w:pStyle w:val="Heading2"/>
        <w:spacing w:after="100" w:before="220"/>
      </w:pPr>
      <w:r>
        <w:rPr>
          <w:b/>
          <w:bCs/>
        </w:rPr>
        <w:t xml:space="preserve">24.3 Requirements</w:t>
      </w:r>
    </w:p>
    <w:p>
      <w:pPr>
        <w:pStyle w:val="ListParagraph"/>
        <w:numPr>
          <w:ilvl w:val="0"/>
          <w:numId w:val="1"/>
        </w:numPr>
        <w:spacing w:after="60"/>
      </w:pPr>
      <w:r>
        <w:t xml:space="preserve">FR-PAY-040: Invoice generation, payment capture, verification, allocation, reversal approval, assistance approval, reconciliation, period close and report export are distinguishable, separately permissioned actions; schools MAY enforce maker-checker controls.</w:t>
      </w:r>
    </w:p>
    <w:p>
      <w:pPr>
        <w:pStyle w:val="ListParagraph"/>
        <w:numPr>
          <w:ilvl w:val="0"/>
          <w:numId w:val="1"/>
        </w:numPr>
        <w:spacing w:after="60"/>
      </w:pPr>
      <w:r>
        <w:t xml:space="preserve">FR-PAY-050: Every posting records actor, source, time, amount, currency, related student, method and reference; multi-record operations use database transactions and idempotency protections.</w:t>
      </w:r>
    </w:p>
    <w:p>
      <w:pPr>
        <w:pStyle w:val="Heading2"/>
        <w:spacing w:after="100" w:before="220"/>
      </w:pPr>
      <w:r>
        <w:rPr>
          <w:b/>
          <w:bCs/>
        </w:rPr>
        <w:t xml:space="preserve">24.4 Acceptance Criteria</w:t>
      </w:r>
    </w:p>
    <w:p>
      <w:pPr>
        <w:pStyle w:val="ListParagraph"/>
        <w:numPr>
          <w:ilvl w:val="0"/>
          <w:numId w:val="1"/>
        </w:numPr>
        <w:spacing w:after="60"/>
      </w:pPr>
      <w:r>
        <w:t xml:space="preserve">No duplicate invoice or receipt numbers within a tenant.</w:t>
      </w:r>
    </w:p>
    <w:p>
      <w:pPr>
        <w:pStyle w:val="ListParagraph"/>
        <w:numPr>
          <w:ilvl w:val="0"/>
          <w:numId w:val="1"/>
        </w:numPr>
        <w:spacing w:after="60"/>
      </w:pPr>
      <w:r>
        <w:t xml:space="preserve">Balances recalculate correctly after each transaction.</w:t>
      </w:r>
    </w:p>
    <w:p>
      <w:pPr>
        <w:pStyle w:val="ListParagraph"/>
        <w:numPr>
          <w:ilvl w:val="0"/>
          <w:numId w:val="1"/>
        </w:numPr>
        <w:spacing w:after="60"/>
      </w:pPr>
      <w:r>
        <w:t xml:space="preserve">Reversals preserve original records.</w:t>
      </w:r>
    </w:p>
    <w:p>
      <w:pPr>
        <w:pStyle w:val="ListParagraph"/>
        <w:numPr>
          <w:ilvl w:val="0"/>
          <w:numId w:val="1"/>
        </w:numPr>
        <w:spacing w:after="60"/>
      </w:pPr>
      <w:r>
        <w:t xml:space="preserve">Reports reconcile by period and method, including provider fees.</w:t>
      </w:r>
    </w:p>
    <w:p>
      <w:pPr>
        <w:pStyle w:val="ListParagraph"/>
        <w:numPr>
          <w:ilvl w:val="0"/>
          <w:numId w:val="1"/>
        </w:numPr>
        <w:spacing w:after="60"/>
      </w:pPr>
      <w:r>
        <w:t xml:space="preserve">Unauthorized cross-campus or cross-tenant access is rejected.</w:t>
      </w:r>
    </w:p>
    <w:p>
      <w:pPr>
        <w:pStyle w:val="ListParagraph"/>
        <w:numPr>
          <w:ilvl w:val="0"/>
          <w:numId w:val="1"/>
        </w:numPr>
        <w:spacing w:after="60"/>
      </w:pPr>
      <w:r>
        <w:t xml:space="preserve">Retrying a financial request does not double-post.</w:t>
      </w:r>
    </w:p>
    <w:p>
      <w:pPr>
        <w:pStyle w:val="Heading1"/>
        <w:pageBreakBefore/>
        <w:spacing w:after="200" w:before="240"/>
      </w:pPr>
      <w:r>
        <w:rPr>
          <w:b/>
          <w:bCs/>
        </w:rPr>
        <w:t xml:space="preserve">Chapter 25 — Financial Assistance, Reversals &amp; Reconciliation</w:t>
      </w:r>
    </w:p>
    <w:p>
      <w:pPr>
        <w:pStyle w:val="Heading2"/>
        <w:spacing w:after="100" w:before="220"/>
      </w:pPr>
      <w:r>
        <w:rPr>
          <w:b/>
          <w:bCs/>
        </w:rPr>
        <w:t xml:space="preserve">25.1 Requirements</w:t>
      </w:r>
    </w:p>
    <w:p>
      <w:pPr>
        <w:pStyle w:val="ListParagraph"/>
        <w:numPr>
          <w:ilvl w:val="0"/>
          <w:numId w:val="1"/>
        </w:numPr>
        <w:spacing w:after="60"/>
      </w:pPr>
      <w:r>
        <w:t xml:space="preserve">FR-FIN-010: Support scholarships, discounts, waivers and sponsor-funded credit as explicit transaction types, each requiring a reason and, above a configurable threshold, a second approver.</w:t>
      </w:r>
    </w:p>
    <w:p>
      <w:pPr>
        <w:pStyle w:val="ListParagraph"/>
        <w:numPr>
          <w:ilvl w:val="0"/>
          <w:numId w:val="1"/>
        </w:numPr>
        <w:spacing w:after="60"/>
      </w:pPr>
      <w:r>
        <w:t xml:space="preserve">FR-FIN-020: Reversals preserve the original transaction and create a linked, dated correcting entry; nothing is edited in place.</w:t>
      </w:r>
    </w:p>
    <w:p>
      <w:pPr>
        <w:pStyle w:val="ListParagraph"/>
        <w:numPr>
          <w:ilvl w:val="0"/>
          <w:numId w:val="1"/>
        </w:numPr>
        <w:spacing w:after="60"/>
      </w:pPr>
      <w:r>
        <w:t xml:space="preserve">FR-FIN-030: Reconciliation proves that system transactions agree with cash, bank, mobile money and payment-provider evidence, including mobile-money settlement reconciliation as its own checked category.</w:t>
      </w:r>
    </w:p>
    <w:p>
      <w:pPr>
        <w:pStyle w:val="ListParagraph"/>
        <w:numPr>
          <w:ilvl w:val="0"/>
          <w:numId w:val="1"/>
        </w:numPr>
        <w:spacing w:after="60"/>
      </w:pPr>
      <w:r>
        <w:t xml:space="preserve">FR-FIN-040: Provide dashboards for today's collections, unverified transactions, outstanding/overdue balances, collection target vs. actual, unallocated credits, pending reversals/assistance, reconciliation differences and failed deliveries — per school, rolled up per tenant.</w:t>
      </w:r>
    </w:p>
    <w:p>
      <w:pPr>
        <w:pStyle w:val="Heading1"/>
        <w:pageBreakBefore/>
        <w:spacing w:after="200" w:before="240"/>
      </w:pPr>
      <w:r>
        <w:rPr>
          <w:b/>
          <w:bCs/>
        </w:rPr>
        <w:t xml:space="preserve">Chapter 26 — Communication &amp; Notification Centre</w:t>
      </w:r>
    </w:p>
    <w:p>
      <w:pPr>
        <w:spacing w:after="120"/>
      </w:pPr>
      <w:r>
        <w:rPr>
          <w:b w:val="false"/>
          <w:bCs w:val="false"/>
          <w:i w:val="false"/>
          <w:iCs w:val="false"/>
        </w:rPr>
        <w:t xml:space="preserve">Version 1.0 was email-first with SMS "where enabled" and no WhatsApp at all. In this market that ordering is backwards. Version 2.0 reorders the channel priority to match how Ghanaian parents actually communicate.</w:t>
      </w:r>
    </w:p>
    <w:p>
      <w:pPr>
        <w:pStyle w:val="Heading2"/>
        <w:spacing w:after="100" w:before="220"/>
      </w:pPr>
      <w:r>
        <w:rPr>
          <w:b/>
          <w:bCs/>
        </w:rPr>
        <w:t xml:space="preserve">26.1 Channel Priority (new)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4000"/>
        <w:gridCol w:w="1950"/>
      </w:tblGrid>
      <w:tr>
        <w:trPr>
          <w:tblHeader/>
        </w:trPr>
        <w:tc>
          <w:tcPr>
            <w:tcW w:type="dxa" w:w="900"/>
            <w:shd w:fill="1F3864" w:val="clear"/>
            <w:tcMar>
              <w:top w:type="dxa" w:w="60"/>
              <w:left w:type="dxa" w:w="100"/>
              <w:bottom w:type="dxa" w:w="60"/>
              <w:right w:type="dxa" w:w="100"/>
            </w:tcMar>
            <w:vAlign w:val="center"/>
          </w:tcPr>
          <w:p>
            <w:r>
              <w:rPr>
                <w:b/>
                <w:bCs/>
                <w:color w:val="FFFFFF"/>
                <w:sz w:val="20"/>
                <w:szCs w:val="20"/>
              </w:rPr>
              <w:t xml:space="preserve">Priority</w:t>
            </w:r>
          </w:p>
        </w:tc>
        <w:tc>
          <w:tcPr>
            <w:tcW w:type="dxa" w:w="2500"/>
            <w:shd w:fill="1F3864" w:val="clear"/>
            <w:tcMar>
              <w:top w:type="dxa" w:w="60"/>
              <w:left w:type="dxa" w:w="100"/>
              <w:bottom w:type="dxa" w:w="60"/>
              <w:right w:type="dxa" w:w="100"/>
            </w:tcMar>
            <w:vAlign w:val="center"/>
          </w:tcPr>
          <w:p>
            <w:r>
              <w:rPr>
                <w:b/>
                <w:bCs/>
                <w:color w:val="FFFFFF"/>
                <w:sz w:val="20"/>
                <w:szCs w:val="20"/>
              </w:rPr>
              <w:t xml:space="preserve">Channel</w:t>
            </w:r>
          </w:p>
        </w:tc>
        <w:tc>
          <w:tcPr>
            <w:tcW w:type="dxa" w:w="4000"/>
            <w:shd w:fill="1F3864" w:val="clear"/>
            <w:tcMar>
              <w:top w:type="dxa" w:w="60"/>
              <w:left w:type="dxa" w:w="100"/>
              <w:bottom w:type="dxa" w:w="60"/>
              <w:right w:type="dxa" w:w="100"/>
            </w:tcMar>
            <w:vAlign w:val="center"/>
          </w:tcPr>
          <w:p>
            <w:r>
              <w:rPr>
                <w:b/>
                <w:bCs/>
                <w:color w:val="FFFFFF"/>
                <w:sz w:val="20"/>
                <w:szCs w:val="20"/>
              </w:rPr>
              <w:t xml:space="preserve">Use</w:t>
            </w:r>
          </w:p>
        </w:tc>
        <w:tc>
          <w:tcPr>
            <w:tcW w:type="dxa" w:w="1950"/>
            <w:shd w:fill="1F3864" w:val="clear"/>
            <w:tcMar>
              <w:top w:type="dxa" w:w="60"/>
              <w:left w:type="dxa" w:w="100"/>
              <w:bottom w:type="dxa" w:w="60"/>
              <w:right w:type="dxa" w:w="100"/>
            </w:tcMar>
            <w:vAlign w:val="center"/>
          </w:tcPr>
          <w:p>
            <w:r>
              <w:rPr>
                <w:b/>
                <w:bCs/>
                <w:color w:val="FFFFFF"/>
                <w:sz w:val="20"/>
                <w:szCs w:val="20"/>
              </w:rPr>
              <w:t xml:space="preserve">Notes</w:t>
            </w:r>
          </w:p>
        </w:tc>
      </w:tr>
      <w:tr>
        <w:tc>
          <w:tcPr>
            <w:tcW w:type="dxa" w:w="900"/>
            <w:tcMar>
              <w:top w:type="dxa" w:w="60"/>
              <w:left w:type="dxa" w:w="100"/>
              <w:bottom w:type="dxa" w:w="60"/>
              <w:right w:type="dxa" w:w="100"/>
            </w:tcMar>
            <w:vAlign w:val="center"/>
          </w:tcPr>
          <w:p>
            <w:r>
              <w:rPr>
                <w:b w:val="false"/>
                <w:bCs w:val="false"/>
                <w:sz w:val="20"/>
                <w:szCs w:val="20"/>
              </w:rPr>
              <w:t xml:space="preserve">1</w:t>
            </w:r>
          </w:p>
        </w:tc>
        <w:tc>
          <w:tcPr>
            <w:tcW w:type="dxa" w:w="2500"/>
            <w:tcMar>
              <w:top w:type="dxa" w:w="60"/>
              <w:left w:type="dxa" w:w="100"/>
              <w:bottom w:type="dxa" w:w="60"/>
              <w:right w:type="dxa" w:w="100"/>
            </w:tcMar>
            <w:vAlign w:val="center"/>
          </w:tcPr>
          <w:p>
            <w:r>
              <w:rPr>
                <w:b w:val="false"/>
                <w:bCs w:val="false"/>
                <w:sz w:val="20"/>
                <w:szCs w:val="20"/>
              </w:rPr>
              <w:t xml:space="preserve">WhatsApp Business API</w:t>
            </w:r>
          </w:p>
        </w:tc>
        <w:tc>
          <w:tcPr>
            <w:tcW w:type="dxa" w:w="4000"/>
            <w:tcMar>
              <w:top w:type="dxa" w:w="60"/>
              <w:left w:type="dxa" w:w="100"/>
              <w:bottom w:type="dxa" w:w="60"/>
              <w:right w:type="dxa" w:w="100"/>
            </w:tcMar>
            <w:vAlign w:val="center"/>
          </w:tcPr>
          <w:p>
            <w:r>
              <w:rPr>
                <w:b w:val="false"/>
                <w:bCs w:val="false"/>
                <w:sz w:val="20"/>
                <w:szCs w:val="20"/>
              </w:rPr>
              <w:t xml:space="preserve">Primary channel for most notifications: attendance alerts, invoice/receipt, results-published notice, general announcements</w:t>
            </w:r>
          </w:p>
        </w:tc>
        <w:tc>
          <w:tcPr>
            <w:tcW w:type="dxa" w:w="1950"/>
            <w:tcMar>
              <w:top w:type="dxa" w:w="60"/>
              <w:left w:type="dxa" w:w="100"/>
              <w:bottom w:type="dxa" w:w="60"/>
              <w:right w:type="dxa" w:w="100"/>
            </w:tcMar>
            <w:vAlign w:val="center"/>
          </w:tcPr>
          <w:p>
            <w:r>
              <w:rPr>
                <w:b w:val="false"/>
                <w:bCs w:val="false"/>
                <w:sz w:val="20"/>
                <w:szCs w:val="20"/>
              </w:rPr>
              <w:t xml:space="preserve">Highest open rate for this audience; supports rich media (PDF report cards, receipts) and delivery/read receipts</w:t>
            </w:r>
          </w:p>
        </w:tc>
      </w:tr>
      <w:tr>
        <w:tc>
          <w:tcPr>
            <w:tcW w:type="dxa" w:w="900"/>
            <w:shd w:fill="DCE6F1" w:val="clear"/>
            <w:tcMar>
              <w:top w:type="dxa" w:w="60"/>
              <w:left w:type="dxa" w:w="100"/>
              <w:bottom w:type="dxa" w:w="60"/>
              <w:right w:type="dxa" w:w="100"/>
            </w:tcMar>
            <w:vAlign w:val="center"/>
          </w:tcPr>
          <w:p>
            <w:r>
              <w:rPr>
                <w:b w:val="false"/>
                <w:bCs w:val="false"/>
                <w:sz w:val="20"/>
                <w:szCs w:val="20"/>
              </w:rPr>
              <w:t xml:space="preserve">2</w:t>
            </w:r>
          </w:p>
        </w:tc>
        <w:tc>
          <w:tcPr>
            <w:tcW w:type="dxa" w:w="2500"/>
            <w:shd w:fill="DCE6F1" w:val="clear"/>
            <w:tcMar>
              <w:top w:type="dxa" w:w="60"/>
              <w:left w:type="dxa" w:w="100"/>
              <w:bottom w:type="dxa" w:w="60"/>
              <w:right w:type="dxa" w:w="100"/>
            </w:tcMar>
            <w:vAlign w:val="center"/>
          </w:tcPr>
          <w:p>
            <w:r>
              <w:rPr>
                <w:b w:val="false"/>
                <w:bCs w:val="false"/>
                <w:sz w:val="20"/>
                <w:szCs w:val="20"/>
              </w:rPr>
              <w:t xml:space="preserve">SMS</w:t>
            </w:r>
          </w:p>
        </w:tc>
        <w:tc>
          <w:tcPr>
            <w:tcW w:type="dxa" w:w="4000"/>
            <w:shd w:fill="DCE6F1" w:val="clear"/>
            <w:tcMar>
              <w:top w:type="dxa" w:w="60"/>
              <w:left w:type="dxa" w:w="100"/>
              <w:bottom w:type="dxa" w:w="60"/>
              <w:right w:type="dxa" w:w="100"/>
            </w:tcMar>
            <w:vAlign w:val="center"/>
          </w:tcPr>
          <w:p>
            <w:r>
              <w:rPr>
                <w:b w:val="false"/>
                <w:bCs w:val="false"/>
                <w:sz w:val="20"/>
                <w:szCs w:val="20"/>
              </w:rPr>
              <w:t xml:space="preserve">Short, urgent notices; fallback when WhatsApp is undeliverable or the guardian has no smartphone</w:t>
            </w:r>
          </w:p>
        </w:tc>
        <w:tc>
          <w:tcPr>
            <w:tcW w:type="dxa" w:w="1950"/>
            <w:shd w:fill="DCE6F1" w:val="clear"/>
            <w:tcMar>
              <w:top w:type="dxa" w:w="60"/>
              <w:left w:type="dxa" w:w="100"/>
              <w:bottom w:type="dxa" w:w="60"/>
              <w:right w:type="dxa" w:w="100"/>
            </w:tcMar>
            <w:vAlign w:val="center"/>
          </w:tcPr>
          <w:p>
            <w:r>
              <w:rPr>
                <w:b w:val="false"/>
                <w:bCs w:val="false"/>
                <w:sz w:val="20"/>
                <w:szCs w:val="20"/>
              </w:rPr>
              <w:t xml:space="preserve">Delivery-report handling, sender-ID registration and per-message cost tracking required (FR-COM-030)</w:t>
            </w:r>
          </w:p>
        </w:tc>
      </w:tr>
      <w:tr>
        <w:tc>
          <w:tcPr>
            <w:tcW w:type="dxa" w:w="900"/>
            <w:tcMar>
              <w:top w:type="dxa" w:w="60"/>
              <w:left w:type="dxa" w:w="100"/>
              <w:bottom w:type="dxa" w:w="60"/>
              <w:right w:type="dxa" w:w="100"/>
            </w:tcMar>
            <w:vAlign w:val="center"/>
          </w:tcPr>
          <w:p>
            <w:r>
              <w:rPr>
                <w:b w:val="false"/>
                <w:bCs w:val="false"/>
                <w:sz w:val="20"/>
                <w:szCs w:val="20"/>
              </w:rPr>
              <w:t xml:space="preserve">3</w:t>
            </w:r>
          </w:p>
        </w:tc>
        <w:tc>
          <w:tcPr>
            <w:tcW w:type="dxa" w:w="2500"/>
            <w:tcMar>
              <w:top w:type="dxa" w:w="60"/>
              <w:left w:type="dxa" w:w="100"/>
              <w:bottom w:type="dxa" w:w="60"/>
              <w:right w:type="dxa" w:w="100"/>
            </w:tcMar>
            <w:vAlign w:val="center"/>
          </w:tcPr>
          <w:p>
            <w:r>
              <w:rPr>
                <w:b w:val="false"/>
                <w:bCs w:val="false"/>
                <w:sz w:val="20"/>
                <w:szCs w:val="20"/>
              </w:rPr>
              <w:t xml:space="preserve">Email</w:t>
            </w:r>
          </w:p>
        </w:tc>
        <w:tc>
          <w:tcPr>
            <w:tcW w:type="dxa" w:w="4000"/>
            <w:tcMar>
              <w:top w:type="dxa" w:w="60"/>
              <w:left w:type="dxa" w:w="100"/>
              <w:bottom w:type="dxa" w:w="60"/>
              <w:right w:type="dxa" w:w="100"/>
            </w:tcMar>
            <w:vAlign w:val="center"/>
          </w:tcPr>
          <w:p>
            <w:r>
              <w:rPr>
                <w:b w:val="false"/>
                <w:bCs w:val="false"/>
                <w:sz w:val="20"/>
                <w:szCs w:val="20"/>
              </w:rPr>
              <w:t xml:space="preserve">Detailed statements, formal documents, staff-to-staff communication</w:t>
            </w:r>
          </w:p>
        </w:tc>
        <w:tc>
          <w:tcPr>
            <w:tcW w:type="dxa" w:w="1950"/>
            <w:tcMar>
              <w:top w:type="dxa" w:w="60"/>
              <w:left w:type="dxa" w:w="100"/>
              <w:bottom w:type="dxa" w:w="60"/>
              <w:right w:type="dxa" w:w="100"/>
            </w:tcMar>
            <w:vAlign w:val="center"/>
          </w:tcPr>
          <w:p>
            <w:r>
              <w:rPr>
                <w:b w:val="false"/>
                <w:bCs w:val="false"/>
                <w:sz w:val="20"/>
                <w:szCs w:val="20"/>
              </w:rPr>
              <w:t xml:space="preserve">Retained as the channel of record for anything requiring a durable, searchable copy</w:t>
            </w:r>
          </w:p>
        </w:tc>
      </w:tr>
      <w:tr>
        <w:tc>
          <w:tcPr>
            <w:tcW w:type="dxa" w:w="900"/>
            <w:shd w:fill="DCE6F1" w:val="clear"/>
            <w:tcMar>
              <w:top w:type="dxa" w:w="60"/>
              <w:left w:type="dxa" w:w="100"/>
              <w:bottom w:type="dxa" w:w="60"/>
              <w:right w:type="dxa" w:w="100"/>
            </w:tcMar>
            <w:vAlign w:val="center"/>
          </w:tcPr>
          <w:p>
            <w:r>
              <w:rPr>
                <w:b w:val="false"/>
                <w:bCs w:val="false"/>
                <w:sz w:val="20"/>
                <w:szCs w:val="20"/>
              </w:rPr>
              <w:t xml:space="preserve">4</w:t>
            </w:r>
          </w:p>
        </w:tc>
        <w:tc>
          <w:tcPr>
            <w:tcW w:type="dxa" w:w="2500"/>
            <w:shd w:fill="DCE6F1" w:val="clear"/>
            <w:tcMar>
              <w:top w:type="dxa" w:w="60"/>
              <w:left w:type="dxa" w:w="100"/>
              <w:bottom w:type="dxa" w:w="60"/>
              <w:right w:type="dxa" w:w="100"/>
            </w:tcMar>
            <w:vAlign w:val="center"/>
          </w:tcPr>
          <w:p>
            <w:r>
              <w:rPr>
                <w:b w:val="false"/>
                <w:bCs w:val="false"/>
                <w:sz w:val="20"/>
                <w:szCs w:val="20"/>
              </w:rPr>
              <w:t xml:space="preserve">In-app / push</w:t>
            </w:r>
          </w:p>
        </w:tc>
        <w:tc>
          <w:tcPr>
            <w:tcW w:type="dxa" w:w="4000"/>
            <w:shd w:fill="DCE6F1" w:val="clear"/>
            <w:tcMar>
              <w:top w:type="dxa" w:w="60"/>
              <w:left w:type="dxa" w:w="100"/>
              <w:bottom w:type="dxa" w:w="60"/>
              <w:right w:type="dxa" w:w="100"/>
            </w:tcMar>
            <w:vAlign w:val="center"/>
          </w:tcPr>
          <w:p>
            <w:r>
              <w:rPr>
                <w:b w:val="false"/>
                <w:bCs w:val="false"/>
                <w:sz w:val="20"/>
                <w:szCs w:val="20"/>
              </w:rPr>
              <w:t xml:space="preserve">Future mobile application notifications</w:t>
            </w:r>
          </w:p>
        </w:tc>
        <w:tc>
          <w:tcPr>
            <w:tcW w:type="dxa" w:w="1950"/>
            <w:shd w:fill="DCE6F1" w:val="clear"/>
            <w:tcMar>
              <w:top w:type="dxa" w:w="60"/>
              <w:left w:type="dxa" w:w="100"/>
              <w:bottom w:type="dxa" w:w="60"/>
              <w:right w:type="dxa" w:w="100"/>
            </w:tcMar>
            <w:vAlign w:val="center"/>
          </w:tcPr>
          <w:p>
            <w:r>
              <w:rPr>
                <w:b w:val="false"/>
                <w:bCs w:val="false"/>
                <w:sz w:val="20"/>
                <w:szCs w:val="20"/>
              </w:rPr>
              <w:t xml:space="preserve">Device registration required; specified as future scope, not v1</w:t>
            </w:r>
          </w:p>
        </w:tc>
      </w:tr>
    </w:tbl>
    <w:p>
      <w:pPr>
        <w:pStyle w:val="Heading2"/>
        <w:spacing w:after="100" w:before="220"/>
      </w:pPr>
      <w:r>
        <w:rPr>
          <w:b/>
          <w:bCs/>
        </w:rPr>
        <w:t xml:space="preserve">26.2 Requirements</w:t>
      </w:r>
    </w:p>
    <w:p>
      <w:pPr>
        <w:pStyle w:val="ListParagraph"/>
        <w:numPr>
          <w:ilvl w:val="0"/>
          <w:numId w:val="1"/>
        </w:numPr>
        <w:spacing w:after="60"/>
      </w:pPr>
      <w:r>
        <w:t xml:space="preserve">FR-COM-010: Integrate with the WhatsApp Business API (Meta-approved Business Solution Provider) supporting template messages, media attachments and delivery/read status, scoped per tenant with its own registered sender.</w:t>
      </w:r>
    </w:p>
    <w:p>
      <w:pPr>
        <w:pStyle w:val="ListParagraph"/>
        <w:numPr>
          <w:ilvl w:val="0"/>
          <w:numId w:val="1"/>
        </w:numPr>
        <w:spacing w:after="60"/>
      </w:pPr>
      <w:r>
        <w:t xml:space="preserve">FR-COM-020: Templates carry subject, body, variables, channel, language, sensitivity level and version; a preview validates variable substitution before send.</w:t>
      </w:r>
    </w:p>
    <w:p>
      <w:pPr>
        <w:pStyle w:val="ListParagraph"/>
        <w:numPr>
          <w:ilvl w:val="0"/>
          <w:numId w:val="1"/>
        </w:numPr>
        <w:spacing w:after="60"/>
      </w:pPr>
      <w:r>
        <w:t xml:space="preserve">FR-COM-030: SMS integration uses a named Ghanaian SMS aggregator with registered sender ID, tracks delivery reports, bounce and failure, and enforces a configurable per-tenant monthly cost threshold with alerting before it is exceeded.</w:t>
      </w:r>
    </w:p>
    <w:p>
      <w:pPr>
        <w:pStyle w:val="ListParagraph"/>
        <w:numPr>
          <w:ilvl w:val="0"/>
          <w:numId w:val="1"/>
        </w:numPr>
        <w:spacing w:after="60"/>
      </w:pPr>
      <w:r>
        <w:t xml:space="preserve">FR-COM-040: Reports are role-scoped, sent by schedule, optionally attach safe PDFs, use authenticated links for sensitive detail, record delivery state per channel and retry failures with channel fallback (WhatsApp → SMS → email) where the message is urgent and the first channel fails.</w:t>
      </w:r>
    </w:p>
    <w:p>
      <w:pPr>
        <w:pStyle w:val="ListParagraph"/>
        <w:numPr>
          <w:ilvl w:val="0"/>
          <w:numId w:val="1"/>
        </w:numPr>
        <w:spacing w:after="60"/>
      </w:pPr>
      <w:r>
        <w:t xml:space="preserve">FR-COM-050: Respect communication preferences, guardian relationships, consent (Chapter 40) and cost controls; children's, medical and discipline-related communication use stricter minimization and channel restriction.</w:t>
      </w:r>
    </w:p>
    <w:p>
      <w:pPr>
        <w:pStyle w:val="ListParagraph"/>
        <w:numPr>
          <w:ilvl w:val="0"/>
          <w:numId w:val="1"/>
        </w:numPr>
        <w:spacing w:after="60"/>
      </w:pPr>
      <w:r>
        <w:t xml:space="preserve">FR-COM-060: Recipients can acknowledge reports, comment, be assigned as owners, set deadlines, attach evidence, and complete or reopen actions; overdue items escalate through configurable supervision levels.</w:t>
      </w:r>
    </w:p>
    <w:p>
      <w:pPr>
        <w:pStyle w:val="Heading1"/>
        <w:pageBreakBefore/>
        <w:spacing w:after="200" w:before="240"/>
      </w:pPr>
      <w:r>
        <w:rPr>
          <w:b/>
          <w:bCs/>
        </w:rPr>
        <w:t xml:space="preserve">Chapter 27 — Academic &amp; Operational Analytics</w:t>
      </w:r>
    </w:p>
    <w:p>
      <w:pPr>
        <w:spacing w:after="120"/>
      </w:pPr>
      <w:r>
        <w:rPr>
          <w:b w:val="false"/>
          <w:bCs w:val="false"/>
          <w:i w:val="false"/>
          <w:iCs w:val="false"/>
        </w:rPr>
        <w:t xml:space="preserve">This chapter consolidates Version 1.0's academic analytics with the new group/multi-school roll-up capability enabled by Volume 0.</w:t>
      </w:r>
    </w:p>
    <w:p>
      <w:pPr>
        <w:pStyle w:val="Heading2"/>
        <w:spacing w:after="100" w:before="220"/>
      </w:pPr>
      <w:r>
        <w:rPr>
          <w:b/>
          <w:bCs/>
        </w:rPr>
        <w:t xml:space="preserve">27.1 Requirements</w:t>
      </w:r>
    </w:p>
    <w:p>
      <w:pPr>
        <w:pStyle w:val="ListParagraph"/>
        <w:numPr>
          <w:ilvl w:val="0"/>
          <w:numId w:val="1"/>
        </w:numPr>
        <w:spacing w:after="60"/>
      </w:pPr>
      <w:r>
        <w:t xml:space="preserve">FR-ANL-020: Provide term-over-term and year-over-year trend analysis at student, class, subject, division and school level.</w:t>
      </w:r>
    </w:p>
    <w:p>
      <w:pPr>
        <w:pStyle w:val="ListParagraph"/>
        <w:numPr>
          <w:ilvl w:val="0"/>
          <w:numId w:val="1"/>
        </w:numPr>
        <w:spacing w:after="60"/>
      </w:pPr>
      <w:r>
        <w:t xml:space="preserve">FR-ANL-030: Provide a tenant-level roll-up (Chapter 14.3) for proprietors operating more than one school.</w:t>
      </w:r>
    </w:p>
    <w:p>
      <w:pPr>
        <w:pStyle w:val="ListParagraph"/>
        <w:numPr>
          <w:ilvl w:val="0"/>
          <w:numId w:val="1"/>
        </w:numPr>
        <w:spacing w:after="60"/>
      </w:pPr>
      <w:r>
        <w:t xml:space="preserve">FR-ANL-040: Support configurable, auditable AI-assisted summarization of trends and draft recommendations (Chapter 14.4), always presented as a draft requiring human approval before any action is taken on it.</w:t>
      </w:r>
    </w:p>
    <w:p>
      <w:pPr>
        <w:pStyle w:val="Heading1"/>
        <w:pageBreakBefore/>
        <w:spacing w:after="200" w:before="240"/>
      </w:pPr>
      <w:r>
        <w:rPr>
          <w:b/>
          <w:bCs/>
        </w:rPr>
        <w:t xml:space="preserve">Chapter 28 — Supporting Operations</w:t>
      </w:r>
    </w:p>
    <w:p>
      <w:pPr>
        <w:pStyle w:val="Heading2"/>
        <w:spacing w:after="100" w:before="220"/>
      </w:pPr>
      <w:r>
        <w:rPr>
          <w:b/>
          <w:bCs/>
        </w:rPr>
        <w:t xml:space="preserve">28.1 Requirements</w:t>
      </w:r>
    </w:p>
    <w:p>
      <w:pPr>
        <w:pStyle w:val="ListParagraph"/>
        <w:numPr>
          <w:ilvl w:val="0"/>
          <w:numId w:val="1"/>
        </w:numPr>
        <w:spacing w:after="60"/>
      </w:pPr>
      <w:r>
        <w:t xml:space="preserve">FR-OPS-010: Library — catalogue, circulation (issue/return/renew/fine), member linkage to student/staff records.</w:t>
      </w:r>
    </w:p>
    <w:p>
      <w:pPr>
        <w:pStyle w:val="ListParagraph"/>
        <w:numPr>
          <w:ilvl w:val="0"/>
          <w:numId w:val="1"/>
        </w:numPr>
        <w:spacing w:after="60"/>
      </w:pPr>
      <w:r>
        <w:t xml:space="preserve">FR-OPS-020: Transport — route and stop management, vehicle and driver records, student-route assignment, optional GPS-based arrival notification integration.</w:t>
      </w:r>
    </w:p>
    <w:p>
      <w:pPr>
        <w:pStyle w:val="ListParagraph"/>
        <w:numPr>
          <w:ilvl w:val="0"/>
          <w:numId w:val="1"/>
        </w:numPr>
        <w:spacing w:after="60"/>
      </w:pPr>
      <w:r>
        <w:t xml:space="preserve">FR-OPS-030: Health — restricted-access medical records, incident logging, medication administration log, guardian notification for incidents.</w:t>
      </w:r>
    </w:p>
    <w:p>
      <w:pPr>
        <w:pStyle w:val="ListParagraph"/>
        <w:numPr>
          <w:ilvl w:val="0"/>
          <w:numId w:val="1"/>
        </w:numPr>
        <w:spacing w:after="60"/>
      </w:pPr>
      <w:r>
        <w:t xml:space="preserve">FR-OPS-040: Discipline — incident recording, investigation, response, guardian contact, follow-up, appeal, and positive-behaviour recognition, all tenant- and record-scoped per Chapter 13.</w:t>
      </w:r>
    </w:p>
    <w:p>
      <w:pPr>
        <w:pStyle w:val="ListParagraph"/>
        <w:numPr>
          <w:ilvl w:val="0"/>
          <w:numId w:val="1"/>
        </w:numPr>
        <w:spacing w:after="60"/>
      </w:pPr>
      <w:r>
        <w:t xml:space="preserve">FR-OPS-050: Inventory — asset register, stock levels, issuance tracking, low-stock alerts feeding the notification engine.</w:t>
      </w:r>
    </w:p>
    <w:p>
      <w:pPr>
        <w:pageBreakBefore/>
        <w:spacing w:after="120" w:before="2000"/>
        <w:jc w:val="center"/>
      </w:pPr>
      <w:r>
        <w:rPr>
          <w:color w:val="1F3864"/>
          <w:sz w:val="28"/>
          <w:szCs w:val="28"/>
        </w:rPr>
        <w:t xml:space="preserve">—</w:t>
      </w:r>
    </w:p>
    <w:p>
      <w:pPr>
        <w:pStyle w:val="Heading1"/>
        <w:spacing w:after="120" w:before="200"/>
        <w:jc w:val="center"/>
      </w:pPr>
      <w:r>
        <w:rPr>
          <w:b/>
          <w:bCs/>
          <w:color w:val="1F3864"/>
          <w:sz w:val="36"/>
          <w:szCs w:val="36"/>
        </w:rPr>
        <w:t xml:space="preserve">VOLUME IV</w:t>
      </w:r>
    </w:p>
    <w:p>
      <w:pPr>
        <w:spacing w:after="2000"/>
        <w:jc w:val="center"/>
      </w:pPr>
      <w:r>
        <w:rPr>
          <w:i/>
          <w:iCs/>
          <w:sz w:val="24"/>
          <w:szCs w:val="24"/>
        </w:rPr>
        <w:t xml:space="preserve">Technical Architecture — Chapters 29–38</w:t>
      </w:r>
    </w:p>
    <w:p>
      <w:pPr>
        <w:pStyle w:val="Heading1"/>
        <w:pageBreakBefore/>
        <w:spacing w:after="200" w:before="240"/>
      </w:pPr>
      <w:r>
        <w:rPr>
          <w:b/>
          <w:bCs/>
        </w:rPr>
        <w:t xml:space="preserve">Chapter 29 — Technology Stack &amp; Layered Architecture</w:t>
      </w:r>
    </w:p>
    <w:p>
      <w:pPr>
        <w:spacing w:after="120"/>
      </w:pPr>
      <w:r>
        <w:rPr>
          <w:b w:val="false"/>
          <w:bCs w:val="false"/>
          <w:i w:val="false"/>
          <w:iCs w:val="false"/>
        </w:rPr>
        <w:t xml:space="preserve">Version 1.0 deliberately avoided naming a stack, framing PBSMS purely as an upgrade of "the existing Premium Grading System." Per instruction, this version names a concrete, defensible default stack for a new multi-tenant build. Where an existing codebase genuinely exists and is sound, Chapter 44 explains how to migrate onto this architecture safely rather than starting over — but the target architecture itself is stated here without hedging.</w:t>
      </w:r>
    </w:p>
    <w:p>
      <w:pPr>
        <w:pStyle w:val="Heading2"/>
        <w:spacing w:after="100" w:before="220"/>
      </w:pPr>
      <w:r>
        <w:rPr>
          <w:b/>
          <w:bCs/>
        </w:rPr>
        <w:t xml:space="preserve">29.1 Recommended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450"/>
        <w:gridCol w:w="4000"/>
      </w:tblGrid>
      <w:tr>
        <w:trPr>
          <w:tblHeader/>
        </w:trPr>
        <w:tc>
          <w:tcPr>
            <w:tcW w:type="dxa" w:w="1900"/>
            <w:shd w:fill="1F3864" w:val="clear"/>
            <w:tcMar>
              <w:top w:type="dxa" w:w="60"/>
              <w:left w:type="dxa" w:w="100"/>
              <w:bottom w:type="dxa" w:w="60"/>
              <w:right w:type="dxa" w:w="100"/>
            </w:tcMar>
            <w:vAlign w:val="center"/>
          </w:tcPr>
          <w:p>
            <w:r>
              <w:rPr>
                <w:b/>
                <w:bCs/>
                <w:color w:val="FFFFFF"/>
                <w:sz w:val="20"/>
                <w:szCs w:val="20"/>
              </w:rPr>
              <w:t xml:space="preserve">Layer</w:t>
            </w:r>
          </w:p>
        </w:tc>
        <w:tc>
          <w:tcPr>
            <w:tcW w:type="dxa" w:w="3450"/>
            <w:shd w:fill="1F3864" w:val="clear"/>
            <w:tcMar>
              <w:top w:type="dxa" w:w="60"/>
              <w:left w:type="dxa" w:w="100"/>
              <w:bottom w:type="dxa" w:w="60"/>
              <w:right w:type="dxa" w:w="100"/>
            </w:tcMar>
            <w:vAlign w:val="center"/>
          </w:tcPr>
          <w:p>
            <w:r>
              <w:rPr>
                <w:b/>
                <w:bCs/>
                <w:color w:val="FFFFFF"/>
                <w:sz w:val="20"/>
                <w:szCs w:val="20"/>
              </w:rPr>
              <w:t xml:space="preserve">Recommendation</w:t>
            </w:r>
          </w:p>
        </w:tc>
        <w:tc>
          <w:tcPr>
            <w:tcW w:type="dxa" w:w="4000"/>
            <w:shd w:fill="1F3864" w:val="clear"/>
            <w:tcMar>
              <w:top w:type="dxa" w:w="60"/>
              <w:left w:type="dxa" w:w="100"/>
              <w:bottom w:type="dxa" w:w="60"/>
              <w:right w:type="dxa" w:w="100"/>
            </w:tcMar>
            <w:vAlign w:val="center"/>
          </w:tcPr>
          <w:p>
            <w:r>
              <w:rPr>
                <w:b/>
                <w:bCs/>
                <w:color w:val="FFFFFF"/>
                <w:sz w:val="20"/>
                <w:szCs w:val="20"/>
              </w:rPr>
              <w:t xml:space="preserve">Rationale</w:t>
            </w:r>
          </w:p>
        </w:tc>
      </w:tr>
      <w:tr>
        <w:tc>
          <w:tcPr>
            <w:tcW w:type="dxa" w:w="1900"/>
            <w:tcMar>
              <w:top w:type="dxa" w:w="60"/>
              <w:left w:type="dxa" w:w="100"/>
              <w:bottom w:type="dxa" w:w="60"/>
              <w:right w:type="dxa" w:w="100"/>
            </w:tcMar>
            <w:vAlign w:val="center"/>
          </w:tcPr>
          <w:p>
            <w:r>
              <w:rPr>
                <w:b w:val="false"/>
                <w:bCs w:val="false"/>
                <w:sz w:val="20"/>
                <w:szCs w:val="20"/>
              </w:rPr>
              <w:t xml:space="preserve">Backend framework</w:t>
            </w:r>
          </w:p>
        </w:tc>
        <w:tc>
          <w:tcPr>
            <w:tcW w:type="dxa" w:w="3450"/>
            <w:tcMar>
              <w:top w:type="dxa" w:w="60"/>
              <w:left w:type="dxa" w:w="100"/>
              <w:bottom w:type="dxa" w:w="60"/>
              <w:right w:type="dxa" w:w="100"/>
            </w:tcMar>
            <w:vAlign w:val="center"/>
          </w:tcPr>
          <w:p>
            <w:r>
              <w:rPr>
                <w:b w:val="false"/>
                <w:bCs w:val="false"/>
                <w:sz w:val="20"/>
                <w:szCs w:val="20"/>
              </w:rPr>
              <w:t xml:space="preserve">Node.js with NestJS (TypeScript), or Laravel (PHP) as a well-supported alternative</w:t>
            </w:r>
          </w:p>
        </w:tc>
        <w:tc>
          <w:tcPr>
            <w:tcW w:type="dxa" w:w="4000"/>
            <w:tcMar>
              <w:top w:type="dxa" w:w="60"/>
              <w:left w:type="dxa" w:w="100"/>
              <w:bottom w:type="dxa" w:w="60"/>
              <w:right w:type="dxa" w:w="100"/>
            </w:tcMar>
            <w:vAlign w:val="center"/>
          </w:tcPr>
          <w:p>
            <w:r>
              <w:rPr>
                <w:b w:val="false"/>
                <w:bCs w:val="false"/>
                <w:sz w:val="20"/>
                <w:szCs w:val="20"/>
              </w:rPr>
              <w:t xml:space="preserve">Strong typing, mature ecosystem, easy to hire for in Ghana; NestJS's module system maps cleanly onto Chapter 10's domain boundaries</w:t>
            </w:r>
          </w:p>
        </w:tc>
      </w:tr>
      <w:tr>
        <w:tc>
          <w:tcPr>
            <w:tcW w:type="dxa" w:w="1900"/>
            <w:shd w:fill="DCE6F1" w:val="clear"/>
            <w:tcMar>
              <w:top w:type="dxa" w:w="60"/>
              <w:left w:type="dxa" w:w="100"/>
              <w:bottom w:type="dxa" w:w="60"/>
              <w:right w:type="dxa" w:w="100"/>
            </w:tcMar>
            <w:vAlign w:val="center"/>
          </w:tcPr>
          <w:p>
            <w:r>
              <w:rPr>
                <w:b w:val="false"/>
                <w:bCs w:val="false"/>
                <w:sz w:val="20"/>
                <w:szCs w:val="20"/>
              </w:rPr>
              <w:t xml:space="preserve">Database</w:t>
            </w:r>
          </w:p>
        </w:tc>
        <w:tc>
          <w:tcPr>
            <w:tcW w:type="dxa" w:w="3450"/>
            <w:shd w:fill="DCE6F1" w:val="clear"/>
            <w:tcMar>
              <w:top w:type="dxa" w:w="60"/>
              <w:left w:type="dxa" w:w="100"/>
              <w:bottom w:type="dxa" w:w="60"/>
              <w:right w:type="dxa" w:w="100"/>
            </w:tcMar>
            <w:vAlign w:val="center"/>
          </w:tcPr>
          <w:p>
            <w:r>
              <w:rPr>
                <w:b w:val="false"/>
                <w:bCs w:val="false"/>
                <w:sz w:val="20"/>
                <w:szCs w:val="20"/>
              </w:rPr>
              <w:t xml:space="preserve">PostgreSQL 15+</w:t>
            </w:r>
          </w:p>
        </w:tc>
        <w:tc>
          <w:tcPr>
            <w:tcW w:type="dxa" w:w="4000"/>
            <w:shd w:fill="DCE6F1" w:val="clear"/>
            <w:tcMar>
              <w:top w:type="dxa" w:w="60"/>
              <w:left w:type="dxa" w:w="100"/>
              <w:bottom w:type="dxa" w:w="60"/>
              <w:right w:type="dxa" w:w="100"/>
            </w:tcMar>
            <w:vAlign w:val="center"/>
          </w:tcPr>
          <w:p>
            <w:r>
              <w:rPr>
                <w:b w:val="false"/>
                <w:bCs w:val="false"/>
                <w:sz w:val="20"/>
                <w:szCs w:val="20"/>
              </w:rPr>
              <w:t xml:space="preserve">Native Row-Level Security (TEN-001), strong JSON support for flexible configuration, mature and inexpensive to operate</w:t>
            </w:r>
          </w:p>
        </w:tc>
      </w:tr>
      <w:tr>
        <w:tc>
          <w:tcPr>
            <w:tcW w:type="dxa" w:w="1900"/>
            <w:tcMar>
              <w:top w:type="dxa" w:w="60"/>
              <w:left w:type="dxa" w:w="100"/>
              <w:bottom w:type="dxa" w:w="60"/>
              <w:right w:type="dxa" w:w="100"/>
            </w:tcMar>
            <w:vAlign w:val="center"/>
          </w:tcPr>
          <w:p>
            <w:r>
              <w:rPr>
                <w:b w:val="false"/>
                <w:bCs w:val="false"/>
                <w:sz w:val="20"/>
                <w:szCs w:val="20"/>
              </w:rPr>
              <w:t xml:space="preserve">Cache &amp; queues</w:t>
            </w:r>
          </w:p>
        </w:tc>
        <w:tc>
          <w:tcPr>
            <w:tcW w:type="dxa" w:w="3450"/>
            <w:tcMar>
              <w:top w:type="dxa" w:w="60"/>
              <w:left w:type="dxa" w:w="100"/>
              <w:bottom w:type="dxa" w:w="60"/>
              <w:right w:type="dxa" w:w="100"/>
            </w:tcMar>
            <w:vAlign w:val="center"/>
          </w:tcPr>
          <w:p>
            <w:r>
              <w:rPr>
                <w:b w:val="false"/>
                <w:bCs w:val="false"/>
                <w:sz w:val="20"/>
                <w:szCs w:val="20"/>
              </w:rPr>
              <w:t xml:space="preserve">Redis</w:t>
            </w:r>
          </w:p>
        </w:tc>
        <w:tc>
          <w:tcPr>
            <w:tcW w:type="dxa" w:w="4000"/>
            <w:tcMar>
              <w:top w:type="dxa" w:w="60"/>
              <w:left w:type="dxa" w:w="100"/>
              <w:bottom w:type="dxa" w:w="60"/>
              <w:right w:type="dxa" w:w="100"/>
            </w:tcMar>
            <w:vAlign w:val="center"/>
          </w:tcPr>
          <w:p>
            <w:r>
              <w:rPr>
                <w:b w:val="false"/>
                <w:bCs w:val="false"/>
                <w:sz w:val="20"/>
                <w:szCs w:val="20"/>
              </w:rPr>
              <w:t xml:space="preserve">Session cache, rate limiting (NFR-PERF-010), and background job queue backing store</w:t>
            </w:r>
          </w:p>
        </w:tc>
      </w:tr>
      <w:tr>
        <w:tc>
          <w:tcPr>
            <w:tcW w:type="dxa" w:w="1900"/>
            <w:shd w:fill="DCE6F1" w:val="clear"/>
            <w:tcMar>
              <w:top w:type="dxa" w:w="60"/>
              <w:left w:type="dxa" w:w="100"/>
              <w:bottom w:type="dxa" w:w="60"/>
              <w:right w:type="dxa" w:w="100"/>
            </w:tcMar>
            <w:vAlign w:val="center"/>
          </w:tcPr>
          <w:p>
            <w:r>
              <w:rPr>
                <w:b w:val="false"/>
                <w:bCs w:val="false"/>
                <w:sz w:val="20"/>
                <w:szCs w:val="20"/>
              </w:rPr>
              <w:t xml:space="preserve">Frontend</w:t>
            </w:r>
          </w:p>
        </w:tc>
        <w:tc>
          <w:tcPr>
            <w:tcW w:type="dxa" w:w="3450"/>
            <w:shd w:fill="DCE6F1" w:val="clear"/>
            <w:tcMar>
              <w:top w:type="dxa" w:w="60"/>
              <w:left w:type="dxa" w:w="100"/>
              <w:bottom w:type="dxa" w:w="60"/>
              <w:right w:type="dxa" w:w="100"/>
            </w:tcMar>
            <w:vAlign w:val="center"/>
          </w:tcPr>
          <w:p>
            <w:r>
              <w:rPr>
                <w:b w:val="false"/>
                <w:bCs w:val="false"/>
                <w:sz w:val="20"/>
                <w:szCs w:val="20"/>
              </w:rPr>
              <w:t xml:space="preserve">Next.js (React) as a server-rendered, installable PWA</w:t>
            </w:r>
          </w:p>
        </w:tc>
        <w:tc>
          <w:tcPr>
            <w:tcW w:type="dxa" w:w="4000"/>
            <w:shd w:fill="DCE6F1" w:val="clear"/>
            <w:tcMar>
              <w:top w:type="dxa" w:w="60"/>
              <w:left w:type="dxa" w:w="100"/>
              <w:bottom w:type="dxa" w:w="60"/>
              <w:right w:type="dxa" w:w="100"/>
            </w:tcMar>
            <w:vAlign w:val="center"/>
          </w:tcPr>
          <w:p>
            <w:r>
              <w:rPr>
                <w:b w:val="false"/>
                <w:bCs w:val="false"/>
                <w:sz w:val="20"/>
                <w:szCs w:val="20"/>
              </w:rPr>
              <w:t xml:space="preserve">Enables the offline-first requirement (FR-ATT-010) and fast initial load on constrained mobile data</w:t>
            </w:r>
          </w:p>
        </w:tc>
      </w:tr>
      <w:tr>
        <w:tc>
          <w:tcPr>
            <w:tcW w:type="dxa" w:w="1900"/>
            <w:tcMar>
              <w:top w:type="dxa" w:w="60"/>
              <w:left w:type="dxa" w:w="100"/>
              <w:bottom w:type="dxa" w:w="60"/>
              <w:right w:type="dxa" w:w="100"/>
            </w:tcMar>
            <w:vAlign w:val="center"/>
          </w:tcPr>
          <w:p>
            <w:r>
              <w:rPr>
                <w:b w:val="false"/>
                <w:bCs w:val="false"/>
                <w:sz w:val="20"/>
                <w:szCs w:val="20"/>
              </w:rPr>
              <w:t xml:space="preserve">File storage</w:t>
            </w:r>
          </w:p>
        </w:tc>
        <w:tc>
          <w:tcPr>
            <w:tcW w:type="dxa" w:w="3450"/>
            <w:tcMar>
              <w:top w:type="dxa" w:w="60"/>
              <w:left w:type="dxa" w:w="100"/>
              <w:bottom w:type="dxa" w:w="60"/>
              <w:right w:type="dxa" w:w="100"/>
            </w:tcMar>
            <w:vAlign w:val="center"/>
          </w:tcPr>
          <w:p>
            <w:r>
              <w:rPr>
                <w:b w:val="false"/>
                <w:bCs w:val="false"/>
                <w:sz w:val="20"/>
                <w:szCs w:val="20"/>
              </w:rPr>
              <w:t xml:space="preserve">S3-compatible object storage</w:t>
            </w:r>
          </w:p>
        </w:tc>
        <w:tc>
          <w:tcPr>
            <w:tcW w:type="dxa" w:w="4000"/>
            <w:tcMar>
              <w:top w:type="dxa" w:w="60"/>
              <w:left w:type="dxa" w:w="100"/>
              <w:bottom w:type="dxa" w:w="60"/>
              <w:right w:type="dxa" w:w="100"/>
            </w:tcMar>
            <w:vAlign w:val="center"/>
          </w:tcPr>
          <w:p>
            <w:r>
              <w:rPr>
                <w:b w:val="false"/>
                <w:bCs w:val="false"/>
                <w:sz w:val="20"/>
                <w:szCs w:val="20"/>
              </w:rPr>
              <w:t xml:space="preserve">Portable across cloud providers; supports signed URLs for private document access</w:t>
            </w:r>
          </w:p>
        </w:tc>
      </w:tr>
      <w:tr>
        <w:tc>
          <w:tcPr>
            <w:tcW w:type="dxa" w:w="1900"/>
            <w:shd w:fill="DCE6F1" w:val="clear"/>
            <w:tcMar>
              <w:top w:type="dxa" w:w="60"/>
              <w:left w:type="dxa" w:w="100"/>
              <w:bottom w:type="dxa" w:w="60"/>
              <w:right w:type="dxa" w:w="100"/>
            </w:tcMar>
            <w:vAlign w:val="center"/>
          </w:tcPr>
          <w:p>
            <w:r>
              <w:rPr>
                <w:b w:val="false"/>
                <w:bCs w:val="false"/>
                <w:sz w:val="20"/>
                <w:szCs w:val="20"/>
              </w:rPr>
              <w:t xml:space="preserve">Background workers</w:t>
            </w:r>
          </w:p>
        </w:tc>
        <w:tc>
          <w:tcPr>
            <w:tcW w:type="dxa" w:w="3450"/>
            <w:shd w:fill="DCE6F1" w:val="clear"/>
            <w:tcMar>
              <w:top w:type="dxa" w:w="60"/>
              <w:left w:type="dxa" w:w="100"/>
              <w:bottom w:type="dxa" w:w="60"/>
              <w:right w:type="dxa" w:w="100"/>
            </w:tcMar>
            <w:vAlign w:val="center"/>
          </w:tcPr>
          <w:p>
            <w:r>
              <w:rPr>
                <w:b w:val="false"/>
                <w:bCs w:val="false"/>
                <w:sz w:val="20"/>
                <w:szCs w:val="20"/>
              </w:rPr>
              <w:t xml:space="preserve">Dedicated worker processes consuming the Redis-backed queue, separate deployable from the API</w:t>
            </w:r>
          </w:p>
        </w:tc>
        <w:tc>
          <w:tcPr>
            <w:tcW w:type="dxa" w:w="4000"/>
            <w:shd w:fill="DCE6F1" w:val="clear"/>
            <w:tcMar>
              <w:top w:type="dxa" w:w="60"/>
              <w:left w:type="dxa" w:w="100"/>
              <w:bottom w:type="dxa" w:w="60"/>
              <w:right w:type="dxa" w:w="100"/>
            </w:tcMar>
            <w:vAlign w:val="center"/>
          </w:tcPr>
          <w:p>
            <w:r>
              <w:rPr>
                <w:b w:val="false"/>
                <w:bCs w:val="false"/>
                <w:sz w:val="20"/>
                <w:szCs w:val="20"/>
              </w:rPr>
              <w:t xml:space="preserve">Required for the bulk-operation isolation in NFR-PERF-011</w:t>
            </w:r>
          </w:p>
        </w:tc>
      </w:tr>
      <w:tr>
        <w:tc>
          <w:tcPr>
            <w:tcW w:type="dxa" w:w="1900"/>
            <w:tcMar>
              <w:top w:type="dxa" w:w="60"/>
              <w:left w:type="dxa" w:w="100"/>
              <w:bottom w:type="dxa" w:w="60"/>
              <w:right w:type="dxa" w:w="100"/>
            </w:tcMar>
            <w:vAlign w:val="center"/>
          </w:tcPr>
          <w:p>
            <w:r>
              <w:rPr>
                <w:b w:val="false"/>
                <w:bCs w:val="false"/>
                <w:sz w:val="20"/>
                <w:szCs w:val="20"/>
              </w:rPr>
              <w:t xml:space="preserve">Hosting</w:t>
            </w:r>
          </w:p>
        </w:tc>
        <w:tc>
          <w:tcPr>
            <w:tcW w:type="dxa" w:w="3450"/>
            <w:tcMar>
              <w:top w:type="dxa" w:w="60"/>
              <w:left w:type="dxa" w:w="100"/>
              <w:bottom w:type="dxa" w:w="60"/>
              <w:right w:type="dxa" w:w="100"/>
            </w:tcMar>
            <w:vAlign w:val="center"/>
          </w:tcPr>
          <w:p>
            <w:r>
              <w:rPr>
                <w:b w:val="false"/>
                <w:bCs w:val="false"/>
                <w:sz w:val="20"/>
                <w:szCs w:val="20"/>
              </w:rPr>
              <w:t xml:space="preserve">Cloud provider with an Africa- or Europe-proximate region; static assets via CDN</w:t>
            </w:r>
          </w:p>
        </w:tc>
        <w:tc>
          <w:tcPr>
            <w:tcW w:type="dxa" w:w="4000"/>
            <w:tcMar>
              <w:top w:type="dxa" w:w="60"/>
              <w:left w:type="dxa" w:w="100"/>
              <w:bottom w:type="dxa" w:w="60"/>
              <w:right w:type="dxa" w:w="100"/>
            </w:tcMar>
            <w:vAlign w:val="center"/>
          </w:tcPr>
          <w:p>
            <w:r>
              <w:rPr>
                <w:b w:val="false"/>
                <w:bCs w:val="false"/>
                <w:sz w:val="20"/>
                <w:szCs w:val="20"/>
              </w:rPr>
              <w:t xml:space="preserve">Latency to Ghana-based users and payment-provider webhook endpoints</w:t>
            </w:r>
          </w:p>
        </w:tc>
      </w:tr>
    </w:tbl>
    <w:p>
      <w:pPr>
        <w:pStyle w:val="Heading2"/>
        <w:spacing w:after="100" w:before="220"/>
      </w:pPr>
      <w:r>
        <w:rPr>
          <w:b/>
          <w:bCs/>
        </w:rPr>
        <w:t xml:space="preserve">29.2 Layered Architecture</w:t>
      </w:r>
    </w:p>
    <w:p>
      <w:pPr>
        <w:spacing w:after="120"/>
      </w:pPr>
      <w:r>
        <w:rPr>
          <w:b w:val="false"/>
          <w:bCs w:val="false"/>
          <w:i w:val="false"/>
          <w:iCs w:val="false"/>
        </w:rPr>
        <w:t xml:space="preserve">Presentation → Application/API → Domain → Data Access → Infrastructure, as defined in Chapter 10.2, implemented respectively as: Next.js frontend → NestJS controllers/DTOs → NestJS domain services and policy classes → repository layer using an ORM with mandatory tenant-scoping middleware → PostgreSQL/Redis/S3/mail/queue/monitoring providers.</w:t>
      </w:r>
    </w:p>
    <w:p>
      <w:pPr>
        <w:pStyle w:val="Heading2"/>
        <w:spacing w:after="100" w:before="220"/>
      </w:pPr>
      <w:r>
        <w:rPr>
          <w:b/>
          <w:bCs/>
        </w:rPr>
        <w:t xml:space="preserve">29.3 Transactions and Idempotency</w:t>
      </w:r>
    </w:p>
    <w:p>
      <w:pPr>
        <w:spacing w:after="120"/>
      </w:pPr>
      <w:r>
        <w:rPr>
          <w:b w:val="false"/>
          <w:bCs w:val="false"/>
          <w:i w:val="false"/>
          <w:iCs w:val="false"/>
        </w:rPr>
        <w:t xml:space="preserve">NFR-API-010: Admission conversion, enrolment, transfer, publication, promotion, invoice generation, payment posting, allocation and reversal MUST execute within explicit database transaction boundaries; retrying any of these operations MUST NOT duplicate records (enforced via idempotency keys on the relevant endpoints).</w:t>
      </w:r>
    </w:p>
    <w:p>
      <w:pPr>
        <w:pStyle w:val="Heading1"/>
        <w:pageBreakBefore/>
        <w:spacing w:after="200" w:before="240"/>
      </w:pPr>
      <w:r>
        <w:rPr>
          <w:b/>
          <w:bCs/>
        </w:rPr>
        <w:t xml:space="preserve">Chapter 30 — Database Architecture, Multi-Tenant Schema &amp; Migration</w:t>
      </w:r>
    </w:p>
    <w:p>
      <w:pPr>
        <w:pStyle w:val="Heading2"/>
        <w:spacing w:after="100" w:before="220"/>
      </w:pPr>
      <w:r>
        <w:rPr>
          <w:b/>
          <w:bCs/>
        </w:rPr>
        <w:t xml:space="preserve">30.1 Conventions</w:t>
      </w:r>
    </w:p>
    <w:p>
      <w:pPr>
        <w:pStyle w:val="ListParagraph"/>
        <w:numPr>
          <w:ilvl w:val="0"/>
          <w:numId w:val="1"/>
        </w:numPr>
        <w:spacing w:after="60"/>
      </w:pPr>
      <w:r>
        <w:t xml:space="preserve">Plural snake_case table names; singular foreign-key fields.</w:t>
      </w:r>
    </w:p>
    <w:p>
      <w:pPr>
        <w:pStyle w:val="ListParagraph"/>
        <w:numPr>
          <w:ilvl w:val="0"/>
          <w:numId w:val="1"/>
        </w:numPr>
        <w:spacing w:after="60"/>
      </w:pPr>
      <w:r>
        <w:t xml:space="preserve">Every table has an immutable UUID primary key; business numbers (admission no., invoice no.) are separate, tenant-scoped identifiers.</w:t>
      </w:r>
    </w:p>
    <w:p>
      <w:pPr>
        <w:pStyle w:val="ListParagraph"/>
        <w:numPr>
          <w:ilvl w:val="0"/>
          <w:numId w:val="1"/>
        </w:numPr>
        <w:spacing w:after="60"/>
      </w:pPr>
      <w:r>
        <w:t xml:space="preserve">Date types for dates, timestamps (with time zone, stored UTC) for events, fixed-precision decimal types for money — never floating point.</w:t>
      </w:r>
    </w:p>
    <w:p>
      <w:pPr>
        <w:pStyle w:val="ListParagraph"/>
        <w:numPr>
          <w:ilvl w:val="0"/>
          <w:numId w:val="1"/>
        </w:numPr>
        <w:spacing w:after="60"/>
      </w:pPr>
      <w:r>
        <w:t xml:space="preserve">Timestamps stored in UTC, displayed using the tenant's configured time zone.</w:t>
      </w:r>
    </w:p>
    <w:p>
      <w:pPr>
        <w:pStyle w:val="Heading2"/>
        <w:spacing w:after="100" w:before="220"/>
      </w:pPr>
      <w:r>
        <w:rPr>
          <w:b/>
          <w:bCs/>
        </w:rPr>
        <w:t xml:space="preserve">30.2 Mandatory Common Fields (revised — no longer "where applicable")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60"/>
              <w:left w:type="dxa" w:w="100"/>
              <w:bottom w:type="dxa" w:w="60"/>
              <w:right w:type="dxa" w:w="100"/>
            </w:tcMar>
            <w:vAlign w:val="center"/>
          </w:tcPr>
          <w:p>
            <w:r>
              <w:rPr>
                <w:b/>
                <w:bCs/>
                <w:color w:val="FFFFFF"/>
                <w:sz w:val="20"/>
                <w:szCs w:val="20"/>
              </w:rPr>
              <w:t xml:space="preserve">Field</w:t>
            </w:r>
          </w:p>
        </w:tc>
        <w:tc>
          <w:tcPr>
            <w:tcW w:type="dxa" w:w="6750"/>
            <w:shd w:fill="1F3864" w:val="clear"/>
            <w:tcMar>
              <w:top w:type="dxa" w:w="60"/>
              <w:left w:type="dxa" w:w="100"/>
              <w:bottom w:type="dxa" w:w="60"/>
              <w:right w:type="dxa" w:w="100"/>
            </w:tcMar>
            <w:vAlign w:val="center"/>
          </w:tcPr>
          <w:p>
            <w:r>
              <w:rPr>
                <w:b/>
                <w:bCs/>
                <w:color w:val="FFFFFF"/>
                <w:sz w:val="20"/>
                <w:szCs w:val="20"/>
              </w:rPr>
              <w:t xml:space="preserve">Rule</w:t>
            </w:r>
          </w:p>
        </w:tc>
      </w:tr>
      <w:tr>
        <w:tc>
          <w:tcPr>
            <w:tcW w:type="dxa" w:w="2600"/>
            <w:tcMar>
              <w:top w:type="dxa" w:w="60"/>
              <w:left w:type="dxa" w:w="100"/>
              <w:bottom w:type="dxa" w:w="60"/>
              <w:right w:type="dxa" w:w="100"/>
            </w:tcMar>
            <w:vAlign w:val="center"/>
          </w:tcPr>
          <w:p>
            <w:r>
              <w:rPr>
                <w:b w:val="false"/>
                <w:bCs w:val="false"/>
                <w:sz w:val="20"/>
                <w:szCs w:val="20"/>
              </w:rPr>
              <w:t xml:space="preserve">tenant_id</w:t>
            </w:r>
          </w:p>
        </w:tc>
        <w:tc>
          <w:tcPr>
            <w:tcW w:type="dxa" w:w="6750"/>
            <w:tcMar>
              <w:top w:type="dxa" w:w="60"/>
              <w:left w:type="dxa" w:w="100"/>
              <w:bottom w:type="dxa" w:w="60"/>
              <w:right w:type="dxa" w:w="100"/>
            </w:tcMar>
            <w:vAlign w:val="center"/>
          </w:tcPr>
          <w:p>
            <w:r>
              <w:rPr>
                <w:b w:val="false"/>
                <w:bCs w:val="false"/>
                <w:sz w:val="20"/>
                <w:szCs w:val="20"/>
              </w:rPr>
              <w:t xml:space="preserve">NOT NULL on every tenant-owned table; leading column of relevant indexes; enforced by an RLS policy on the table</w:t>
            </w:r>
          </w:p>
        </w:tc>
      </w:tr>
      <w:tr>
        <w:tc>
          <w:tcPr>
            <w:tcW w:type="dxa" w:w="2600"/>
            <w:shd w:fill="DCE6F1" w:val="clear"/>
            <w:tcMar>
              <w:top w:type="dxa" w:w="60"/>
              <w:left w:type="dxa" w:w="100"/>
              <w:bottom w:type="dxa" w:w="60"/>
              <w:right w:type="dxa" w:w="100"/>
            </w:tcMar>
            <w:vAlign w:val="center"/>
          </w:tcPr>
          <w:p>
            <w:r>
              <w:rPr>
                <w:b w:val="false"/>
                <w:bCs w:val="false"/>
                <w:sz w:val="20"/>
                <w:szCs w:val="20"/>
              </w:rPr>
              <w:t xml:space="preserve">school_id, campus_id</w:t>
            </w:r>
          </w:p>
        </w:tc>
        <w:tc>
          <w:tcPr>
            <w:tcW w:type="dxa" w:w="6750"/>
            <w:shd w:fill="DCE6F1" w:val="clear"/>
            <w:tcMar>
              <w:top w:type="dxa" w:w="60"/>
              <w:left w:type="dxa" w:w="100"/>
              <w:bottom w:type="dxa" w:w="60"/>
              <w:right w:type="dxa" w:w="100"/>
            </w:tcMar>
            <w:vAlign w:val="center"/>
          </w:tcPr>
          <w:p>
            <w:r>
              <w:rPr>
                <w:b w:val="false"/>
                <w:bCs w:val="false"/>
                <w:sz w:val="20"/>
                <w:szCs w:val="20"/>
              </w:rPr>
              <w:t xml:space="preserve">NOT NULL wherever the entity is school/campus-specific; still validated as belonging to the row's own tenant_id</w:t>
            </w:r>
          </w:p>
        </w:tc>
      </w:tr>
      <w:tr>
        <w:tc>
          <w:tcPr>
            <w:tcW w:type="dxa" w:w="2600"/>
            <w:tcMar>
              <w:top w:type="dxa" w:w="60"/>
              <w:left w:type="dxa" w:w="100"/>
              <w:bottom w:type="dxa" w:w="60"/>
              <w:right w:type="dxa" w:w="100"/>
            </w:tcMar>
            <w:vAlign w:val="center"/>
          </w:tcPr>
          <w:p>
            <w:r>
              <w:rPr>
                <w:b w:val="false"/>
                <w:bCs w:val="false"/>
                <w:sz w:val="20"/>
                <w:szCs w:val="20"/>
              </w:rPr>
              <w:t xml:space="preserve">status, effective dates</w:t>
            </w:r>
          </w:p>
        </w:tc>
        <w:tc>
          <w:tcPr>
            <w:tcW w:type="dxa" w:w="6750"/>
            <w:tcMar>
              <w:top w:type="dxa" w:w="60"/>
              <w:left w:type="dxa" w:w="100"/>
              <w:bottom w:type="dxa" w:w="60"/>
              <w:right w:type="dxa" w:w="100"/>
            </w:tcMar>
            <w:vAlign w:val="center"/>
          </w:tcPr>
          <w:p>
            <w:r>
              <w:rPr>
                <w:b w:val="false"/>
                <w:bCs w:val="false"/>
                <w:sz w:val="20"/>
                <w:szCs w:val="20"/>
              </w:rPr>
              <w:t xml:space="preserve">Present on every entity with a lifecycle</w:t>
            </w:r>
          </w:p>
        </w:tc>
      </w:tr>
      <w:tr>
        <w:tc>
          <w:tcPr>
            <w:tcW w:type="dxa" w:w="2600"/>
            <w:shd w:fill="DCE6F1" w:val="clear"/>
            <w:tcMar>
              <w:top w:type="dxa" w:w="60"/>
              <w:left w:type="dxa" w:w="100"/>
              <w:bottom w:type="dxa" w:w="60"/>
              <w:right w:type="dxa" w:w="100"/>
            </w:tcMar>
            <w:vAlign w:val="center"/>
          </w:tcPr>
          <w:p>
            <w:r>
              <w:rPr>
                <w:b w:val="false"/>
                <w:bCs w:val="false"/>
                <w:sz w:val="20"/>
                <w:szCs w:val="20"/>
              </w:rPr>
              <w:t xml:space="preserve">created_at, created_by, updated_at, updated_by</w:t>
            </w:r>
          </w:p>
        </w:tc>
        <w:tc>
          <w:tcPr>
            <w:tcW w:type="dxa" w:w="6750"/>
            <w:shd w:fill="DCE6F1" w:val="clear"/>
            <w:tcMar>
              <w:top w:type="dxa" w:w="60"/>
              <w:left w:type="dxa" w:w="100"/>
              <w:bottom w:type="dxa" w:w="60"/>
              <w:right w:type="dxa" w:w="100"/>
            </w:tcMar>
            <w:vAlign w:val="center"/>
          </w:tcPr>
          <w:p>
            <w:r>
              <w:rPr>
                <w:b w:val="false"/>
                <w:bCs w:val="false"/>
                <w:sz w:val="20"/>
                <w:szCs w:val="20"/>
              </w:rPr>
              <w:t xml:space="preserve">Present on every table</w:t>
            </w:r>
          </w:p>
        </w:tc>
      </w:tr>
      <w:tr>
        <w:tc>
          <w:tcPr>
            <w:tcW w:type="dxa" w:w="2600"/>
            <w:tcMar>
              <w:top w:type="dxa" w:w="60"/>
              <w:left w:type="dxa" w:w="100"/>
              <w:bottom w:type="dxa" w:w="60"/>
              <w:right w:type="dxa" w:w="100"/>
            </w:tcMar>
            <w:vAlign w:val="center"/>
          </w:tcPr>
          <w:p>
            <w:r>
              <w:rPr>
                <w:b w:val="false"/>
                <w:bCs w:val="false"/>
                <w:sz w:val="20"/>
                <w:szCs w:val="20"/>
              </w:rPr>
              <w:t xml:space="preserve">deleted_at, deleted_by, reason</w:t>
            </w:r>
          </w:p>
        </w:tc>
        <w:tc>
          <w:tcPr>
            <w:tcW w:type="dxa" w:w="6750"/>
            <w:tcMar>
              <w:top w:type="dxa" w:w="60"/>
              <w:left w:type="dxa" w:w="100"/>
              <w:bottom w:type="dxa" w:w="60"/>
              <w:right w:type="dxa" w:w="100"/>
            </w:tcMar>
            <w:vAlign w:val="center"/>
          </w:tcPr>
          <w:p>
            <w:r>
              <w:rPr>
                <w:b w:val="false"/>
                <w:bCs w:val="false"/>
                <w:sz w:val="20"/>
                <w:szCs w:val="20"/>
              </w:rPr>
              <w:t xml:space="preserve">Present wherever soft deletion is appropriate; hard deletion is prohibited on any table listed in the retention schedule (Chapter 40)</w:t>
            </w:r>
          </w:p>
        </w:tc>
      </w:tr>
    </w:tbl>
    <w:p>
      <w:pPr>
        <w:pStyle w:val="Heading2"/>
        <w:spacing w:after="100" w:before="220"/>
      </w:pPr>
      <w:r>
        <w:rPr>
          <w:b/>
          <w:bCs/>
        </w:rPr>
        <w:t xml:space="preserve">30.3 Row-Level Security</w:t>
      </w:r>
    </w:p>
    <w:p>
      <w:pPr>
        <w:spacing w:after="120"/>
      </w:pPr>
      <w:r>
        <w:rPr>
          <w:b w:val="false"/>
          <w:bCs w:val="false"/>
          <w:i w:val="false"/>
          <w:iCs w:val="false"/>
        </w:rPr>
        <w:t xml:space="preserve">NFR-SEC-010: Every tenant-owned table MUST have RLS enabled with a policy of the form USING (tenant_id = current_setting('app.current_tenant')::uuid), applied to SELECT, INSERT, UPDATE and DELETE. Database roles used by the application MUST NOT have BYPASSRLS. A migration that adds a new tenant-owned table without a corresponding RLS policy MUST fail CI (Chapter 45).</w:t>
      </w:r>
    </w:p>
    <w:p>
      <w:pPr>
        <w:pStyle w:val="Heading2"/>
        <w:spacing w:after="100" w:before="220"/>
      </w:pPr>
      <w:r>
        <w:rPr>
          <w:b/>
          <w:bCs/>
        </w:rPr>
        <w:t xml:space="preserve">30.4 Integrity</w:t>
      </w:r>
    </w:p>
    <w:p>
      <w:pPr>
        <w:pStyle w:val="ListParagraph"/>
        <w:numPr>
          <w:ilvl w:val="0"/>
          <w:numId w:val="1"/>
        </w:numPr>
        <w:spacing w:after="60"/>
      </w:pPr>
      <w:r>
        <w:t xml:space="preserve">Foreign keys enforce valid relationships and MUST NOT cross tenant boundaries.</w:t>
      </w:r>
    </w:p>
    <w:p>
      <w:pPr>
        <w:pStyle w:val="ListParagraph"/>
        <w:numPr>
          <w:ilvl w:val="0"/>
          <w:numId w:val="1"/>
        </w:numPr>
        <w:spacing w:after="60"/>
      </w:pPr>
      <w:r>
        <w:t xml:space="preserve">Unique constraints are tenant-scoped and prevent duplicate admission, enrolment, attendance, score, invoice and receipt records.</w:t>
      </w:r>
    </w:p>
    <w:p>
      <w:pPr>
        <w:pStyle w:val="ListParagraph"/>
        <w:numPr>
          <w:ilvl w:val="0"/>
          <w:numId w:val="1"/>
        </w:numPr>
        <w:spacing w:after="60"/>
      </w:pPr>
      <w:r>
        <w:t xml:space="preserve">Indexes support tenant scope, foreign keys, academic period, status, date and reference searches.</w:t>
      </w:r>
    </w:p>
    <w:p>
      <w:pPr>
        <w:pStyle w:val="ListParagraph"/>
        <w:numPr>
          <w:ilvl w:val="0"/>
          <w:numId w:val="1"/>
        </w:numPr>
        <w:spacing w:after="60"/>
      </w:pPr>
      <w:r>
        <w:t xml:space="preserve">Protected records use versioning, reversal or archival rather than deletion.</w:t>
      </w:r>
    </w:p>
    <w:p>
      <w:pPr>
        <w:pStyle w:val="Heading2"/>
        <w:spacing w:after="100" w:before="220"/>
      </w:pPr>
      <w:r>
        <w:rPr>
          <w:b/>
          <w:bCs/>
        </w:rPr>
        <w:t xml:space="preserve">30.5 Migration</w:t>
      </w:r>
    </w:p>
    <w:p>
      <w:pPr>
        <w:spacing w:after="120"/>
      </w:pPr>
      <w:r>
        <w:rPr>
          <w:b w:val="false"/>
          <w:bCs w:val="false"/>
          <w:i w:val="false"/>
          <w:iCs w:val="false"/>
        </w:rPr>
        <w:t xml:space="preserve">Tenant onboarding import and any bulk migration follow: inventory and profile source data → map fields → back up → test migration in an isolated environment → validate counts and relationships → reconcile academic and finance totals → approve → execute → verify. Every migration documents rollback, and imports are always scoped to a single tenant_id, never run across tenants in one batch.</w:t>
      </w:r>
    </w:p>
    <w:p>
      <w:pPr>
        <w:pStyle w:val="Heading1"/>
        <w:pageBreakBefore/>
        <w:spacing w:after="200" w:before="240"/>
      </w:pPr>
      <w:r>
        <w:rPr>
          <w:b/>
          <w:bCs/>
        </w:rPr>
        <w:t xml:space="preserve">Chapter 31 — Entity-Relationship Model &amp; Core Table Definitions</w:t>
      </w:r>
    </w:p>
    <w:p>
      <w:pPr>
        <w:pStyle w:val="Heading2"/>
        <w:spacing w:after="100" w:before="220"/>
      </w:pPr>
      <w:r>
        <w:rPr>
          <w:b/>
          <w:bCs/>
        </w:rPr>
        <w:t xml:space="preserve">31.1 Core Relationship</w:t>
      </w:r>
    </w:p>
    <w:p>
      <w:pPr>
        <w:spacing w:after="120"/>
      </w:pPr>
      <w:r>
        <w:rPr>
          <w:b w:val="false"/>
          <w:bCs w:val="false"/>
          <w:i w:val="false"/>
          <w:iCs w:val="false"/>
        </w:rPr>
        <w:t xml:space="preserve">Tenant → School → Campus, and independently, Student → Enrolment → academic and operational transactions. Student identity remains permanent; enrolment carries class and academic-year context.</w:t>
      </w:r>
    </w:p>
    <w:p>
      <w:pPr>
        <w:pStyle w:val="Heading2"/>
        <w:spacing w:after="100" w:before="220"/>
      </w:pPr>
      <w:r>
        <w:rPr>
          <w:b/>
          <w:bCs/>
        </w:rPr>
        <w:t xml:space="preserve">31.2 Principal Table Groups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7250"/>
      </w:tblGrid>
      <w:tr>
        <w:trPr>
          <w:tblHeader/>
        </w:trPr>
        <w:tc>
          <w:tcPr>
            <w:tcW w:type="dxa" w:w="2100"/>
            <w:shd w:fill="1F3864" w:val="clear"/>
            <w:tcMar>
              <w:top w:type="dxa" w:w="60"/>
              <w:left w:type="dxa" w:w="100"/>
              <w:bottom w:type="dxa" w:w="60"/>
              <w:right w:type="dxa" w:w="100"/>
            </w:tcMar>
            <w:vAlign w:val="center"/>
          </w:tcPr>
          <w:p>
            <w:r>
              <w:rPr>
                <w:b/>
                <w:bCs/>
                <w:color w:val="FFFFFF"/>
                <w:sz w:val="20"/>
                <w:szCs w:val="20"/>
              </w:rPr>
              <w:t xml:space="preserve">Domain</w:t>
            </w:r>
          </w:p>
        </w:tc>
        <w:tc>
          <w:tcPr>
            <w:tcW w:type="dxa" w:w="7250"/>
            <w:shd w:fill="1F3864" w:val="clear"/>
            <w:tcMar>
              <w:top w:type="dxa" w:w="60"/>
              <w:left w:type="dxa" w:w="100"/>
              <w:bottom w:type="dxa" w:w="60"/>
              <w:right w:type="dxa" w:w="100"/>
            </w:tcMar>
            <w:vAlign w:val="center"/>
          </w:tcPr>
          <w:p>
            <w:r>
              <w:rPr>
                <w:b/>
                <w:bCs/>
                <w:color w:val="FFFFFF"/>
                <w:sz w:val="20"/>
                <w:szCs w:val="20"/>
              </w:rPr>
              <w:t xml:space="preserve">Examples</w:t>
            </w:r>
          </w:p>
        </w:tc>
      </w:tr>
      <w:tr>
        <w:tc>
          <w:tcPr>
            <w:tcW w:type="dxa" w:w="2100"/>
            <w:tcMar>
              <w:top w:type="dxa" w:w="60"/>
              <w:left w:type="dxa" w:w="100"/>
              <w:bottom w:type="dxa" w:w="60"/>
              <w:right w:type="dxa" w:w="100"/>
            </w:tcMar>
            <w:vAlign w:val="center"/>
          </w:tcPr>
          <w:p>
            <w:r>
              <w:rPr>
                <w:b w:val="false"/>
                <w:bCs w:val="false"/>
                <w:sz w:val="20"/>
                <w:szCs w:val="20"/>
              </w:rPr>
              <w:t xml:space="preserve">Platform (new)</w:t>
            </w:r>
          </w:p>
        </w:tc>
        <w:tc>
          <w:tcPr>
            <w:tcW w:type="dxa" w:w="7250"/>
            <w:tcMar>
              <w:top w:type="dxa" w:w="60"/>
              <w:left w:type="dxa" w:w="100"/>
              <w:bottom w:type="dxa" w:w="60"/>
              <w:right w:type="dxa" w:w="100"/>
            </w:tcMar>
            <w:vAlign w:val="center"/>
          </w:tcPr>
          <w:p>
            <w:r>
              <w:rPr>
                <w:b w:val="false"/>
                <w:bCs w:val="false"/>
                <w:sz w:val="20"/>
                <w:szCs w:val="20"/>
              </w:rPr>
              <w:t xml:space="preserve">tenants, tenant_subscriptions, plans, feature_flags, platform_audit_logs</w:t>
            </w:r>
          </w:p>
        </w:tc>
      </w:tr>
      <w:tr>
        <w:tc>
          <w:tcPr>
            <w:tcW w:type="dxa" w:w="2100"/>
            <w:shd w:fill="DCE6F1" w:val="clear"/>
            <w:tcMar>
              <w:top w:type="dxa" w:w="60"/>
              <w:left w:type="dxa" w:w="100"/>
              <w:bottom w:type="dxa" w:w="60"/>
              <w:right w:type="dxa" w:w="100"/>
            </w:tcMar>
            <w:vAlign w:val="center"/>
          </w:tcPr>
          <w:p>
            <w:r>
              <w:rPr>
                <w:b w:val="false"/>
                <w:bCs w:val="false"/>
                <w:sz w:val="20"/>
                <w:szCs w:val="20"/>
              </w:rPr>
              <w:t xml:space="preserve">Identity</w:t>
            </w:r>
          </w:p>
        </w:tc>
        <w:tc>
          <w:tcPr>
            <w:tcW w:type="dxa" w:w="7250"/>
            <w:shd w:fill="DCE6F1" w:val="clear"/>
            <w:tcMar>
              <w:top w:type="dxa" w:w="60"/>
              <w:left w:type="dxa" w:w="100"/>
              <w:bottom w:type="dxa" w:w="60"/>
              <w:right w:type="dxa" w:w="100"/>
            </w:tcMar>
            <w:vAlign w:val="center"/>
          </w:tcPr>
          <w:p>
            <w:r>
              <w:rPr>
                <w:b w:val="false"/>
                <w:bCs w:val="false"/>
                <w:sz w:val="20"/>
                <w:szCs w:val="20"/>
              </w:rPr>
              <w:t xml:space="preserve">users, roles, permissions, user_roles, tenant_users, sessions</w:t>
            </w:r>
          </w:p>
        </w:tc>
      </w:tr>
      <w:tr>
        <w:tc>
          <w:tcPr>
            <w:tcW w:type="dxa" w:w="2100"/>
            <w:tcMar>
              <w:top w:type="dxa" w:w="60"/>
              <w:left w:type="dxa" w:w="100"/>
              <w:bottom w:type="dxa" w:w="60"/>
              <w:right w:type="dxa" w:w="100"/>
            </w:tcMar>
            <w:vAlign w:val="center"/>
          </w:tcPr>
          <w:p>
            <w:r>
              <w:rPr>
                <w:b w:val="false"/>
                <w:bCs w:val="false"/>
                <w:sz w:val="20"/>
                <w:szCs w:val="20"/>
              </w:rPr>
              <w:t xml:space="preserve">Student</w:t>
            </w:r>
          </w:p>
        </w:tc>
        <w:tc>
          <w:tcPr>
            <w:tcW w:type="dxa" w:w="7250"/>
            <w:tcMar>
              <w:top w:type="dxa" w:w="60"/>
              <w:left w:type="dxa" w:w="100"/>
              <w:bottom w:type="dxa" w:w="60"/>
              <w:right w:type="dxa" w:w="100"/>
            </w:tcMar>
            <w:vAlign w:val="center"/>
          </w:tcPr>
          <w:p>
            <w:r>
              <w:rPr>
                <w:b w:val="false"/>
                <w:bCs w:val="false"/>
                <w:sz w:val="20"/>
                <w:szCs w:val="20"/>
              </w:rPr>
              <w:t xml:space="preserve">students, guardians, student_guardians, enrolments, transfers</w:t>
            </w:r>
          </w:p>
        </w:tc>
      </w:tr>
      <w:tr>
        <w:tc>
          <w:tcPr>
            <w:tcW w:type="dxa" w:w="2100"/>
            <w:shd w:fill="DCE6F1" w:val="clear"/>
            <w:tcMar>
              <w:top w:type="dxa" w:w="60"/>
              <w:left w:type="dxa" w:w="100"/>
              <w:bottom w:type="dxa" w:w="60"/>
              <w:right w:type="dxa" w:w="100"/>
            </w:tcMar>
            <w:vAlign w:val="center"/>
          </w:tcPr>
          <w:p>
            <w:r>
              <w:rPr>
                <w:b w:val="false"/>
                <w:bCs w:val="false"/>
                <w:sz w:val="20"/>
                <w:szCs w:val="20"/>
              </w:rPr>
              <w:t xml:space="preserve">Academic</w:t>
            </w:r>
          </w:p>
        </w:tc>
        <w:tc>
          <w:tcPr>
            <w:tcW w:type="dxa" w:w="7250"/>
            <w:shd w:fill="DCE6F1" w:val="clear"/>
            <w:tcMar>
              <w:top w:type="dxa" w:w="60"/>
              <w:left w:type="dxa" w:w="100"/>
              <w:bottom w:type="dxa" w:w="60"/>
              <w:right w:type="dxa" w:w="100"/>
            </w:tcMar>
            <w:vAlign w:val="center"/>
          </w:tcPr>
          <w:p>
            <w:r>
              <w:rPr>
                <w:b w:val="false"/>
                <w:bCs w:val="false"/>
                <w:sz w:val="20"/>
                <w:szCs w:val="20"/>
              </w:rPr>
              <w:t xml:space="preserve">academic_years, terms, divisions, levels, classes, subjects, teacher_assignments</w:t>
            </w:r>
          </w:p>
        </w:tc>
      </w:tr>
      <w:tr>
        <w:tc>
          <w:tcPr>
            <w:tcW w:type="dxa" w:w="2100"/>
            <w:tcMar>
              <w:top w:type="dxa" w:w="60"/>
              <w:left w:type="dxa" w:w="100"/>
              <w:bottom w:type="dxa" w:w="60"/>
              <w:right w:type="dxa" w:w="100"/>
            </w:tcMar>
            <w:vAlign w:val="center"/>
          </w:tcPr>
          <w:p>
            <w:r>
              <w:rPr>
                <w:b w:val="false"/>
                <w:bCs w:val="false"/>
                <w:sz w:val="20"/>
                <w:szCs w:val="20"/>
              </w:rPr>
              <w:t xml:space="preserve">Assessment</w:t>
            </w:r>
          </w:p>
        </w:tc>
        <w:tc>
          <w:tcPr>
            <w:tcW w:type="dxa" w:w="7250"/>
            <w:tcMar>
              <w:top w:type="dxa" w:w="60"/>
              <w:left w:type="dxa" w:w="100"/>
              <w:bottom w:type="dxa" w:w="60"/>
              <w:right w:type="dxa" w:w="100"/>
            </w:tcMar>
            <w:vAlign w:val="center"/>
          </w:tcPr>
          <w:p>
            <w:r>
              <w:rPr>
                <w:b w:val="false"/>
                <w:bCs w:val="false"/>
                <w:sz w:val="20"/>
                <w:szCs w:val="20"/>
              </w:rPr>
              <w:t xml:space="preserve">assessment_configurations, assessments, scores, grading_policies, results, result_versions</w:t>
            </w:r>
          </w:p>
        </w:tc>
      </w:tr>
      <w:tr>
        <w:tc>
          <w:tcPr>
            <w:tcW w:type="dxa" w:w="2100"/>
            <w:shd w:fill="DCE6F1" w:val="clear"/>
            <w:tcMar>
              <w:top w:type="dxa" w:w="60"/>
              <w:left w:type="dxa" w:w="100"/>
              <w:bottom w:type="dxa" w:w="60"/>
              <w:right w:type="dxa" w:w="100"/>
            </w:tcMar>
            <w:vAlign w:val="center"/>
          </w:tcPr>
          <w:p>
            <w:r>
              <w:rPr>
                <w:b w:val="false"/>
                <w:bCs w:val="false"/>
                <w:sz w:val="20"/>
                <w:szCs w:val="20"/>
              </w:rPr>
              <w:t xml:space="preserve">Finance (school)</w:t>
            </w:r>
          </w:p>
        </w:tc>
        <w:tc>
          <w:tcPr>
            <w:tcW w:type="dxa" w:w="7250"/>
            <w:shd w:fill="DCE6F1" w:val="clear"/>
            <w:tcMar>
              <w:top w:type="dxa" w:w="60"/>
              <w:left w:type="dxa" w:w="100"/>
              <w:bottom w:type="dxa" w:w="60"/>
              <w:right w:type="dxa" w:w="100"/>
            </w:tcMar>
            <w:vAlign w:val="center"/>
          </w:tcPr>
          <w:p>
            <w:r>
              <w:rPr>
                <w:b w:val="false"/>
                <w:bCs w:val="false"/>
                <w:sz w:val="20"/>
                <w:szCs w:val="20"/>
              </w:rPr>
              <w:t xml:space="preserve">fee_structures, invoices, invoice_items, payments, allocations, reversals, reconciliations</w:t>
            </w:r>
          </w:p>
        </w:tc>
      </w:tr>
      <w:tr>
        <w:tc>
          <w:tcPr>
            <w:tcW w:type="dxa" w:w="2100"/>
            <w:tcMar>
              <w:top w:type="dxa" w:w="60"/>
              <w:left w:type="dxa" w:w="100"/>
              <w:bottom w:type="dxa" w:w="60"/>
              <w:right w:type="dxa" w:w="100"/>
            </w:tcMar>
            <w:vAlign w:val="center"/>
          </w:tcPr>
          <w:p>
            <w:r>
              <w:rPr>
                <w:b w:val="false"/>
                <w:bCs w:val="false"/>
                <w:sz w:val="20"/>
                <w:szCs w:val="20"/>
              </w:rPr>
              <w:t xml:space="preserve">Finance (platform)</w:t>
            </w:r>
          </w:p>
        </w:tc>
        <w:tc>
          <w:tcPr>
            <w:tcW w:type="dxa" w:w="7250"/>
            <w:tcMar>
              <w:top w:type="dxa" w:w="60"/>
              <w:left w:type="dxa" w:w="100"/>
              <w:bottom w:type="dxa" w:w="60"/>
              <w:right w:type="dxa" w:w="100"/>
            </w:tcMar>
            <w:vAlign w:val="center"/>
          </w:tcPr>
          <w:p>
            <w:r>
              <w:rPr>
                <w:b w:val="false"/>
                <w:bCs w:val="false"/>
                <w:sz w:val="20"/>
                <w:szCs w:val="20"/>
              </w:rPr>
              <w:t xml:space="preserve">platform_invoices, platform_payments — structurally isolated from school finance tables</w:t>
            </w:r>
          </w:p>
        </w:tc>
      </w:tr>
      <w:tr>
        <w:tc>
          <w:tcPr>
            <w:tcW w:type="dxa" w:w="2100"/>
            <w:shd w:fill="DCE6F1" w:val="clear"/>
            <w:tcMar>
              <w:top w:type="dxa" w:w="60"/>
              <w:left w:type="dxa" w:w="100"/>
              <w:bottom w:type="dxa" w:w="60"/>
              <w:right w:type="dxa" w:w="100"/>
            </w:tcMar>
            <w:vAlign w:val="center"/>
          </w:tcPr>
          <w:p>
            <w:r>
              <w:rPr>
                <w:b w:val="false"/>
                <w:bCs w:val="false"/>
                <w:sz w:val="20"/>
                <w:szCs w:val="20"/>
              </w:rPr>
              <w:t xml:space="preserve">Operations</w:t>
            </w:r>
          </w:p>
        </w:tc>
        <w:tc>
          <w:tcPr>
            <w:tcW w:type="dxa" w:w="7250"/>
            <w:shd w:fill="DCE6F1" w:val="clear"/>
            <w:tcMar>
              <w:top w:type="dxa" w:w="60"/>
              <w:left w:type="dxa" w:w="100"/>
              <w:bottom w:type="dxa" w:w="60"/>
              <w:right w:type="dxa" w:w="100"/>
            </w:tcMar>
            <w:vAlign w:val="center"/>
          </w:tcPr>
          <w:p>
            <w:r>
              <w:rPr>
                <w:b w:val="false"/>
                <w:bCs w:val="false"/>
                <w:sz w:val="20"/>
                <w:szCs w:val="20"/>
              </w:rPr>
              <w:t xml:space="preserve">documents, library_items, transport_routes, health_records, discipline_cases, inventory_items</w:t>
            </w:r>
          </w:p>
        </w:tc>
      </w:tr>
      <w:tr>
        <w:tc>
          <w:tcPr>
            <w:tcW w:type="dxa" w:w="2100"/>
            <w:tcMar>
              <w:top w:type="dxa" w:w="60"/>
              <w:left w:type="dxa" w:w="100"/>
              <w:bottom w:type="dxa" w:w="60"/>
              <w:right w:type="dxa" w:w="100"/>
            </w:tcMar>
            <w:vAlign w:val="center"/>
          </w:tcPr>
          <w:p>
            <w:r>
              <w:rPr>
                <w:b w:val="false"/>
                <w:bCs w:val="false"/>
                <w:sz w:val="20"/>
                <w:szCs w:val="20"/>
              </w:rPr>
              <w:t xml:space="preserve">Governance</w:t>
            </w:r>
          </w:p>
        </w:tc>
        <w:tc>
          <w:tcPr>
            <w:tcW w:type="dxa" w:w="7250"/>
            <w:tcMar>
              <w:top w:type="dxa" w:w="60"/>
              <w:left w:type="dxa" w:w="100"/>
              <w:bottom w:type="dxa" w:w="60"/>
              <w:right w:type="dxa" w:w="100"/>
            </w:tcMar>
            <w:vAlign w:val="center"/>
          </w:tcPr>
          <w:p>
            <w:r>
              <w:rPr>
                <w:b w:val="false"/>
                <w:bCs w:val="false"/>
                <w:sz w:val="20"/>
                <w:szCs w:val="20"/>
              </w:rPr>
              <w:t xml:space="preserve">workflows, workflow_instances, notifications, notification_deliveries, reports, audit_logs, jobs</w:t>
            </w:r>
          </w:p>
        </w:tc>
      </w:tr>
    </w:tbl>
    <w:p>
      <w:pPr>
        <w:pStyle w:val="Heading2"/>
        <w:spacing w:after="100" w:before="220"/>
      </w:pPr>
      <w:r>
        <w:rPr>
          <w:b/>
          <w:bCs/>
        </w:rPr>
        <w:t xml:space="preserve">31.3 Representative Table Definitions</w:t>
      </w:r>
    </w:p>
    <w:p>
      <w:pPr>
        <w:spacing w:after="120"/>
      </w:pPr>
      <w:r>
        <w:rPr>
          <w:b w:val="false"/>
          <w:bCs w:val="false"/>
          <w:i w:val="false"/>
          <w:iCs w:val="false"/>
        </w:rPr>
        <w:t xml:space="preserve">Illustrative, not exhaustive — the full data dictionary is a build-phase deliverable (Chapter 44) traced back to these entities.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r>
              <w:rPr>
                <w:b/>
                <w:bCs/>
                <w:color w:val="FFFFFF"/>
                <w:sz w:val="20"/>
                <w:szCs w:val="20"/>
              </w:rPr>
              <w:t xml:space="preserve">Table</w:t>
            </w:r>
          </w:p>
        </w:tc>
        <w:tc>
          <w:tcPr>
            <w:tcW w:type="dxa" w:w="7150"/>
            <w:shd w:fill="1F3864" w:val="clear"/>
            <w:tcMar>
              <w:top w:type="dxa" w:w="60"/>
              <w:left w:type="dxa" w:w="100"/>
              <w:bottom w:type="dxa" w:w="60"/>
              <w:right w:type="dxa" w:w="100"/>
            </w:tcMar>
            <w:vAlign w:val="center"/>
          </w:tcPr>
          <w:p>
            <w:r>
              <w:rPr>
                <w:b/>
                <w:bCs/>
                <w:color w:val="FFFFFF"/>
                <w:sz w:val="20"/>
                <w:szCs w:val="20"/>
              </w:rPr>
              <w:t xml:space="preserve">Key columns</w:t>
            </w:r>
          </w:p>
        </w:tc>
      </w:tr>
      <w:tr>
        <w:tc>
          <w:tcPr>
            <w:tcW w:type="dxa" w:w="2200"/>
            <w:tcMar>
              <w:top w:type="dxa" w:w="60"/>
              <w:left w:type="dxa" w:w="100"/>
              <w:bottom w:type="dxa" w:w="60"/>
              <w:right w:type="dxa" w:w="100"/>
            </w:tcMar>
            <w:vAlign w:val="center"/>
          </w:tcPr>
          <w:p>
            <w:r>
              <w:rPr>
                <w:b w:val="false"/>
                <w:bCs w:val="false"/>
                <w:sz w:val="20"/>
                <w:szCs w:val="20"/>
              </w:rPr>
              <w:t xml:space="preserve">students</w:t>
            </w:r>
          </w:p>
        </w:tc>
        <w:tc>
          <w:tcPr>
            <w:tcW w:type="dxa" w:w="7150"/>
            <w:tcMar>
              <w:top w:type="dxa" w:w="60"/>
              <w:left w:type="dxa" w:w="100"/>
              <w:bottom w:type="dxa" w:w="60"/>
              <w:right w:type="dxa" w:w="100"/>
            </w:tcMar>
            <w:vAlign w:val="center"/>
          </w:tcPr>
          <w:p>
            <w:r>
              <w:rPr>
                <w:b w:val="false"/>
                <w:bCs w:val="false"/>
                <w:sz w:val="20"/>
                <w:szCs w:val="20"/>
              </w:rPr>
              <w:t xml:space="preserve">id (uuid pk), tenant_id, school_id, admission_no, first_name, last_name, dob, gender, status, created_at, updated_at</w:t>
            </w:r>
          </w:p>
        </w:tc>
      </w:tr>
      <w:tr>
        <w:tc>
          <w:tcPr>
            <w:tcW w:type="dxa" w:w="2200"/>
            <w:shd w:fill="DCE6F1" w:val="clear"/>
            <w:tcMar>
              <w:top w:type="dxa" w:w="60"/>
              <w:left w:type="dxa" w:w="100"/>
              <w:bottom w:type="dxa" w:w="60"/>
              <w:right w:type="dxa" w:w="100"/>
            </w:tcMar>
            <w:vAlign w:val="center"/>
          </w:tcPr>
          <w:p>
            <w:r>
              <w:rPr>
                <w:b w:val="false"/>
                <w:bCs w:val="false"/>
                <w:sz w:val="20"/>
                <w:szCs w:val="20"/>
              </w:rPr>
              <w:t xml:space="preserve">enrolments</w:t>
            </w:r>
          </w:p>
        </w:tc>
        <w:tc>
          <w:tcPr>
            <w:tcW w:type="dxa" w:w="7150"/>
            <w:shd w:fill="DCE6F1" w:val="clear"/>
            <w:tcMar>
              <w:top w:type="dxa" w:w="60"/>
              <w:left w:type="dxa" w:w="100"/>
              <w:bottom w:type="dxa" w:w="60"/>
              <w:right w:type="dxa" w:w="100"/>
            </w:tcMar>
            <w:vAlign w:val="center"/>
          </w:tcPr>
          <w:p>
            <w:r>
              <w:rPr>
                <w:b w:val="false"/>
                <w:bCs w:val="false"/>
                <w:sz w:val="20"/>
                <w:szCs w:val="20"/>
              </w:rPr>
              <w:t xml:space="preserve">id (pk), tenant_id, student_id (fk→students), academic_year_id, class_id, status, start_date, end_date, closed_reason</w:t>
            </w:r>
          </w:p>
        </w:tc>
      </w:tr>
      <w:tr>
        <w:tc>
          <w:tcPr>
            <w:tcW w:type="dxa" w:w="2200"/>
            <w:tcMar>
              <w:top w:type="dxa" w:w="60"/>
              <w:left w:type="dxa" w:w="100"/>
              <w:bottom w:type="dxa" w:w="60"/>
              <w:right w:type="dxa" w:w="100"/>
            </w:tcMar>
            <w:vAlign w:val="center"/>
          </w:tcPr>
          <w:p>
            <w:r>
              <w:rPr>
                <w:b w:val="false"/>
                <w:bCs w:val="false"/>
                <w:sz w:val="20"/>
                <w:szCs w:val="20"/>
              </w:rPr>
              <w:t xml:space="preserve">invoices</w:t>
            </w:r>
          </w:p>
        </w:tc>
        <w:tc>
          <w:tcPr>
            <w:tcW w:type="dxa" w:w="7150"/>
            <w:tcMar>
              <w:top w:type="dxa" w:w="60"/>
              <w:left w:type="dxa" w:w="100"/>
              <w:bottom w:type="dxa" w:w="60"/>
              <w:right w:type="dxa" w:w="100"/>
            </w:tcMar>
            <w:vAlign w:val="center"/>
          </w:tcPr>
          <w:p>
            <w:r>
              <w:rPr>
                <w:b w:val="false"/>
                <w:bCs w:val="false"/>
                <w:sz w:val="20"/>
                <w:szCs w:val="20"/>
              </w:rPr>
              <w:t xml:space="preserve">id (pk), tenant_id, school_id, student_id, invoice_no (unique per tenant), term_id, total_amount, currency, status, issued_at</w:t>
            </w:r>
          </w:p>
        </w:tc>
      </w:tr>
      <w:tr>
        <w:tc>
          <w:tcPr>
            <w:tcW w:type="dxa" w:w="2200"/>
            <w:shd w:fill="DCE6F1" w:val="clear"/>
            <w:tcMar>
              <w:top w:type="dxa" w:w="60"/>
              <w:left w:type="dxa" w:w="100"/>
              <w:bottom w:type="dxa" w:w="60"/>
              <w:right w:type="dxa" w:w="100"/>
            </w:tcMar>
            <w:vAlign w:val="center"/>
          </w:tcPr>
          <w:p>
            <w:r>
              <w:rPr>
                <w:b w:val="false"/>
                <w:bCs w:val="false"/>
                <w:sz w:val="20"/>
                <w:szCs w:val="20"/>
              </w:rPr>
              <w:t xml:space="preserve">payments</w:t>
            </w:r>
          </w:p>
        </w:tc>
        <w:tc>
          <w:tcPr>
            <w:tcW w:type="dxa" w:w="7150"/>
            <w:shd w:fill="DCE6F1" w:val="clear"/>
            <w:tcMar>
              <w:top w:type="dxa" w:w="60"/>
              <w:left w:type="dxa" w:w="100"/>
              <w:bottom w:type="dxa" w:w="60"/>
              <w:right w:type="dxa" w:w="100"/>
            </w:tcMar>
            <w:vAlign w:val="center"/>
          </w:tcPr>
          <w:p>
            <w:r>
              <w:rPr>
                <w:b w:val="false"/>
                <w:bCs w:val="false"/>
                <w:sz w:val="20"/>
                <w:szCs w:val="20"/>
              </w:rPr>
              <w:t xml:space="preserve">id (pk), tenant_id, school_id, provider, provider_ref (unique per tenant+provider), amount, currency, status, received_at, idempotency_key</w:t>
            </w:r>
          </w:p>
        </w:tc>
      </w:tr>
      <w:tr>
        <w:tc>
          <w:tcPr>
            <w:tcW w:type="dxa" w:w="2200"/>
            <w:tcMar>
              <w:top w:type="dxa" w:w="60"/>
              <w:left w:type="dxa" w:w="100"/>
              <w:bottom w:type="dxa" w:w="60"/>
              <w:right w:type="dxa" w:w="100"/>
            </w:tcMar>
            <w:vAlign w:val="center"/>
          </w:tcPr>
          <w:p>
            <w:r>
              <w:rPr>
                <w:b w:val="false"/>
                <w:bCs w:val="false"/>
                <w:sz w:val="20"/>
                <w:szCs w:val="20"/>
              </w:rPr>
              <w:t xml:space="preserve">allocations</w:t>
            </w:r>
          </w:p>
        </w:tc>
        <w:tc>
          <w:tcPr>
            <w:tcW w:type="dxa" w:w="7150"/>
            <w:tcMar>
              <w:top w:type="dxa" w:w="60"/>
              <w:left w:type="dxa" w:w="100"/>
              <w:bottom w:type="dxa" w:w="60"/>
              <w:right w:type="dxa" w:w="100"/>
            </w:tcMar>
            <w:vAlign w:val="center"/>
          </w:tcPr>
          <w:p>
            <w:r>
              <w:rPr>
                <w:b w:val="false"/>
                <w:bCs w:val="false"/>
                <w:sz w:val="20"/>
                <w:szCs w:val="20"/>
              </w:rPr>
              <w:t xml:space="preserve">id (pk), tenant_id, payment_id (fk), invoice_item_id (fk), amount, created_at</w:t>
            </w:r>
          </w:p>
        </w:tc>
      </w:tr>
      <w:tr>
        <w:tc>
          <w:tcPr>
            <w:tcW w:type="dxa" w:w="2200"/>
            <w:shd w:fill="DCE6F1" w:val="clear"/>
            <w:tcMar>
              <w:top w:type="dxa" w:w="60"/>
              <w:left w:type="dxa" w:w="100"/>
              <w:bottom w:type="dxa" w:w="60"/>
              <w:right w:type="dxa" w:w="100"/>
            </w:tcMar>
            <w:vAlign w:val="center"/>
          </w:tcPr>
          <w:p>
            <w:r>
              <w:rPr>
                <w:b w:val="false"/>
                <w:bCs w:val="false"/>
                <w:sz w:val="20"/>
                <w:szCs w:val="20"/>
              </w:rPr>
              <w:t xml:space="preserve">results</w:t>
            </w:r>
          </w:p>
        </w:tc>
        <w:tc>
          <w:tcPr>
            <w:tcW w:type="dxa" w:w="7150"/>
            <w:shd w:fill="DCE6F1" w:val="clear"/>
            <w:tcMar>
              <w:top w:type="dxa" w:w="60"/>
              <w:left w:type="dxa" w:w="100"/>
              <w:bottom w:type="dxa" w:w="60"/>
              <w:right w:type="dxa" w:w="100"/>
            </w:tcMar>
            <w:vAlign w:val="center"/>
          </w:tcPr>
          <w:p>
            <w:r>
              <w:rPr>
                <w:b w:val="false"/>
                <w:bCs w:val="false"/>
                <w:sz w:val="20"/>
                <w:szCs w:val="20"/>
              </w:rPr>
              <w:t xml:space="preserve">id (pk), tenant_id, student_id, term_id, subject_id, grading_policy_version_id, status, version_no, published_at</w:t>
            </w:r>
          </w:p>
        </w:tc>
      </w:tr>
    </w:tbl>
    <w:p>
      <w:pPr>
        <w:spacing w:after="120"/>
      </w:pPr>
      <w:r>
        <w:rPr>
          <w:b w:val="false"/>
          <w:bCs w:val="false"/>
          <w:i w:val="false"/>
          <w:iCs w:val="false"/>
        </w:rPr>
        <w:t xml:space="preserve">31.4 Prohibited Relationships (retained from v1.0, extended)</w:t>
      </w:r>
    </w:p>
    <w:p>
      <w:pPr>
        <w:pStyle w:val="ListParagraph"/>
        <w:numPr>
          <w:ilvl w:val="0"/>
          <w:numId w:val="1"/>
        </w:numPr>
        <w:spacing w:after="60"/>
      </w:pPr>
      <w:r>
        <w:t xml:space="preserve">No row MAY reference a foreign key belonging to a different tenant_id.</w:t>
      </w:r>
    </w:p>
    <w:p>
      <w:pPr>
        <w:pStyle w:val="ListParagraph"/>
        <w:numPr>
          <w:ilvl w:val="0"/>
          <w:numId w:val="1"/>
        </w:numPr>
        <w:spacing w:after="60"/>
      </w:pPr>
      <w:r>
        <w:t xml:space="preserve">No score without valid assessment and enrolment.</w:t>
      </w:r>
    </w:p>
    <w:p>
      <w:pPr>
        <w:pStyle w:val="ListParagraph"/>
        <w:numPr>
          <w:ilvl w:val="0"/>
          <w:numId w:val="1"/>
        </w:numPr>
        <w:spacing w:after="60"/>
      </w:pPr>
      <w:r>
        <w:t xml:space="preserve">No report card without approved result version.</w:t>
      </w:r>
    </w:p>
    <w:p>
      <w:pPr>
        <w:pStyle w:val="ListParagraph"/>
        <w:numPr>
          <w:ilvl w:val="0"/>
          <w:numId w:val="1"/>
        </w:numPr>
        <w:spacing w:after="60"/>
      </w:pPr>
      <w:r>
        <w:t xml:space="preserve">No allocation without posted payment and invoice.</w:t>
      </w:r>
    </w:p>
    <w:p>
      <w:pPr>
        <w:pStyle w:val="ListParagraph"/>
        <w:numPr>
          <w:ilvl w:val="0"/>
          <w:numId w:val="1"/>
        </w:numPr>
        <w:spacing w:after="60"/>
      </w:pPr>
      <w:r>
        <w:t xml:space="preserve">No guardian access without active relationship.</w:t>
      </w:r>
    </w:p>
    <w:p>
      <w:pPr>
        <w:pStyle w:val="ListParagraph"/>
        <w:numPr>
          <w:ilvl w:val="0"/>
          <w:numId w:val="1"/>
        </w:numPr>
        <w:spacing w:after="60"/>
      </w:pPr>
      <w:r>
        <w:t xml:space="preserve">No teacher score entry outside assignment.</w:t>
      </w:r>
    </w:p>
    <w:p>
      <w:pPr>
        <w:pStyle w:val="ListParagraph"/>
        <w:numPr>
          <w:ilvl w:val="0"/>
          <w:numId w:val="1"/>
        </w:numPr>
        <w:spacing w:after="60"/>
      </w:pPr>
      <w:r>
        <w:t xml:space="preserve">No cross-school or cross-tenant relationship unless explicitly authorized under Chapter 3.</w:t>
      </w:r>
    </w:p>
    <w:p>
      <w:pPr>
        <w:pStyle w:val="Heading1"/>
        <w:pageBreakBefore/>
        <w:spacing w:after="200" w:before="240"/>
      </w:pPr>
      <w:r>
        <w:rPr>
          <w:b/>
          <w:bCs/>
        </w:rPr>
        <w:t xml:space="preserve">Chapter 32 — API Architecture &amp; Service Contracts</w:t>
      </w:r>
    </w:p>
    <w:p>
      <w:pPr>
        <w:pStyle w:val="Heading2"/>
        <w:spacing w:after="100" w:before="220"/>
      </w:pPr>
      <w:r>
        <w:rPr>
          <w:b/>
          <w:bCs/>
        </w:rPr>
        <w:t xml:space="preserve">32.1 Requirements</w:t>
      </w:r>
    </w:p>
    <w:p>
      <w:pPr>
        <w:pStyle w:val="ListParagraph"/>
        <w:numPr>
          <w:ilvl w:val="0"/>
          <w:numId w:val="1"/>
        </w:numPr>
        <w:spacing w:after="60"/>
      </w:pPr>
      <w:r>
        <w:t xml:space="preserve">FR-API-010: APIs expose authorized business capabilities only, never unrestricted database access; internal and external consumers use stable, versioned contracts with server-side validation, permissions, tenant scope and audit.</w:t>
      </w:r>
    </w:p>
    <w:p>
      <w:pPr>
        <w:pStyle w:val="ListParagraph"/>
        <w:numPr>
          <w:ilvl w:val="0"/>
          <w:numId w:val="1"/>
        </w:numPr>
        <w:spacing w:after="60"/>
      </w:pPr>
      <w:r>
        <w:t xml:space="preserve">FR-API-020: The API is versioned (URI-prefixed, e.g. /v1/) with a published deprecation policy of a minimum 6 months' notice before a version is retired.</w:t>
      </w:r>
    </w:p>
    <w:p>
      <w:pPr>
        <w:pStyle w:val="ListParagraph"/>
        <w:numPr>
          <w:ilvl w:val="0"/>
          <w:numId w:val="1"/>
        </w:numPr>
        <w:spacing w:after="60"/>
      </w:pPr>
      <w:r>
        <w:t xml:space="preserve">FR-API-030: Every authenticated request resolves exactly one tenant context from the caller's credentials before any handler executes; there is no code path in which a handler can be reached without a resolved tenant (platform-role requests included — see Chapter 3).</w:t>
      </w:r>
    </w:p>
    <w:p>
      <w:pPr>
        <w:pStyle w:val="ListParagraph"/>
        <w:numPr>
          <w:ilvl w:val="0"/>
          <w:numId w:val="1"/>
        </w:numPr>
        <w:spacing w:after="60"/>
      </w:pPr>
      <w:r>
        <w:t xml:space="preserve">FR-API-040: Rate limits are enforced per tenant and per user (NFR-PERF-010); limit responses use standard 429 semantics with a Retry-After header.</w:t>
      </w:r>
    </w:p>
    <w:p>
      <w:pPr>
        <w:pStyle w:val="ListParagraph"/>
        <w:numPr>
          <w:ilvl w:val="0"/>
          <w:numId w:val="1"/>
        </w:numPr>
        <w:spacing w:after="60"/>
      </w:pPr>
      <w:r>
        <w:t xml:space="preserve">FR-API-050: A partner/integration API tier (read-mostly, OAuth2 client-credentials, scoped per tenant) is defined for future accounting-system and LMS integrations, even where no integration ships in v1.</w:t>
      </w:r>
    </w:p>
    <w:p>
      <w:pPr>
        <w:pStyle w:val="Heading1"/>
        <w:pageBreakBefore/>
        <w:spacing w:after="200" w:before="240"/>
      </w:pPr>
      <w:r>
        <w:rPr>
          <w:b/>
          <w:bCs/>
        </w:rPr>
        <w:t xml:space="preserve">Chapter 33 — Application Security, Privacy &amp; Access Control</w:t>
      </w:r>
    </w:p>
    <w:p>
      <w:pPr>
        <w:pStyle w:val="Heading2"/>
        <w:spacing w:after="100" w:before="220"/>
      </w:pPr>
      <w:r>
        <w:rPr>
          <w:b/>
          <w:bCs/>
        </w:rPr>
        <w:t xml:space="preserve">33.1 Security Model</w:t>
      </w:r>
    </w:p>
    <w:p>
      <w:pPr>
        <w:spacing w:after="120"/>
      </w:pPr>
      <w:r>
        <w:rPr>
          <w:b w:val="false"/>
          <w:bCs w:val="false"/>
          <w:i w:val="false"/>
          <w:iCs w:val="false"/>
        </w:rPr>
        <w:t xml:space="preserve">Least privilege, defence in depth, explicit authorization, secure defaults, data minimization, segregation of duties, accountability and privacy by design — retained from v1.0, now explicitly including tenant isolation as a defence-in-depth layer (database RLS beneath application authorization).</w:t>
      </w:r>
    </w:p>
    <w:p>
      <w:pPr>
        <w:pStyle w:val="Heading2"/>
        <w:spacing w:after="100" w:before="220"/>
      </w:pPr>
      <w:r>
        <w:rPr>
          <w:b/>
          <w:bCs/>
        </w:rPr>
        <w:t xml:space="preserve">33.2 Authentication &amp; Authorization</w:t>
      </w:r>
    </w:p>
    <w:p>
      <w:pPr>
        <w:pStyle w:val="ListParagraph"/>
        <w:numPr>
          <w:ilvl w:val="0"/>
          <w:numId w:val="1"/>
        </w:numPr>
        <w:spacing w:after="60"/>
      </w:pPr>
      <w:r>
        <w:t xml:space="preserve">SEC-010: Unique named accounts; no shared operational accounts.</w:t>
      </w:r>
    </w:p>
    <w:p>
      <w:pPr>
        <w:pStyle w:val="ListParagraph"/>
        <w:numPr>
          <w:ilvl w:val="0"/>
          <w:numId w:val="1"/>
        </w:numPr>
        <w:spacing w:after="60"/>
      </w:pPr>
      <w:r>
        <w:t xml:space="preserve">SEC-020: Adaptive password hashing (Argon2id or bcrypt); rate-limited login and secure reset.</w:t>
      </w:r>
    </w:p>
    <w:p>
      <w:pPr>
        <w:pStyle w:val="ListParagraph"/>
        <w:numPr>
          <w:ilvl w:val="0"/>
          <w:numId w:val="1"/>
        </w:numPr>
        <w:spacing w:after="60"/>
      </w:pPr>
      <w:r>
        <w:t xml:space="preserve">SEC-030: MFA mandatory for all platform roles (Chapter 3) and for school Proprietor/Administrator roles; optional and encouraged elsewhere.</w:t>
      </w:r>
    </w:p>
    <w:p>
      <w:pPr>
        <w:pStyle w:val="ListParagraph"/>
        <w:numPr>
          <w:ilvl w:val="0"/>
          <w:numId w:val="1"/>
        </w:numPr>
        <w:spacing w:after="60"/>
      </w:pPr>
      <w:r>
        <w:t xml:space="preserve">SEC-040: Secure session cookies, rotation, timeout and revocation.</w:t>
      </w:r>
    </w:p>
    <w:p>
      <w:pPr>
        <w:pStyle w:val="ListParagraph"/>
        <w:numPr>
          <w:ilvl w:val="0"/>
          <w:numId w:val="1"/>
        </w:numPr>
        <w:spacing w:after="60"/>
      </w:pPr>
      <w:r>
        <w:t xml:space="preserve">SEC-050: Effective access combines active role, permission, tenant scope, record relationship, record state, workflow authority and delegation; view/edit/approve/publish/reverse/export remain separately grantable.</w:t>
      </w:r>
    </w:p>
    <w:p>
      <w:pPr>
        <w:pStyle w:val="Heading2"/>
        <w:spacing w:after="100" w:before="220"/>
      </w:pPr>
      <w:r>
        <w:rPr>
          <w:b/>
          <w:bCs/>
        </w:rPr>
        <w:t xml:space="preserve">33.3 Segregation of Duties</w:t>
      </w:r>
    </w:p>
    <w:p>
      <w:pPr>
        <w:pStyle w:val="ListParagraph"/>
        <w:numPr>
          <w:ilvl w:val="0"/>
          <w:numId w:val="1"/>
        </w:numPr>
        <w:spacing w:after="60"/>
      </w:pPr>
      <w:r>
        <w:t xml:space="preserve">Cashier cannot approve own reversal.</w:t>
      </w:r>
    </w:p>
    <w:p>
      <w:pPr>
        <w:pStyle w:val="ListParagraph"/>
        <w:numPr>
          <w:ilvl w:val="0"/>
          <w:numId w:val="1"/>
        </w:numPr>
        <w:spacing w:after="60"/>
      </w:pPr>
      <w:r>
        <w:t xml:space="preserve">Score entry is separate from final publication.</w:t>
      </w:r>
    </w:p>
    <w:p>
      <w:pPr>
        <w:pStyle w:val="ListParagraph"/>
        <w:numPr>
          <w:ilvl w:val="0"/>
          <w:numId w:val="1"/>
        </w:numPr>
        <w:spacing w:after="60"/>
      </w:pPr>
      <w:r>
        <w:t xml:space="preserve">High-privilege role assignment receives extra review.</w:t>
      </w:r>
    </w:p>
    <w:p>
      <w:pPr>
        <w:pStyle w:val="ListParagraph"/>
        <w:numPr>
          <w:ilvl w:val="0"/>
          <w:numId w:val="1"/>
        </w:numPr>
        <w:spacing w:after="60"/>
      </w:pPr>
      <w:r>
        <w:t xml:space="preserve">Backup creation and production restoration are distinct authorities.</w:t>
      </w:r>
    </w:p>
    <w:p>
      <w:pPr>
        <w:pStyle w:val="ListParagraph"/>
        <w:numPr>
          <w:ilvl w:val="0"/>
          <w:numId w:val="1"/>
        </w:numPr>
        <w:spacing w:after="60"/>
      </w:pPr>
      <w:r>
        <w:t xml:space="preserve">Platform Support Engineer impersonation cannot perform financial reversal or export without a second approver (TEN-021).</w:t>
      </w:r>
    </w:p>
    <w:p>
      <w:pPr>
        <w:pStyle w:val="Heading2"/>
        <w:spacing w:after="100" w:before="220"/>
      </w:pPr>
      <w:r>
        <w:rPr>
          <w:b/>
          <w:bCs/>
        </w:rPr>
        <w:t xml:space="preserve">33.4 Application Controls</w:t>
      </w:r>
    </w:p>
    <w:p>
      <w:pPr>
        <w:pStyle w:val="ListParagraph"/>
        <w:numPr>
          <w:ilvl w:val="0"/>
          <w:numId w:val="1"/>
        </w:numPr>
        <w:spacing w:after="60"/>
      </w:pPr>
      <w:r>
        <w:t xml:space="preserve">Parameterized database queries throughout — no string-built SQL.</w:t>
      </w:r>
    </w:p>
    <w:p>
      <w:pPr>
        <w:pStyle w:val="ListParagraph"/>
        <w:numPr>
          <w:ilvl w:val="0"/>
          <w:numId w:val="1"/>
        </w:numPr>
        <w:spacing w:after="60"/>
      </w:pPr>
      <w:r>
        <w:t xml:space="preserve">Output escaping and safe rich-text sanitization.</w:t>
      </w:r>
    </w:p>
    <w:p>
      <w:pPr>
        <w:pStyle w:val="ListParagraph"/>
        <w:numPr>
          <w:ilvl w:val="0"/>
          <w:numId w:val="1"/>
        </w:numPr>
        <w:spacing w:after="60"/>
      </w:pPr>
      <w:r>
        <w:t xml:space="preserve">CSRF protection and secure headers (CSP, HSTS, X-Content-Type-Options).</w:t>
      </w:r>
    </w:p>
    <w:p>
      <w:pPr>
        <w:pStyle w:val="ListParagraph"/>
        <w:numPr>
          <w:ilvl w:val="0"/>
          <w:numId w:val="1"/>
        </w:numPr>
        <w:spacing w:after="60"/>
      </w:pPr>
      <w:r>
        <w:t xml:space="preserve">File signature validation and private object storage with signed, expiring URLs.</w:t>
      </w:r>
    </w:p>
    <w:p>
      <w:pPr>
        <w:pStyle w:val="ListParagraph"/>
        <w:numPr>
          <w:ilvl w:val="0"/>
          <w:numId w:val="1"/>
        </w:numPr>
        <w:spacing w:after="60"/>
      </w:pPr>
      <w:r>
        <w:t xml:space="preserve">Protection from open redirects, SSRF, injection and path traversal.</w:t>
      </w:r>
    </w:p>
    <w:p>
      <w:pPr>
        <w:pStyle w:val="ListParagraph"/>
        <w:numPr>
          <w:ilvl w:val="0"/>
          <w:numId w:val="1"/>
        </w:numPr>
        <w:spacing w:after="60"/>
      </w:pPr>
      <w:r>
        <w:t xml:space="preserve">Secret management outside source control, via a dedicated secrets manager, scoped per environment and per tenant where credentials are tenant-specific (payment provider keys).</w:t>
      </w:r>
    </w:p>
    <w:p>
      <w:pPr>
        <w:pStyle w:val="Heading2"/>
        <w:spacing w:after="100" w:before="220"/>
      </w:pPr>
      <w:r>
        <w:rPr>
          <w:b/>
          <w:bCs/>
        </w:rPr>
        <w:t xml:space="preserve">33.5 Security Testing Gate (new — closes a Version 1.0 gap)</w:t>
      </w:r>
    </w:p>
    <w:p>
      <w:pPr>
        <w:spacing w:after="120"/>
      </w:pPr>
      <w:r>
        <w:rPr>
          <w:b w:val="false"/>
          <w:bCs w:val="false"/>
          <w:i w:val="false"/>
          <w:iCs w:val="false"/>
        </w:rPr>
        <w:t xml:space="preserve">NFR-SEC-020: The release pipeline (Chapter 45) MUST include, as blocking gates: static application security testing (SAST) on every pull request; dependency and container vulnerability scanning on every build; dynamic application security testing (DAST) against staging before promotion to production; and an independent penetration test at minimum annually and before General Availability. Critical or high findings block release until remediated or formally risk-accepted by a named security owner.</w:t>
      </w:r>
    </w:p>
    <w:p>
      <w:pPr>
        <w:pStyle w:val="Heading2"/>
        <w:spacing w:after="100" w:before="220"/>
      </w:pPr>
      <w:r>
        <w:rPr>
          <w:b/>
          <w:bCs/>
        </w:rPr>
        <w:t xml:space="preserve">33.6 Data Protection &amp; Monitoring</w:t>
      </w:r>
    </w:p>
    <w:p>
      <w:pPr>
        <w:spacing w:after="120"/>
      </w:pPr>
      <w:r>
        <w:rPr>
          <w:b w:val="false"/>
          <w:bCs w:val="false"/>
          <w:i w:val="false"/>
          <w:iCs w:val="false"/>
        </w:rPr>
        <w:t xml:space="preserve">Security and business audit events are append-only for ordinary users. Children's, medical and discipline data use stricter minimization, retention, export and communication-channel rules (Volume V). Incident response follows: detect, classify, contain, preserve evidence, investigate, recover, notify authorized parties (including tenant administrators and, where required by law, the Data Protection Commission — Chapter 39), correct root cause and monitor.</w:t>
      </w:r>
    </w:p>
    <w:p>
      <w:pPr>
        <w:pStyle w:val="Heading2"/>
        <w:spacing w:after="100" w:before="220"/>
      </w:pPr>
      <w:r>
        <w:rPr>
          <w:b/>
          <w:bCs/>
        </w:rPr>
        <w:t xml:space="preserve">33.7 Non-Production Data Handling</w:t>
      </w:r>
    </w:p>
    <w:p>
      <w:pPr>
        <w:spacing w:after="120"/>
      </w:pPr>
      <w:r>
        <w:rPr>
          <w:b w:val="false"/>
          <w:bCs w:val="false"/>
          <w:i w:val="false"/>
          <w:iCs w:val="false"/>
        </w:rPr>
        <w:t xml:space="preserve">SEC-060: Production tenant data, in particular any child's personal, medical or biometric data, MUST NOT be copied into a non-production environment. Test and staging environments use a synthetic data generator that produces realistic but entirely fictitious Nursery-to-JHS data at representative volume.</w:t>
      </w:r>
    </w:p>
    <w:p>
      <w:pPr>
        <w:pStyle w:val="Heading1"/>
        <w:pageBreakBefore/>
        <w:spacing w:after="200" w:before="240"/>
      </w:pPr>
      <w:r>
        <w:rPr>
          <w:b/>
          <w:bCs/>
        </w:rPr>
        <w:t xml:space="preserve">Chapter 34 — Frontend Architecture, UX &amp; Offline/PWA Strategy</w:t>
      </w:r>
    </w:p>
    <w:p>
      <w:pPr>
        <w:pStyle w:val="Heading2"/>
        <w:spacing w:after="100" w:before="220"/>
      </w:pPr>
      <w:r>
        <w:rPr>
          <w:b/>
          <w:bCs/>
        </w:rPr>
        <w:t xml:space="preserve">34.1 Application Shell</w:t>
      </w:r>
    </w:p>
    <w:p>
      <w:pPr>
        <w:pStyle w:val="ListParagraph"/>
        <w:numPr>
          <w:ilvl w:val="0"/>
          <w:numId w:val="1"/>
        </w:numPr>
        <w:spacing w:after="60"/>
      </w:pPr>
      <w:r>
        <w:t xml:space="preserve">Header with tenant/school branding, context switcher (for multi-school tenants), search, notifications and user menu.</w:t>
      </w:r>
    </w:p>
    <w:p>
      <w:pPr>
        <w:pStyle w:val="ListParagraph"/>
        <w:numPr>
          <w:ilvl w:val="0"/>
          <w:numId w:val="1"/>
        </w:numPr>
        <w:spacing w:after="60"/>
      </w:pPr>
      <w:r>
        <w:t xml:space="preserve">Permission-generated collapsible sidebar.</w:t>
      </w:r>
    </w:p>
    <w:p>
      <w:pPr>
        <w:pStyle w:val="ListParagraph"/>
        <w:numPr>
          <w:ilvl w:val="0"/>
          <w:numId w:val="1"/>
        </w:numPr>
        <w:spacing w:after="60"/>
      </w:pPr>
      <w:r>
        <w:t xml:space="preserve">Main content with breadcrumbs; responsive drawer on small screens.</w:t>
      </w:r>
    </w:p>
    <w:p>
      <w:pPr>
        <w:pStyle w:val="ListParagraph"/>
        <w:numPr>
          <w:ilvl w:val="0"/>
          <w:numId w:val="1"/>
        </w:numPr>
        <w:spacing w:after="60"/>
      </w:pPr>
      <w:r>
        <w:t xml:space="preserve">Visible active academic year, term and campus.</w:t>
      </w:r>
    </w:p>
    <w:p>
      <w:pPr>
        <w:pStyle w:val="Heading2"/>
        <w:spacing w:after="100" w:before="220"/>
      </w:pPr>
      <w:r>
        <w:rPr>
          <w:b/>
          <w:bCs/>
        </w:rPr>
        <w:t xml:space="preserve">34.2 Design System</w:t>
      </w:r>
    </w:p>
    <w:p>
      <w:pPr>
        <w:spacing w:after="120"/>
      </w:pPr>
      <w:r>
        <w:rPr>
          <w:b w:val="false"/>
          <w:bCs w:val="false"/>
          <w:i w:val="false"/>
          <w:iCs w:val="false"/>
        </w:rPr>
        <w:t xml:space="preserve">Central design tokens govern colour, typography, spacing and breakpoints, with a tenant-branding layer (logo, primary colour, report letterhead) applied on top without forking the underlying component library.</w:t>
      </w:r>
    </w:p>
    <w:p>
      <w:pPr>
        <w:pStyle w:val="Heading2"/>
        <w:spacing w:after="100" w:before="220"/>
      </w:pPr>
      <w:r>
        <w:rPr>
          <w:b/>
          <w:bCs/>
        </w:rPr>
        <w:t xml:space="preserve">34.3 Offline &amp; PWA Strategy (new — closes a Version 1.0 gap)</w:t>
      </w:r>
    </w:p>
    <w:p>
      <w:pPr>
        <w:pStyle w:val="ListParagraph"/>
        <w:numPr>
          <w:ilvl w:val="0"/>
          <w:numId w:val="1"/>
        </w:numPr>
        <w:spacing w:after="60"/>
      </w:pPr>
      <w:r>
        <w:t xml:space="preserve">FR-UX-010: The web application is installable as a Progressive Web App on Android devices, the dominant device class among parents and teachers in this market.</w:t>
      </w:r>
    </w:p>
    <w:p>
      <w:pPr>
        <w:pStyle w:val="ListParagraph"/>
        <w:numPr>
          <w:ilvl w:val="0"/>
          <w:numId w:val="1"/>
        </w:numPr>
        <w:spacing w:after="60"/>
      </w:pPr>
      <w:r>
        <w:t xml:space="preserve">FR-UX-020: Attendance registers and score entry (the two highest-frequency, most connectivity-sensitive workflows) MUST be usable offline: the required data (roster, assessment structure) is pre-fetched and cached when connectivity is available, entries are queued locally (IndexedDB) when it is not, and a background sync process pushes queued entries once connectivity returns, per the conflict rule in FR-ATT-011.</w:t>
      </w:r>
    </w:p>
    <w:p>
      <w:pPr>
        <w:pStyle w:val="ListParagraph"/>
        <w:numPr>
          <w:ilvl w:val="0"/>
          <w:numId w:val="1"/>
        </w:numPr>
        <w:spacing w:after="60"/>
      </w:pPr>
      <w:r>
        <w:t xml:space="preserve">FR-UX-030: The interface MUST show a persistent, unambiguous online/offline/syncing indicator, and MUST NOT allow a user to believe an offline-queued action has reached the server until sync confirms it.</w:t>
      </w:r>
    </w:p>
    <w:p>
      <w:pPr>
        <w:pStyle w:val="ListParagraph"/>
        <w:numPr>
          <w:ilvl w:val="0"/>
          <w:numId w:val="1"/>
        </w:numPr>
        <w:spacing w:after="60"/>
      </w:pPr>
      <w:r>
        <w:t xml:space="preserve">FR-UX-040: Pages MUST be designed for low data usage — no unbounded image loads, paginated lists by default, and a data-saver mode for report viewing.</w:t>
      </w:r>
    </w:p>
    <w:p>
      <w:pPr>
        <w:pStyle w:val="Heading2"/>
        <w:spacing w:after="100" w:before="220"/>
      </w:pPr>
      <w:r>
        <w:rPr>
          <w:b/>
          <w:bCs/>
        </w:rPr>
        <w:t xml:space="preserve">34.4 Accessibility</w:t>
      </w:r>
    </w:p>
    <w:p>
      <w:pPr>
        <w:spacing w:after="120"/>
      </w:pPr>
      <w:r>
        <w:rPr>
          <w:b w:val="false"/>
          <w:bCs w:val="false"/>
          <w:i w:val="false"/>
          <w:iCs w:val="false"/>
        </w:rPr>
        <w:t xml:space="preserve">See Chapter 42 for the binding WCAG 2.1 AA standard and its CI enforcement. Keyboard access, screen-reader labelling, contrast, focus management, zoom and reduced-motion support are implemented against that standard, not against an unspecified general notion of "accessible."</w:t>
      </w:r>
    </w:p>
    <w:p>
      <w:pPr>
        <w:pStyle w:val="Heading2"/>
        <w:spacing w:after="100" w:before="220"/>
      </w:pPr>
      <w:r>
        <w:rPr>
          <w:b/>
          <w:bCs/>
        </w:rPr>
        <w:t xml:space="preserve">34.5 State and Security</w:t>
      </w:r>
    </w:p>
    <w:p>
      <w:pPr>
        <w:spacing w:after="120"/>
      </w:pPr>
      <w:r>
        <w:rPr>
          <w:b w:val="false"/>
          <w:bCs w:val="false"/>
          <w:i w:val="false"/>
          <w:iCs w:val="false"/>
        </w:rPr>
        <w:t xml:space="preserve">Loading, success, error, offline, empty and restricted states are visually distinct. The frontend hides unavailable actions for usability, but the server remains the sole authority — no client-side check is ever treated as sufficient authorization.</w:t>
      </w:r>
    </w:p>
    <w:p>
      <w:pPr>
        <w:pStyle w:val="Heading1"/>
        <w:pageBreakBefore/>
        <w:spacing w:after="200" w:before="240"/>
      </w:pPr>
      <w:r>
        <w:rPr>
          <w:b/>
          <w:bCs/>
        </w:rPr>
        <w:t xml:space="preserve">Chapter 35 — Background Jobs, Reporting &amp; Integration Architecture</w:t>
      </w:r>
    </w:p>
    <w:p>
      <w:pPr>
        <w:pStyle w:val="Heading2"/>
        <w:spacing w:after="100" w:before="220"/>
      </w:pPr>
      <w:r>
        <w:rPr>
          <w:b/>
          <w:bCs/>
        </w:rPr>
        <w:t xml:space="preserve">35.1 Background Jobs</w:t>
      </w:r>
    </w:p>
    <w:p>
      <w:pPr>
        <w:pStyle w:val="ListParagraph"/>
        <w:numPr>
          <w:ilvl w:val="0"/>
          <w:numId w:val="1"/>
        </w:numPr>
        <w:spacing w:after="60"/>
      </w:pPr>
      <w:r>
        <w:t xml:space="preserve">FR-JOB-010: Schedules support one-time, daily, weekly, monthly, termly, yearly and event-triggered execution, evaluated in the tenant's configured time zone.</w:t>
      </w:r>
    </w:p>
    <w:p>
      <w:pPr>
        <w:pStyle w:val="ListParagraph"/>
        <w:numPr>
          <w:ilvl w:val="0"/>
          <w:numId w:val="1"/>
        </w:numPr>
        <w:spacing w:after="60"/>
      </w:pPr>
      <w:r>
        <w:t xml:space="preserve">FR-JOB-020: Bulk-operation jobs (report-card batch generation, mass notification, bulk import) run on the dedicated worker pool (NFR-PERF-011), never on request-serving capacity.</w:t>
      </w:r>
    </w:p>
    <w:p>
      <w:pPr>
        <w:pStyle w:val="ListParagraph"/>
        <w:numPr>
          <w:ilvl w:val="0"/>
          <w:numId w:val="1"/>
        </w:numPr>
        <w:spacing w:after="60"/>
      </w:pPr>
      <w:r>
        <w:t xml:space="preserve">FR-JOB-030: Every job records tenant_id, start, end, outcome and, on failure, a retry count and dead-letter path with alerting.</w:t>
      </w:r>
    </w:p>
    <w:p>
      <w:pPr>
        <w:pStyle w:val="Heading2"/>
        <w:spacing w:after="100" w:before="220"/>
      </w:pPr>
      <w:r>
        <w:rPr>
          <w:b/>
          <w:bCs/>
        </w:rPr>
        <w:t xml:space="preserve">35.2 Reporting &amp; Data-Projection Architecture</w:t>
      </w:r>
    </w:p>
    <w:p>
      <w:pPr>
        <w:spacing w:after="120"/>
      </w:pPr>
      <w:r>
        <w:rPr>
          <w:b w:val="false"/>
          <w:bCs w:val="false"/>
          <w:i w:val="false"/>
          <w:iCs w:val="false"/>
        </w:rPr>
        <w:t xml:space="preserve">FR-RPT-010: Reporting queries run against read-optimized projections (materialized views or a reporting replica), never against the primary transactional tables directly for anything beyond a single-record lookup, to protect interactive performance (Chapter 37) under concurrent tenant load.</w:t>
      </w:r>
    </w:p>
    <w:p>
      <w:pPr>
        <w:pStyle w:val="Heading1"/>
        <w:pageBreakBefore/>
        <w:spacing w:after="200" w:before="240"/>
      </w:pPr>
      <w:r>
        <w:rPr>
          <w:b/>
          <w:bCs/>
        </w:rPr>
        <w:t xml:space="preserve">Chapter 36 — External Integrations &amp; Provider Adapters</w:t>
      </w:r>
    </w:p>
    <w:p>
      <w:pPr>
        <w:pStyle w:val="Heading2"/>
        <w:spacing w:after="100" w:before="220"/>
      </w:pPr>
      <w:r>
        <w:rPr>
          <w:b/>
          <w:bCs/>
        </w:rPr>
        <w:t xml:space="preserve">36.1 Registry and Credentials</w:t>
      </w:r>
    </w:p>
    <w:p>
      <w:pPr>
        <w:spacing w:after="120"/>
      </w:pPr>
      <w:r>
        <w:rPr>
          <w:b w:val="false"/>
          <w:bCs w:val="false"/>
          <w:i w:val="false"/>
          <w:iCs w:val="false"/>
        </w:rPr>
        <w:t xml:space="preserve">Each integration has type, provider, environment, owner, health, configuration reference and credential reference. Secrets remain outside code, are scoped per tenant where the integration is tenant-specific (payment gateways, WhatsApp sender), and are rotatable and separately managed for sandbox and production.</w:t>
      </w:r>
    </w:p>
    <w:p>
      <w:pPr>
        <w:pStyle w:val="Heading2"/>
        <w:spacing w:after="100" w:before="220"/>
      </w:pPr>
      <w:r>
        <w:rPr>
          <w:b/>
          <w:bCs/>
        </w:rPr>
        <w:t xml:space="preserve">36.2 Named Integrations at Launch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50"/>
      </w:tblGrid>
      <w:tr>
        <w:trPr>
          <w:tblHeader/>
        </w:trPr>
        <w:tc>
          <w:tcPr>
            <w:tcW w:type="dxa" w:w="2200"/>
            <w:shd w:fill="1F3864" w:val="clear"/>
            <w:tcMar>
              <w:top w:type="dxa" w:w="60"/>
              <w:left w:type="dxa" w:w="100"/>
              <w:bottom w:type="dxa" w:w="60"/>
              <w:right w:type="dxa" w:w="100"/>
            </w:tcMar>
            <w:vAlign w:val="center"/>
          </w:tcPr>
          <w:p>
            <w:r>
              <w:rPr>
                <w:b/>
                <w:bCs/>
                <w:color w:val="FFFFFF"/>
                <w:sz w:val="20"/>
                <w:szCs w:val="20"/>
              </w:rPr>
              <w:t xml:space="preserve">Category</w:t>
            </w:r>
          </w:p>
        </w:tc>
        <w:tc>
          <w:tcPr>
            <w:tcW w:type="dxa" w:w="4300"/>
            <w:shd w:fill="1F3864" w:val="clear"/>
            <w:tcMar>
              <w:top w:type="dxa" w:w="60"/>
              <w:left w:type="dxa" w:w="100"/>
              <w:bottom w:type="dxa" w:w="60"/>
              <w:right w:type="dxa" w:w="100"/>
            </w:tcMar>
            <w:vAlign w:val="center"/>
          </w:tcPr>
          <w:p>
            <w:r>
              <w:rPr>
                <w:b/>
                <w:bCs/>
                <w:color w:val="FFFFFF"/>
                <w:sz w:val="20"/>
                <w:szCs w:val="20"/>
              </w:rPr>
              <w:t xml:space="preserve">Provider(s)</w:t>
            </w:r>
          </w:p>
        </w:tc>
        <w:tc>
          <w:tcPr>
            <w:tcW w:type="dxa" w:w="2850"/>
            <w:shd w:fill="1F3864" w:val="clear"/>
            <w:tcMar>
              <w:top w:type="dxa" w:w="60"/>
              <w:left w:type="dxa" w:w="100"/>
              <w:bottom w:type="dxa" w:w="60"/>
              <w:right w:type="dxa" w:w="100"/>
            </w:tcMar>
            <w:vAlign w:val="center"/>
          </w:tcPr>
          <w:p>
            <w:r>
              <w:rPr>
                <w:b/>
                <w:bCs/>
                <w:color w:val="FFFFFF"/>
                <w:sz w:val="20"/>
                <w:szCs w:val="20"/>
              </w:rPr>
              <w:t xml:space="preserve">Reference</w:t>
            </w:r>
          </w:p>
        </w:tc>
      </w:tr>
      <w:tr>
        <w:tc>
          <w:tcPr>
            <w:tcW w:type="dxa" w:w="2200"/>
            <w:tcMar>
              <w:top w:type="dxa" w:w="60"/>
              <w:left w:type="dxa" w:w="100"/>
              <w:bottom w:type="dxa" w:w="60"/>
              <w:right w:type="dxa" w:w="100"/>
            </w:tcMar>
            <w:vAlign w:val="center"/>
          </w:tcPr>
          <w:p>
            <w:r>
              <w:rPr>
                <w:b w:val="false"/>
                <w:bCs w:val="false"/>
                <w:sz w:val="20"/>
                <w:szCs w:val="20"/>
              </w:rPr>
              <w:t xml:space="preserve">Payments</w:t>
            </w:r>
          </w:p>
        </w:tc>
        <w:tc>
          <w:tcPr>
            <w:tcW w:type="dxa" w:w="4300"/>
            <w:tcMar>
              <w:top w:type="dxa" w:w="60"/>
              <w:left w:type="dxa" w:w="100"/>
              <w:bottom w:type="dxa" w:w="60"/>
              <w:right w:type="dxa" w:w="100"/>
            </w:tcMar>
            <w:vAlign w:val="center"/>
          </w:tcPr>
          <w:p>
            <w:r>
              <w:rPr>
                <w:b w:val="false"/>
                <w:bCs w:val="false"/>
                <w:sz w:val="20"/>
                <w:szCs w:val="20"/>
              </w:rPr>
              <w:t xml:space="preserve">Paystack Ghana, Hubtel, MTN MoMo, Telecel Cash</w:t>
            </w:r>
          </w:p>
        </w:tc>
        <w:tc>
          <w:tcPr>
            <w:tcW w:type="dxa" w:w="2850"/>
            <w:tcMar>
              <w:top w:type="dxa" w:w="60"/>
              <w:left w:type="dxa" w:w="100"/>
              <w:bottom w:type="dxa" w:w="60"/>
              <w:right w:type="dxa" w:w="100"/>
            </w:tcMar>
            <w:vAlign w:val="center"/>
          </w:tcPr>
          <w:p>
            <w:r>
              <w:rPr>
                <w:b w:val="false"/>
                <w:bCs w:val="false"/>
                <w:sz w:val="20"/>
                <w:szCs w:val="20"/>
              </w:rPr>
              <w:t xml:space="preserve">Chapter 24.2</w:t>
            </w:r>
          </w:p>
        </w:tc>
      </w:tr>
      <w:tr>
        <w:tc>
          <w:tcPr>
            <w:tcW w:type="dxa" w:w="2200"/>
            <w:shd w:fill="DCE6F1" w:val="clear"/>
            <w:tcMar>
              <w:top w:type="dxa" w:w="60"/>
              <w:left w:type="dxa" w:w="100"/>
              <w:bottom w:type="dxa" w:w="60"/>
              <w:right w:type="dxa" w:w="100"/>
            </w:tcMar>
            <w:vAlign w:val="center"/>
          </w:tcPr>
          <w:p>
            <w:r>
              <w:rPr>
                <w:b w:val="false"/>
                <w:bCs w:val="false"/>
                <w:sz w:val="20"/>
                <w:szCs w:val="20"/>
              </w:rPr>
              <w:t xml:space="preserve">Messaging</w:t>
            </w:r>
          </w:p>
        </w:tc>
        <w:tc>
          <w:tcPr>
            <w:tcW w:type="dxa" w:w="4300"/>
            <w:shd w:fill="DCE6F1" w:val="clear"/>
            <w:tcMar>
              <w:top w:type="dxa" w:w="60"/>
              <w:left w:type="dxa" w:w="100"/>
              <w:bottom w:type="dxa" w:w="60"/>
              <w:right w:type="dxa" w:w="100"/>
            </w:tcMar>
            <w:vAlign w:val="center"/>
          </w:tcPr>
          <w:p>
            <w:r>
              <w:rPr>
                <w:b w:val="false"/>
                <w:bCs w:val="false"/>
                <w:sz w:val="20"/>
                <w:szCs w:val="20"/>
              </w:rPr>
              <w:t xml:space="preserve">WhatsApp Business API (Meta BSP), named Ghanaian SMS aggregator, SMTP email provider</w:t>
            </w:r>
          </w:p>
        </w:tc>
        <w:tc>
          <w:tcPr>
            <w:tcW w:type="dxa" w:w="2850"/>
            <w:shd w:fill="DCE6F1" w:val="clear"/>
            <w:tcMar>
              <w:top w:type="dxa" w:w="60"/>
              <w:left w:type="dxa" w:w="100"/>
              <w:bottom w:type="dxa" w:w="60"/>
              <w:right w:type="dxa" w:w="100"/>
            </w:tcMar>
            <w:vAlign w:val="center"/>
          </w:tcPr>
          <w:p>
            <w:r>
              <w:rPr>
                <w:b w:val="false"/>
                <w:bCs w:val="false"/>
                <w:sz w:val="20"/>
                <w:szCs w:val="20"/>
              </w:rPr>
              <w:t xml:space="preserve">Chapter 26.1</w:t>
            </w:r>
          </w:p>
        </w:tc>
      </w:tr>
      <w:tr>
        <w:tc>
          <w:tcPr>
            <w:tcW w:type="dxa" w:w="2200"/>
            <w:tcMar>
              <w:top w:type="dxa" w:w="60"/>
              <w:left w:type="dxa" w:w="100"/>
              <w:bottom w:type="dxa" w:w="60"/>
              <w:right w:type="dxa" w:w="100"/>
            </w:tcMar>
            <w:vAlign w:val="center"/>
          </w:tcPr>
          <w:p>
            <w:r>
              <w:rPr>
                <w:b w:val="false"/>
                <w:bCs w:val="false"/>
                <w:sz w:val="20"/>
                <w:szCs w:val="20"/>
              </w:rPr>
              <w:t xml:space="preserve">Biometric devices (optional)</w:t>
            </w:r>
          </w:p>
        </w:tc>
        <w:tc>
          <w:tcPr>
            <w:tcW w:type="dxa" w:w="4300"/>
            <w:tcMar>
              <w:top w:type="dxa" w:w="60"/>
              <w:left w:type="dxa" w:w="100"/>
              <w:bottom w:type="dxa" w:w="60"/>
              <w:right w:type="dxa" w:w="100"/>
            </w:tcMar>
            <w:vAlign w:val="center"/>
          </w:tcPr>
          <w:p>
            <w:r>
              <w:rPr>
                <w:b w:val="false"/>
                <w:bCs w:val="false"/>
                <w:sz w:val="20"/>
                <w:szCs w:val="20"/>
              </w:rPr>
              <w:t xml:space="preserve">Standard fingerprint/RFID device integration for attendance</w:t>
            </w:r>
          </w:p>
        </w:tc>
        <w:tc>
          <w:tcPr>
            <w:tcW w:type="dxa" w:w="2850"/>
            <w:tcMar>
              <w:top w:type="dxa" w:w="60"/>
              <w:left w:type="dxa" w:w="100"/>
              <w:bottom w:type="dxa" w:w="60"/>
              <w:right w:type="dxa" w:w="100"/>
            </w:tcMar>
            <w:vAlign w:val="center"/>
          </w:tcPr>
          <w:p>
            <w:r>
              <w:rPr>
                <w:b w:val="false"/>
                <w:bCs w:val="false"/>
                <w:sz w:val="20"/>
                <w:szCs w:val="20"/>
              </w:rPr>
              <w:t xml:space="preserve">Registered per campus; offline events retain original time and unique IDs</w:t>
            </w:r>
          </w:p>
        </w:tc>
      </w:tr>
      <w:tr>
        <w:tc>
          <w:tcPr>
            <w:tcW w:type="dxa" w:w="2200"/>
            <w:shd w:fill="DCE6F1" w:val="clear"/>
            <w:tcMar>
              <w:top w:type="dxa" w:w="60"/>
              <w:left w:type="dxa" w:w="100"/>
              <w:bottom w:type="dxa" w:w="60"/>
              <w:right w:type="dxa" w:w="100"/>
            </w:tcMar>
            <w:vAlign w:val="center"/>
          </w:tcPr>
          <w:p>
            <w:r>
              <w:rPr>
                <w:b w:val="false"/>
                <w:bCs w:val="false"/>
                <w:sz w:val="20"/>
                <w:szCs w:val="20"/>
              </w:rPr>
              <w:t xml:space="preserve">Accounting export (future scope)</w:t>
            </w:r>
          </w:p>
        </w:tc>
        <w:tc>
          <w:tcPr>
            <w:tcW w:type="dxa" w:w="4300"/>
            <w:shd w:fill="DCE6F1" w:val="clear"/>
            <w:tcMar>
              <w:top w:type="dxa" w:w="60"/>
              <w:left w:type="dxa" w:w="100"/>
              <w:bottom w:type="dxa" w:w="60"/>
              <w:right w:type="dxa" w:w="100"/>
            </w:tcMar>
            <w:vAlign w:val="center"/>
          </w:tcPr>
          <w:p>
            <w:r>
              <w:rPr>
                <w:b w:val="false"/>
                <w:bCs w:val="false"/>
                <w:sz w:val="20"/>
                <w:szCs w:val="20"/>
              </w:rPr>
              <w:t xml:space="preserve">QuickBooks, Sage</w:t>
            </w:r>
          </w:p>
        </w:tc>
        <w:tc>
          <w:tcPr>
            <w:tcW w:type="dxa" w:w="2850"/>
            <w:shd w:fill="DCE6F1" w:val="clear"/>
            <w:tcMar>
              <w:top w:type="dxa" w:w="60"/>
              <w:left w:type="dxa" w:w="100"/>
              <w:bottom w:type="dxa" w:w="60"/>
              <w:right w:type="dxa" w:w="100"/>
            </w:tcMar>
            <w:vAlign w:val="center"/>
          </w:tcPr>
          <w:p>
            <w:r>
              <w:rPr>
                <w:b w:val="false"/>
                <w:bCs w:val="false"/>
                <w:sz w:val="20"/>
                <w:szCs w:val="20"/>
              </w:rPr>
              <w:t xml:space="preserve">Named as a defined gap in v1.0 (Section 4.13); scoped here as post-launch</w:t>
            </w:r>
          </w:p>
        </w:tc>
      </w:tr>
    </w:tbl>
    <w:p>
      <w:pPr>
        <w:pStyle w:val="Heading2"/>
        <w:spacing w:after="100" w:before="220"/>
      </w:pPr>
      <w:r>
        <w:rPr>
          <w:b/>
          <w:bCs/>
        </w:rPr>
        <w:t xml:space="preserve">36.3 Reliability</w:t>
      </w:r>
    </w:p>
    <w:p>
      <w:pPr>
        <w:spacing w:after="120"/>
      </w:pPr>
      <w:r>
        <w:rPr>
          <w:b w:val="false"/>
          <w:bCs w:val="false"/>
          <w:i w:val="false"/>
          <w:iCs w:val="false"/>
        </w:rPr>
        <w:t xml:space="preserve">Timeouts, circuit breakers, bounded retries, exception queues and graceful degradation prevent false success and protect core operations. Integration dashboards show health, last success, failures, queue depth, latency and credential expiry, scoped per tenant for tenant-specific integrations and globally for platform integrations.</w:t>
      </w:r>
    </w:p>
    <w:p>
      <w:pPr>
        <w:pStyle w:val="Heading1"/>
        <w:pageBreakBefore/>
        <w:spacing w:after="200" w:before="240"/>
      </w:pPr>
      <w:r>
        <w:rPr>
          <w:b/>
          <w:bCs/>
        </w:rPr>
        <w:t xml:space="preserve">Chapter 37 — Performance, Scalability, Reliability &amp; Observability</w:t>
      </w:r>
    </w:p>
    <w:p>
      <w:pPr>
        <w:spacing w:after="120"/>
      </w:pPr>
      <w:r>
        <w:rPr>
          <w:b w:val="false"/>
          <w:bCs w:val="false"/>
          <w:i w:val="false"/>
          <w:iCs w:val="false"/>
        </w:rPr>
        <w:t xml:space="preserve">Version 1.0 deferred every number in this chapter to "baseline measurement." Version 2.0 states working targets now; they are to be re-validated, not invented from nothing, once real production telemetry exists, per NFR-PERF-090 below.</w:t>
      </w:r>
    </w:p>
    <w:p>
      <w:pPr>
        <w:pStyle w:val="Heading2"/>
        <w:spacing w:after="100" w:before="220"/>
      </w:pPr>
      <w:r>
        <w:rPr>
          <w:b/>
          <w:bCs/>
        </w:rPr>
        <w:t xml:space="preserve">37.1 Concrete Performance Targets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3900"/>
        <w:gridCol w:w="1650"/>
      </w:tblGrid>
      <w:tr>
        <w:trPr>
          <w:tblHeader/>
        </w:trPr>
        <w:tc>
          <w:tcPr>
            <w:tcW w:type="dxa" w:w="3800"/>
            <w:shd w:fill="1F3864" w:val="clear"/>
            <w:tcMar>
              <w:top w:type="dxa" w:w="60"/>
              <w:left w:type="dxa" w:w="100"/>
              <w:bottom w:type="dxa" w:w="60"/>
              <w:right w:type="dxa" w:w="100"/>
            </w:tcMar>
            <w:vAlign w:val="center"/>
          </w:tcPr>
          <w:p>
            <w:r>
              <w:rPr>
                <w:b/>
                <w:bCs/>
                <w:color w:val="FFFFFF"/>
                <w:sz w:val="20"/>
                <w:szCs w:val="20"/>
              </w:rPr>
              <w:t xml:space="preserve">Metric</w:t>
            </w:r>
          </w:p>
        </w:tc>
        <w:tc>
          <w:tcPr>
            <w:tcW w:type="dxa" w:w="3900"/>
            <w:shd w:fill="1F3864" w:val="clear"/>
            <w:tcMar>
              <w:top w:type="dxa" w:w="60"/>
              <w:left w:type="dxa" w:w="100"/>
              <w:bottom w:type="dxa" w:w="60"/>
              <w:right w:type="dxa" w:w="100"/>
            </w:tcMar>
            <w:vAlign w:val="center"/>
          </w:tcPr>
          <w:p>
            <w:r>
              <w:rPr>
                <w:b/>
                <w:bCs/>
                <w:color w:val="FFFFFF"/>
                <w:sz w:val="20"/>
                <w:szCs w:val="20"/>
              </w:rPr>
              <w:t xml:space="preserve">Target</w:t>
            </w:r>
          </w:p>
        </w:tc>
        <w:tc>
          <w:tcPr>
            <w:tcW w:type="dxa" w:w="1650"/>
            <w:shd w:fill="1F3864" w:val="clear"/>
            <w:tcMar>
              <w:top w:type="dxa" w:w="60"/>
              <w:left w:type="dxa" w:w="100"/>
              <w:bottom w:type="dxa" w:w="60"/>
              <w:right w:type="dxa" w:w="100"/>
            </w:tcMar>
            <w:vAlign w:val="center"/>
          </w:tcPr>
          <w:p>
            <w:r>
              <w:rPr>
                <w:b/>
                <w:bCs/>
                <w:color w:val="FFFFFF"/>
                <w:sz w:val="20"/>
                <w:szCs w:val="20"/>
              </w:rPr>
              <w:t xml:space="preserve">Requirement ID</w:t>
            </w:r>
          </w:p>
        </w:tc>
      </w:tr>
      <w:tr>
        <w:tc>
          <w:tcPr>
            <w:tcW w:type="dxa" w:w="3800"/>
            <w:tcMar>
              <w:top w:type="dxa" w:w="60"/>
              <w:left w:type="dxa" w:w="100"/>
              <w:bottom w:type="dxa" w:w="60"/>
              <w:right w:type="dxa" w:w="100"/>
            </w:tcMar>
            <w:vAlign w:val="center"/>
          </w:tcPr>
          <w:p>
            <w:r>
              <w:rPr>
                <w:b w:val="false"/>
                <w:bCs w:val="false"/>
                <w:sz w:val="20"/>
                <w:szCs w:val="20"/>
              </w:rPr>
              <w:t xml:space="preserve">Interactive page load (p95, 3G-equivalent connection)</w:t>
            </w:r>
          </w:p>
        </w:tc>
        <w:tc>
          <w:tcPr>
            <w:tcW w:type="dxa" w:w="3900"/>
            <w:tcMar>
              <w:top w:type="dxa" w:w="60"/>
              <w:left w:type="dxa" w:w="100"/>
              <w:bottom w:type="dxa" w:w="60"/>
              <w:right w:type="dxa" w:w="100"/>
            </w:tcMar>
            <w:vAlign w:val="center"/>
          </w:tcPr>
          <w:p>
            <w:r>
              <w:rPr>
                <w:b w:val="false"/>
                <w:bCs w:val="false"/>
                <w:sz w:val="20"/>
                <w:szCs w:val="20"/>
              </w:rPr>
              <w:t xml:space="preserve">≤ 2.5 seconds</w:t>
            </w:r>
          </w:p>
        </w:tc>
        <w:tc>
          <w:tcPr>
            <w:tcW w:type="dxa" w:w="1650"/>
            <w:tcMar>
              <w:top w:type="dxa" w:w="60"/>
              <w:left w:type="dxa" w:w="100"/>
              <w:bottom w:type="dxa" w:w="60"/>
              <w:right w:type="dxa" w:w="100"/>
            </w:tcMar>
            <w:vAlign w:val="center"/>
          </w:tcPr>
          <w:p>
            <w:r>
              <w:rPr>
                <w:b w:val="false"/>
                <w:bCs w:val="false"/>
                <w:sz w:val="20"/>
                <w:szCs w:val="20"/>
              </w:rPr>
              <w:t xml:space="preserve">NFR-PERF-020</w:t>
            </w:r>
          </w:p>
        </w:tc>
      </w:tr>
      <w:tr>
        <w:tc>
          <w:tcPr>
            <w:tcW w:type="dxa" w:w="3800"/>
            <w:shd w:fill="DCE6F1" w:val="clear"/>
            <w:tcMar>
              <w:top w:type="dxa" w:w="60"/>
              <w:left w:type="dxa" w:w="100"/>
              <w:bottom w:type="dxa" w:w="60"/>
              <w:right w:type="dxa" w:w="100"/>
            </w:tcMar>
            <w:vAlign w:val="center"/>
          </w:tcPr>
          <w:p>
            <w:r>
              <w:rPr>
                <w:b w:val="false"/>
                <w:bCs w:val="false"/>
                <w:sz w:val="20"/>
                <w:szCs w:val="20"/>
              </w:rPr>
              <w:t xml:space="preserve">API response time, standard read (p95)</w:t>
            </w:r>
          </w:p>
        </w:tc>
        <w:tc>
          <w:tcPr>
            <w:tcW w:type="dxa" w:w="3900"/>
            <w:shd w:fill="DCE6F1" w:val="clear"/>
            <w:tcMar>
              <w:top w:type="dxa" w:w="60"/>
              <w:left w:type="dxa" w:w="100"/>
              <w:bottom w:type="dxa" w:w="60"/>
              <w:right w:type="dxa" w:w="100"/>
            </w:tcMar>
            <w:vAlign w:val="center"/>
          </w:tcPr>
          <w:p>
            <w:r>
              <w:rPr>
                <w:b w:val="false"/>
                <w:bCs w:val="false"/>
                <w:sz w:val="20"/>
                <w:szCs w:val="20"/>
              </w:rPr>
              <w:t xml:space="preserve">≤ 300 ms</w:t>
            </w:r>
          </w:p>
        </w:tc>
        <w:tc>
          <w:tcPr>
            <w:tcW w:type="dxa" w:w="1650"/>
            <w:shd w:fill="DCE6F1" w:val="clear"/>
            <w:tcMar>
              <w:top w:type="dxa" w:w="60"/>
              <w:left w:type="dxa" w:w="100"/>
              <w:bottom w:type="dxa" w:w="60"/>
              <w:right w:type="dxa" w:w="100"/>
            </w:tcMar>
            <w:vAlign w:val="center"/>
          </w:tcPr>
          <w:p>
            <w:r>
              <w:rPr>
                <w:b w:val="false"/>
                <w:bCs w:val="false"/>
                <w:sz w:val="20"/>
                <w:szCs w:val="20"/>
              </w:rPr>
              <w:t xml:space="preserve">NFR-PERF-021</w:t>
            </w:r>
          </w:p>
        </w:tc>
      </w:tr>
      <w:tr>
        <w:tc>
          <w:tcPr>
            <w:tcW w:type="dxa" w:w="3800"/>
            <w:tcMar>
              <w:top w:type="dxa" w:w="60"/>
              <w:left w:type="dxa" w:w="100"/>
              <w:bottom w:type="dxa" w:w="60"/>
              <w:right w:type="dxa" w:w="100"/>
            </w:tcMar>
            <w:vAlign w:val="center"/>
          </w:tcPr>
          <w:p>
            <w:r>
              <w:rPr>
                <w:b w:val="false"/>
                <w:bCs w:val="false"/>
                <w:sz w:val="20"/>
                <w:szCs w:val="20"/>
              </w:rPr>
              <w:t xml:space="preserve">API response time, standard write (p95)</w:t>
            </w:r>
          </w:p>
        </w:tc>
        <w:tc>
          <w:tcPr>
            <w:tcW w:type="dxa" w:w="3900"/>
            <w:tcMar>
              <w:top w:type="dxa" w:w="60"/>
              <w:left w:type="dxa" w:w="100"/>
              <w:bottom w:type="dxa" w:w="60"/>
              <w:right w:type="dxa" w:w="100"/>
            </w:tcMar>
            <w:vAlign w:val="center"/>
          </w:tcPr>
          <w:p>
            <w:r>
              <w:rPr>
                <w:b w:val="false"/>
                <w:bCs w:val="false"/>
                <w:sz w:val="20"/>
                <w:szCs w:val="20"/>
              </w:rPr>
              <w:t xml:space="preserve">≤ 500 ms</w:t>
            </w:r>
          </w:p>
        </w:tc>
        <w:tc>
          <w:tcPr>
            <w:tcW w:type="dxa" w:w="1650"/>
            <w:tcMar>
              <w:top w:type="dxa" w:w="60"/>
              <w:left w:type="dxa" w:w="100"/>
              <w:bottom w:type="dxa" w:w="60"/>
              <w:right w:type="dxa" w:w="100"/>
            </w:tcMar>
            <w:vAlign w:val="center"/>
          </w:tcPr>
          <w:p>
            <w:r>
              <w:rPr>
                <w:b w:val="false"/>
                <w:bCs w:val="false"/>
                <w:sz w:val="20"/>
                <w:szCs w:val="20"/>
              </w:rPr>
              <w:t xml:space="preserve">NFR-PERF-022</w:t>
            </w:r>
          </w:p>
        </w:tc>
      </w:tr>
      <w:tr>
        <w:tc>
          <w:tcPr>
            <w:tcW w:type="dxa" w:w="3800"/>
            <w:shd w:fill="DCE6F1" w:val="clear"/>
            <w:tcMar>
              <w:top w:type="dxa" w:w="60"/>
              <w:left w:type="dxa" w:w="100"/>
              <w:bottom w:type="dxa" w:w="60"/>
              <w:right w:type="dxa" w:w="100"/>
            </w:tcMar>
            <w:vAlign w:val="center"/>
          </w:tcPr>
          <w:p>
            <w:r>
              <w:rPr>
                <w:b w:val="false"/>
                <w:bCs w:val="false"/>
                <w:sz w:val="20"/>
                <w:szCs w:val="20"/>
              </w:rPr>
              <w:t xml:space="preserve">Report-card batch generation, 500 students</w:t>
            </w:r>
          </w:p>
        </w:tc>
        <w:tc>
          <w:tcPr>
            <w:tcW w:type="dxa" w:w="3900"/>
            <w:shd w:fill="DCE6F1" w:val="clear"/>
            <w:tcMar>
              <w:top w:type="dxa" w:w="60"/>
              <w:left w:type="dxa" w:w="100"/>
              <w:bottom w:type="dxa" w:w="60"/>
              <w:right w:type="dxa" w:w="100"/>
            </w:tcMar>
            <w:vAlign w:val="center"/>
          </w:tcPr>
          <w:p>
            <w:r>
              <w:rPr>
                <w:b w:val="false"/>
                <w:bCs w:val="false"/>
                <w:sz w:val="20"/>
                <w:szCs w:val="20"/>
              </w:rPr>
              <w:t xml:space="preserve">≤ 5 minutes, as a background job with progress indication</w:t>
            </w:r>
          </w:p>
        </w:tc>
        <w:tc>
          <w:tcPr>
            <w:tcW w:type="dxa" w:w="1650"/>
            <w:shd w:fill="DCE6F1" w:val="clear"/>
            <w:tcMar>
              <w:top w:type="dxa" w:w="60"/>
              <w:left w:type="dxa" w:w="100"/>
              <w:bottom w:type="dxa" w:w="60"/>
              <w:right w:type="dxa" w:w="100"/>
            </w:tcMar>
            <w:vAlign w:val="center"/>
          </w:tcPr>
          <w:p>
            <w:r>
              <w:rPr>
                <w:b w:val="false"/>
                <w:bCs w:val="false"/>
                <w:sz w:val="20"/>
                <w:szCs w:val="20"/>
              </w:rPr>
              <w:t xml:space="preserve">NFR-PERF-023</w:t>
            </w:r>
          </w:p>
        </w:tc>
      </w:tr>
      <w:tr>
        <w:tc>
          <w:tcPr>
            <w:tcW w:type="dxa" w:w="3800"/>
            <w:tcMar>
              <w:top w:type="dxa" w:w="60"/>
              <w:left w:type="dxa" w:w="100"/>
              <w:bottom w:type="dxa" w:w="60"/>
              <w:right w:type="dxa" w:w="100"/>
            </w:tcMar>
            <w:vAlign w:val="center"/>
          </w:tcPr>
          <w:p>
            <w:r>
              <w:rPr>
                <w:b w:val="false"/>
                <w:bCs w:val="false"/>
                <w:sz w:val="20"/>
                <w:szCs w:val="20"/>
              </w:rPr>
              <w:t xml:space="preserve">Concurrent active users per tenant at peak (e.g. Third-Term score entry)</w:t>
            </w:r>
          </w:p>
        </w:tc>
        <w:tc>
          <w:tcPr>
            <w:tcW w:type="dxa" w:w="3900"/>
            <w:tcMar>
              <w:top w:type="dxa" w:w="60"/>
              <w:left w:type="dxa" w:w="100"/>
              <w:bottom w:type="dxa" w:w="60"/>
              <w:right w:type="dxa" w:w="100"/>
            </w:tcMar>
            <w:vAlign w:val="center"/>
          </w:tcPr>
          <w:p>
            <w:r>
              <w:rPr>
                <w:b w:val="false"/>
                <w:bCs w:val="false"/>
                <w:sz w:val="20"/>
                <w:szCs w:val="20"/>
              </w:rPr>
              <w:t xml:space="preserve">≥ 200, without cross-tenant degradation</w:t>
            </w:r>
          </w:p>
        </w:tc>
        <w:tc>
          <w:tcPr>
            <w:tcW w:type="dxa" w:w="1650"/>
            <w:tcMar>
              <w:top w:type="dxa" w:w="60"/>
              <w:left w:type="dxa" w:w="100"/>
              <w:bottom w:type="dxa" w:w="60"/>
              <w:right w:type="dxa" w:w="100"/>
            </w:tcMar>
            <w:vAlign w:val="center"/>
          </w:tcPr>
          <w:p>
            <w:r>
              <w:rPr>
                <w:b w:val="false"/>
                <w:bCs w:val="false"/>
                <w:sz w:val="20"/>
                <w:szCs w:val="20"/>
              </w:rPr>
              <w:t xml:space="preserve">NFR-PERF-024</w:t>
            </w:r>
          </w:p>
        </w:tc>
      </w:tr>
      <w:tr>
        <w:tc>
          <w:tcPr>
            <w:tcW w:type="dxa" w:w="3800"/>
            <w:shd w:fill="DCE6F1" w:val="clear"/>
            <w:tcMar>
              <w:top w:type="dxa" w:w="60"/>
              <w:left w:type="dxa" w:w="100"/>
              <w:bottom w:type="dxa" w:w="60"/>
              <w:right w:type="dxa" w:w="100"/>
            </w:tcMar>
            <w:vAlign w:val="center"/>
          </w:tcPr>
          <w:p>
            <w:r>
              <w:rPr>
                <w:b w:val="false"/>
                <w:bCs w:val="false"/>
                <w:sz w:val="20"/>
                <w:szCs w:val="20"/>
              </w:rPr>
              <w:t xml:space="preserve">Platform-wide concurrent tenants at peak (Year-1 target)</w:t>
            </w:r>
          </w:p>
        </w:tc>
        <w:tc>
          <w:tcPr>
            <w:tcW w:type="dxa" w:w="3900"/>
            <w:shd w:fill="DCE6F1" w:val="clear"/>
            <w:tcMar>
              <w:top w:type="dxa" w:w="60"/>
              <w:left w:type="dxa" w:w="100"/>
              <w:bottom w:type="dxa" w:w="60"/>
              <w:right w:type="dxa" w:w="100"/>
            </w:tcMar>
            <w:vAlign w:val="center"/>
          </w:tcPr>
          <w:p>
            <w:r>
              <w:rPr>
                <w:b w:val="false"/>
                <w:bCs w:val="false"/>
                <w:sz w:val="20"/>
                <w:szCs w:val="20"/>
              </w:rPr>
              <w:t xml:space="preserve">≥ 150 tenants concurrently active</w:t>
            </w:r>
          </w:p>
        </w:tc>
        <w:tc>
          <w:tcPr>
            <w:tcW w:type="dxa" w:w="1650"/>
            <w:shd w:fill="DCE6F1" w:val="clear"/>
            <w:tcMar>
              <w:top w:type="dxa" w:w="60"/>
              <w:left w:type="dxa" w:w="100"/>
              <w:bottom w:type="dxa" w:w="60"/>
              <w:right w:type="dxa" w:w="100"/>
            </w:tcMar>
            <w:vAlign w:val="center"/>
          </w:tcPr>
          <w:p>
            <w:r>
              <w:rPr>
                <w:b w:val="false"/>
                <w:bCs w:val="false"/>
                <w:sz w:val="20"/>
                <w:szCs w:val="20"/>
              </w:rPr>
              <w:t xml:space="preserve">NFR-PERF-025</w:t>
            </w:r>
          </w:p>
        </w:tc>
      </w:tr>
      <w:tr>
        <w:tc>
          <w:tcPr>
            <w:tcW w:type="dxa" w:w="3800"/>
            <w:tcMar>
              <w:top w:type="dxa" w:w="60"/>
              <w:left w:type="dxa" w:w="100"/>
              <w:bottom w:type="dxa" w:w="60"/>
              <w:right w:type="dxa" w:w="100"/>
            </w:tcMar>
            <w:vAlign w:val="center"/>
          </w:tcPr>
          <w:p>
            <w:r>
              <w:rPr>
                <w:b w:val="false"/>
                <w:bCs w:val="false"/>
                <w:sz w:val="20"/>
                <w:szCs w:val="20"/>
              </w:rPr>
              <w:t xml:space="preserve">Monthly uptime (production)</w:t>
            </w:r>
          </w:p>
        </w:tc>
        <w:tc>
          <w:tcPr>
            <w:tcW w:type="dxa" w:w="3900"/>
            <w:tcMar>
              <w:top w:type="dxa" w:w="60"/>
              <w:left w:type="dxa" w:w="100"/>
              <w:bottom w:type="dxa" w:w="60"/>
              <w:right w:type="dxa" w:w="100"/>
            </w:tcMar>
            <w:vAlign w:val="center"/>
          </w:tcPr>
          <w:p>
            <w:r>
              <w:rPr>
                <w:b w:val="false"/>
                <w:bCs w:val="false"/>
                <w:sz w:val="20"/>
                <w:szCs w:val="20"/>
              </w:rPr>
              <w:t xml:space="preserve">≥ 99.5%</w:t>
            </w:r>
          </w:p>
        </w:tc>
        <w:tc>
          <w:tcPr>
            <w:tcW w:type="dxa" w:w="1650"/>
            <w:tcMar>
              <w:top w:type="dxa" w:w="60"/>
              <w:left w:type="dxa" w:w="100"/>
              <w:bottom w:type="dxa" w:w="60"/>
              <w:right w:type="dxa" w:w="100"/>
            </w:tcMar>
            <w:vAlign w:val="center"/>
          </w:tcPr>
          <w:p>
            <w:r>
              <w:rPr>
                <w:b w:val="false"/>
                <w:bCs w:val="false"/>
                <w:sz w:val="20"/>
                <w:szCs w:val="20"/>
              </w:rPr>
              <w:t xml:space="preserve">NFR-AVAIL-010</w:t>
            </w:r>
          </w:p>
        </w:tc>
      </w:tr>
      <w:tr>
        <w:tc>
          <w:tcPr>
            <w:tcW w:type="dxa" w:w="3800"/>
            <w:shd w:fill="DCE6F1" w:val="clear"/>
            <w:tcMar>
              <w:top w:type="dxa" w:w="60"/>
              <w:left w:type="dxa" w:w="100"/>
              <w:bottom w:type="dxa" w:w="60"/>
              <w:right w:type="dxa" w:w="100"/>
            </w:tcMar>
            <w:vAlign w:val="center"/>
          </w:tcPr>
          <w:p>
            <w:r>
              <w:rPr>
                <w:b w:val="false"/>
                <w:bCs w:val="false"/>
                <w:sz w:val="20"/>
                <w:szCs w:val="20"/>
              </w:rPr>
              <w:t xml:space="preserve">Recovery Time Objective (RTO)</w:t>
            </w:r>
          </w:p>
        </w:tc>
        <w:tc>
          <w:tcPr>
            <w:tcW w:type="dxa" w:w="3900"/>
            <w:shd w:fill="DCE6F1" w:val="clear"/>
            <w:tcMar>
              <w:top w:type="dxa" w:w="60"/>
              <w:left w:type="dxa" w:w="100"/>
              <w:bottom w:type="dxa" w:w="60"/>
              <w:right w:type="dxa" w:w="100"/>
            </w:tcMar>
            <w:vAlign w:val="center"/>
          </w:tcPr>
          <w:p>
            <w:r>
              <w:rPr>
                <w:b w:val="false"/>
                <w:bCs w:val="false"/>
                <w:sz w:val="20"/>
                <w:szCs w:val="20"/>
              </w:rPr>
              <w:t xml:space="preserve">≤ 4 hours for full platform; ≤ 1 hour for single-tenant restore</w:t>
            </w:r>
          </w:p>
        </w:tc>
        <w:tc>
          <w:tcPr>
            <w:tcW w:type="dxa" w:w="1650"/>
            <w:shd w:fill="DCE6F1" w:val="clear"/>
            <w:tcMar>
              <w:top w:type="dxa" w:w="60"/>
              <w:left w:type="dxa" w:w="100"/>
              <w:bottom w:type="dxa" w:w="60"/>
              <w:right w:type="dxa" w:w="100"/>
            </w:tcMar>
            <w:vAlign w:val="center"/>
          </w:tcPr>
          <w:p>
            <w:r>
              <w:rPr>
                <w:b w:val="false"/>
                <w:bCs w:val="false"/>
                <w:sz w:val="20"/>
                <w:szCs w:val="20"/>
              </w:rPr>
              <w:t xml:space="preserve">NFR-AVAIL-020</w:t>
            </w:r>
          </w:p>
        </w:tc>
      </w:tr>
      <w:tr>
        <w:tc>
          <w:tcPr>
            <w:tcW w:type="dxa" w:w="3800"/>
            <w:tcMar>
              <w:top w:type="dxa" w:w="60"/>
              <w:left w:type="dxa" w:w="100"/>
              <w:bottom w:type="dxa" w:w="60"/>
              <w:right w:type="dxa" w:w="100"/>
            </w:tcMar>
            <w:vAlign w:val="center"/>
          </w:tcPr>
          <w:p>
            <w:r>
              <w:rPr>
                <w:b w:val="false"/>
                <w:bCs w:val="false"/>
                <w:sz w:val="20"/>
                <w:szCs w:val="20"/>
              </w:rPr>
              <w:t xml:space="preserve">Recovery Point Objective (RPO)</w:t>
            </w:r>
          </w:p>
        </w:tc>
        <w:tc>
          <w:tcPr>
            <w:tcW w:type="dxa" w:w="3900"/>
            <w:tcMar>
              <w:top w:type="dxa" w:w="60"/>
              <w:left w:type="dxa" w:w="100"/>
              <w:bottom w:type="dxa" w:w="60"/>
              <w:right w:type="dxa" w:w="100"/>
            </w:tcMar>
            <w:vAlign w:val="center"/>
          </w:tcPr>
          <w:p>
            <w:r>
              <w:rPr>
                <w:b w:val="false"/>
                <w:bCs w:val="false"/>
                <w:sz w:val="20"/>
                <w:szCs w:val="20"/>
              </w:rPr>
              <w:t xml:space="preserve">≤ 15 minutes</w:t>
            </w:r>
          </w:p>
        </w:tc>
        <w:tc>
          <w:tcPr>
            <w:tcW w:type="dxa" w:w="1650"/>
            <w:tcMar>
              <w:top w:type="dxa" w:w="60"/>
              <w:left w:type="dxa" w:w="100"/>
              <w:bottom w:type="dxa" w:w="60"/>
              <w:right w:type="dxa" w:w="100"/>
            </w:tcMar>
            <w:vAlign w:val="center"/>
          </w:tcPr>
          <w:p>
            <w:r>
              <w:rPr>
                <w:b w:val="false"/>
                <w:bCs w:val="false"/>
                <w:sz w:val="20"/>
                <w:szCs w:val="20"/>
              </w:rPr>
              <w:t xml:space="preserve">NFR-AVAIL-021</w:t>
            </w:r>
          </w:p>
        </w:tc>
      </w:tr>
      <w:tr>
        <w:tc>
          <w:tcPr>
            <w:tcW w:type="dxa" w:w="3800"/>
            <w:shd w:fill="DCE6F1" w:val="clear"/>
            <w:tcMar>
              <w:top w:type="dxa" w:w="60"/>
              <w:left w:type="dxa" w:w="100"/>
              <w:bottom w:type="dxa" w:w="60"/>
              <w:right w:type="dxa" w:w="100"/>
            </w:tcMar>
            <w:vAlign w:val="center"/>
          </w:tcPr>
          <w:p>
            <w:r>
              <w:rPr>
                <w:b w:val="false"/>
                <w:bCs w:val="false"/>
                <w:sz w:val="20"/>
                <w:szCs w:val="20"/>
              </w:rPr>
              <w:t xml:space="preserve">Notification delivery latency (WhatsApp/SMS, non-bulk)</w:t>
            </w:r>
          </w:p>
        </w:tc>
        <w:tc>
          <w:tcPr>
            <w:tcW w:type="dxa" w:w="3900"/>
            <w:shd w:fill="DCE6F1" w:val="clear"/>
            <w:tcMar>
              <w:top w:type="dxa" w:w="60"/>
              <w:left w:type="dxa" w:w="100"/>
              <w:bottom w:type="dxa" w:w="60"/>
              <w:right w:type="dxa" w:w="100"/>
            </w:tcMar>
            <w:vAlign w:val="center"/>
          </w:tcPr>
          <w:p>
            <w:r>
              <w:rPr>
                <w:b w:val="false"/>
                <w:bCs w:val="false"/>
                <w:sz w:val="20"/>
                <w:szCs w:val="20"/>
              </w:rPr>
              <w:t xml:space="preserve">≤ 60 seconds from trigger to provider handoff, p95</w:t>
            </w:r>
          </w:p>
        </w:tc>
        <w:tc>
          <w:tcPr>
            <w:tcW w:type="dxa" w:w="1650"/>
            <w:shd w:fill="DCE6F1" w:val="clear"/>
            <w:tcMar>
              <w:top w:type="dxa" w:w="60"/>
              <w:left w:type="dxa" w:w="100"/>
              <w:bottom w:type="dxa" w:w="60"/>
              <w:right w:type="dxa" w:w="100"/>
            </w:tcMar>
            <w:vAlign w:val="center"/>
          </w:tcPr>
          <w:p>
            <w:r>
              <w:rPr>
                <w:b w:val="false"/>
                <w:bCs w:val="false"/>
                <w:sz w:val="20"/>
                <w:szCs w:val="20"/>
              </w:rPr>
              <w:t xml:space="preserve">NFR-PERF-026</w:t>
            </w:r>
          </w:p>
        </w:tc>
      </w:tr>
    </w:tbl>
    <w:p>
      <w:pPr>
        <w:spacing w:after="120"/>
      </w:pPr>
      <w:r>
        <w:rPr>
          <w:b w:val="false"/>
          <w:bCs w:val="false"/>
          <w:i w:val="false"/>
          <w:iCs w:val="false"/>
        </w:rPr>
        <w:t xml:space="preserve">NFR-PERF-090: These targets MUST be re-validated against real production telemetry within the first 90 days of General Availability and revised where the baseline shows they were set incorrectly; they are working numbers deliberately chosen to be testable, not final commitments carved from measurement that does not yet exist.</w:t>
      </w:r>
    </w:p>
    <w:p>
      <w:pPr>
        <w:pStyle w:val="Heading2"/>
        <w:spacing w:after="100" w:before="220"/>
      </w:pPr>
      <w:r>
        <w:rPr>
          <w:b/>
          <w:bCs/>
        </w:rPr>
        <w:t xml:space="preserve">37.2 Scaling</w:t>
      </w:r>
    </w:p>
    <w:p>
      <w:pPr>
        <w:spacing w:after="120"/>
      </w:pPr>
      <w:r>
        <w:rPr>
          <w:b w:val="false"/>
          <w:bCs w:val="false"/>
          <w:i w:val="false"/>
          <w:iCs w:val="false"/>
        </w:rPr>
        <w:t xml:space="preserve">Stateless application instances, shared session store, database, queues and storage allow horizontal scaling. Web, worker, report, document and integration capacity scale independently, with tenant-aware autoscaling triggers so a small number of very large tenants cannot starve autoscaling headroom from the rest of the platform.</w:t>
      </w:r>
    </w:p>
    <w:p>
      <w:pPr>
        <w:pStyle w:val="Heading2"/>
        <w:spacing w:after="100" w:before="220"/>
      </w:pPr>
      <w:r>
        <w:rPr>
          <w:b/>
          <w:bCs/>
        </w:rPr>
        <w:t xml:space="preserve">37.3 Database and Cache</w:t>
      </w:r>
    </w:p>
    <w:p>
      <w:pPr>
        <w:spacing w:after="120"/>
      </w:pPr>
      <w:r>
        <w:rPr>
          <w:b w:val="false"/>
          <w:bCs w:val="false"/>
          <w:i w:val="false"/>
          <w:iCs w:val="false"/>
        </w:rPr>
        <w:t xml:space="preserve">Query plans, pagination, indexes, bounded connection pools, short transactions and reporting projections are mandatory. All cache keys are tenant-scoped (TEN-040) and never bypass authorization.</w:t>
      </w:r>
    </w:p>
    <w:p>
      <w:pPr>
        <w:pStyle w:val="Heading2"/>
        <w:spacing w:after="100" w:before="220"/>
      </w:pPr>
      <w:r>
        <w:rPr>
          <w:b/>
          <w:bCs/>
        </w:rPr>
        <w:t xml:space="preserve">37.4 Concurrency</w:t>
      </w:r>
    </w:p>
    <w:p>
      <w:pPr>
        <w:spacing w:after="120"/>
      </w:pPr>
      <w:r>
        <w:rPr>
          <w:b w:val="false"/>
          <w:bCs w:val="false"/>
          <w:i w:val="false"/>
          <w:iCs w:val="false"/>
        </w:rPr>
        <w:t xml:space="preserve">Optimistic version columns, short locks, unique constraints, atomic updates and idempotency keys prevent lost updates and duplicates for scores, invoices, allocations, receipt numbers, promotion and inventory. NFR-PERF-030: concurrent score entry by two teachers for the same class subject is resolved by field-level optimistic locking with a clear conflict message identifying the other editor, never a silent last-write-wins on the whole record.</w:t>
      </w:r>
    </w:p>
    <w:p>
      <w:pPr>
        <w:pStyle w:val="Heading2"/>
        <w:spacing w:after="100" w:before="220"/>
      </w:pPr>
      <w:r>
        <w:rPr>
          <w:b/>
          <w:bCs/>
        </w:rPr>
        <w:t xml:space="preserve">37.5 Observability</w:t>
      </w:r>
    </w:p>
    <w:p>
      <w:pPr>
        <w:spacing w:after="120"/>
      </w:pPr>
      <w:r>
        <w:rPr>
          <w:b w:val="false"/>
          <w:bCs w:val="false"/>
          <w:i w:val="false"/>
          <w:iCs w:val="false"/>
        </w:rPr>
        <w:t xml:space="preserve">Structured logs, metrics and traces use correlation IDs and mandatory tenant_id, while excluding secrets. Monitored: latency, errors, database, queues, workers, storage, integrations, backup and business-process health, with per-tenant and platform-wide dashboards (TEN-041).</w:t>
      </w:r>
    </w:p>
    <w:p>
      <w:pPr>
        <w:pStyle w:val="Heading2"/>
        <w:spacing w:after="100" w:before="220"/>
      </w:pPr>
      <w:r>
        <w:rPr>
          <w:b/>
          <w:bCs/>
        </w:rPr>
        <w:t xml:space="preserve">37.6 Alerts and Testing</w:t>
      </w:r>
    </w:p>
    <w:p>
      <w:pPr>
        <w:spacing w:after="120"/>
      </w:pPr>
      <w:r>
        <w:rPr>
          <w:b w:val="false"/>
          <w:bCs w:val="false"/>
          <w:i w:val="false"/>
          <w:iCs w:val="false"/>
        </w:rPr>
        <w:t xml:space="preserve">Actionable alerts carry severity, owner and escalation path. Load, stress, endurance, failure, concurrency and recovery tests prove capacity and safe failure behaviour against the targets in 37.1, run on a recurring schedule, not only pre-launch.</w:t>
      </w:r>
    </w:p>
    <w:p>
      <w:pPr>
        <w:pStyle w:val="Heading1"/>
        <w:pageBreakBefore/>
        <w:spacing w:after="200" w:before="240"/>
      </w:pPr>
      <w:r>
        <w:rPr>
          <w:b/>
          <w:bCs/>
        </w:rPr>
        <w:t xml:space="preserve">Chapter 38 — Backup, DR, Testing, Deployment &amp; Release Management</w:t>
      </w:r>
    </w:p>
    <w:p>
      <w:pPr>
        <w:pStyle w:val="Heading2"/>
        <w:spacing w:after="100" w:before="220"/>
      </w:pPr>
      <w:r>
        <w:rPr>
          <w:b/>
          <w:bCs/>
        </w:rPr>
        <w:t xml:space="preserve">38.1 Backup &amp; Disaster Recovery</w:t>
      </w:r>
    </w:p>
    <w:p>
      <w:pPr>
        <w:pStyle w:val="ListParagraph"/>
        <w:numPr>
          <w:ilvl w:val="0"/>
          <w:numId w:val="1"/>
        </w:numPr>
        <w:spacing w:after="60"/>
      </w:pPr>
      <w:r>
        <w:t xml:space="preserve">NFR-AVAIL-030: Back up database, uploaded and generated files, configuration, application releases and recovery material on a frequent incremental/log basis, with a daily verified backup, weekly full and retained monthly points.</w:t>
      </w:r>
    </w:p>
    <w:p>
      <w:pPr>
        <w:pStyle w:val="ListParagraph"/>
        <w:numPr>
          <w:ilvl w:val="0"/>
          <w:numId w:val="1"/>
        </w:numPr>
        <w:spacing w:after="60"/>
      </w:pPr>
      <w:r>
        <w:t xml:space="preserve">NFR-AVAIL-031: Maintain live data plus local/nearline and off-site copies, encrypted, with restricted access, checksums, inventories, retention and immutability where supported.</w:t>
      </w:r>
    </w:p>
    <w:p>
      <w:pPr>
        <w:pStyle w:val="ListParagraph"/>
        <w:numPr>
          <w:ilvl w:val="0"/>
          <w:numId w:val="1"/>
        </w:numPr>
        <w:spacing w:after="60"/>
      </w:pPr>
      <w:r>
        <w:t xml:space="preserve">NFR-AVAIL-032 (new): Support per-tenant point-in-time restore that does not require restoring or affecting any other tenant's current data — restoring School A after an administrator error must never touch School B.</w:t>
      </w:r>
    </w:p>
    <w:p>
      <w:pPr>
        <w:pStyle w:val="ListParagraph"/>
        <w:numPr>
          <w:ilvl w:val="0"/>
          <w:numId w:val="1"/>
        </w:numPr>
        <w:spacing w:after="60"/>
      </w:pPr>
      <w:r>
        <w:t xml:space="preserve">NFR-AVAIL-033: Verify archive readability, counts, relationships, files, checksums and migration state on a recurring schedule, not only when a restore is actually needed.</w:t>
      </w:r>
    </w:p>
    <w:p>
      <w:pPr>
        <w:pStyle w:val="ListParagraph"/>
        <w:numPr>
          <w:ilvl w:val="0"/>
          <w:numId w:val="1"/>
        </w:numPr>
        <w:spacing w:after="60"/>
      </w:pPr>
      <w:r>
        <w:t xml:space="preserve">NFR-AVAIL-034: Document response for hardware failure, corruption, faulty migration, ransomware, account compromise, single-tenant data corruption, facility loss, internet outage and provider outage.</w:t>
      </w:r>
    </w:p>
    <w:p>
      <w:pPr>
        <w:pStyle w:val="Heading2"/>
        <w:spacing w:after="100" w:before="220"/>
      </w:pPr>
      <w:r>
        <w:rPr>
          <w:b/>
          <w:bCs/>
        </w:rPr>
        <w:t xml:space="preserve">38.2 Testing, Quality Assurance &amp; Traceability</w:t>
      </w:r>
    </w:p>
    <w:p>
      <w:pPr>
        <w:pStyle w:val="ListParagraph"/>
        <w:numPr>
          <w:ilvl w:val="0"/>
          <w:numId w:val="1"/>
        </w:numPr>
        <w:spacing w:after="60"/>
      </w:pPr>
      <w:r>
        <w:t xml:space="preserve">NFR-QA-010: Automated test coverage MUST meet, at minimum: 80% line coverage on domain/business-logic modules, 100% of permission and tenant-isolation boundary conditions, and end-to-end coverage of every workflow listed as a release-blocking acceptance criterion elsewhere in this document.</w:t>
      </w:r>
    </w:p>
    <w:p>
      <w:pPr>
        <w:pStyle w:val="ListParagraph"/>
        <w:numPr>
          <w:ilvl w:val="0"/>
          <w:numId w:val="1"/>
        </w:numPr>
        <w:spacing w:after="60"/>
      </w:pPr>
      <w:r>
        <w:t xml:space="preserve">NFR-QA-020: Cross-tenant access attempts are a mandatory, first-class test category — every endpoint, report, export and background job is tested with a second tenant's credentials attempting to read or write the first tenant's data, and the suite fails the build if any such attempt succeeds.</w:t>
      </w:r>
    </w:p>
    <w:p>
      <w:pPr>
        <w:pStyle w:val="ListParagraph"/>
        <w:numPr>
          <w:ilvl w:val="0"/>
          <w:numId w:val="1"/>
        </w:numPr>
        <w:spacing w:after="60"/>
      </w:pPr>
      <w:r>
        <w:t xml:space="preserve">NFR-QA-030: Migration tests compare counts, identifiers, relationships, scores, results, invoice balances, payments and documents before and after any migration.</w:t>
      </w:r>
    </w:p>
    <w:p>
      <w:pPr>
        <w:pStyle w:val="ListParagraph"/>
        <w:numPr>
          <w:ilvl w:val="0"/>
          <w:numId w:val="1"/>
        </w:numPr>
        <w:spacing w:after="60"/>
      </w:pPr>
      <w:r>
        <w:t xml:space="preserve">NFR-QA-040: Every requirement ID in this document (Appendix A) MUST map to design, implementation, database change, API, permission rule, automated test and acceptance evidence before the owning chapter is marked complete.</w:t>
      </w:r>
    </w:p>
    <w:p>
      <w:pPr>
        <w:pStyle w:val="ListParagraph"/>
        <w:numPr>
          <w:ilvl w:val="0"/>
          <w:numId w:val="1"/>
        </w:numPr>
        <w:spacing w:after="60"/>
      </w:pPr>
      <w:r>
        <w:t xml:space="preserve">NFR-QA-050: Defect severities — Critical (security, financial integrity, data loss, cross-tenant leak, total outage), High (major workflow unavailable, official result incorrect), Medium (important impairment with workaround), Low (minor usability/presentation). Critical and High defects block release.</w:t>
      </w:r>
    </w:p>
    <w:p>
      <w:pPr>
        <w:pStyle w:val="Heading2"/>
        <w:spacing w:after="100" w:before="220"/>
      </w:pPr>
      <w:r>
        <w:rPr>
          <w:b/>
          <w:bCs/>
        </w:rPr>
        <w:t xml:space="preserve">38.3 Deployment, Environment &amp; Release Management</w:t>
      </w:r>
    </w:p>
    <w:p>
      <w:pPr>
        <w:pStyle w:val="ListParagraph"/>
        <w:numPr>
          <w:ilvl w:val="0"/>
          <w:numId w:val="1"/>
        </w:numPr>
        <w:spacing w:after="60"/>
      </w:pPr>
      <w:r>
        <w:t xml:space="preserve">NFR-DEP-010: Local, development, automated test, staging and production use separate databases, storage, secrets, queues, providers, logs and backups; staging resembles production including representative multi-tenant synthetic data.</w:t>
      </w:r>
    </w:p>
    <w:p>
      <w:pPr>
        <w:pStyle w:val="ListParagraph"/>
        <w:numPr>
          <w:ilvl w:val="0"/>
          <w:numId w:val="1"/>
        </w:numPr>
        <w:spacing w:after="60"/>
      </w:pPr>
      <w:r>
        <w:t xml:space="preserve">NFR-DEP-020: Pipeline: review → automated tests → SAST/dependency scan (Chapter 33.5) → build → staging deploy → DAST → migration test → acceptance → approval → backup → production deploy → smoke test → monitoring.</w:t>
      </w:r>
    </w:p>
    <w:p>
      <w:pPr>
        <w:pStyle w:val="ListParagraph"/>
        <w:numPr>
          <w:ilvl w:val="0"/>
          <w:numId w:val="1"/>
        </w:numPr>
        <w:spacing w:after="60"/>
      </w:pPr>
      <w:r>
        <w:t xml:space="preserve">NFR-DEP-030: Migrations affecting tenant-owned tables are additive-first (expand/contract pattern) so that a mid-rollout state never leaves any tenant with a partially-migrated, inconsistent schema.</w:t>
      </w:r>
    </w:p>
    <w:p>
      <w:pPr>
        <w:pStyle w:val="ListParagraph"/>
        <w:numPr>
          <w:ilvl w:val="0"/>
          <w:numId w:val="1"/>
        </w:numPr>
        <w:spacing w:after="60"/>
      </w:pPr>
      <w:r>
        <w:t xml:space="preserve">NFR-DEP-040: Feature flags support gradual, tenant-by-tenant rollout, retain full permission enforcement, and have a named owner and a removal plan.</w:t>
      </w:r>
    </w:p>
    <w:p>
      <w:pPr>
        <w:pStyle w:val="ListParagraph"/>
        <w:numPr>
          <w:ilvl w:val="0"/>
          <w:numId w:val="1"/>
        </w:numPr>
        <w:spacing w:after="60"/>
      </w:pPr>
      <w:r>
        <w:t xml:space="preserve">NFR-DEP-050: Rollback triggers include authentication, authorization, academic calculation, financial integrity, cross-tenant isolation, migration and severe performance failures; valid post-release transactions are preserved, and forward-fix migration is preferred over destructive restoration wherever safe.</w:t>
      </w:r>
    </w:p>
    <w:p>
      <w:pPr>
        <w:pageBreakBefore/>
        <w:spacing w:after="120" w:before="2000"/>
        <w:jc w:val="center"/>
      </w:pPr>
      <w:r>
        <w:rPr>
          <w:color w:val="1F3864"/>
          <w:sz w:val="28"/>
          <w:szCs w:val="28"/>
        </w:rPr>
        <w:t xml:space="preserve">—</w:t>
      </w:r>
    </w:p>
    <w:p>
      <w:pPr>
        <w:pStyle w:val="Heading1"/>
        <w:spacing w:after="120" w:before="200"/>
        <w:jc w:val="center"/>
      </w:pPr>
      <w:r>
        <w:rPr>
          <w:b/>
          <w:bCs/>
          <w:color w:val="1F3864"/>
          <w:sz w:val="36"/>
          <w:szCs w:val="36"/>
        </w:rPr>
        <w:t xml:space="preserve">VOLUME V</w:t>
      </w:r>
    </w:p>
    <w:p>
      <w:pPr>
        <w:spacing w:after="2000"/>
        <w:jc w:val="center"/>
      </w:pPr>
      <w:r>
        <w:rPr>
          <w:i/>
          <w:iCs/>
          <w:sz w:val="24"/>
          <w:szCs w:val="24"/>
        </w:rPr>
        <w:t xml:space="preserve">Compliance &amp; Local Market Alignment — Chapters 39–42</w:t>
      </w:r>
    </w:p>
    <w:p>
      <w:pPr>
        <w:pStyle w:val="Heading1"/>
        <w:pageBreakBefore/>
        <w:spacing w:after="200" w:before="240"/>
      </w:pPr>
      <w:r>
        <w:rPr>
          <w:b/>
          <w:bCs/>
        </w:rPr>
        <w:t xml:space="preserve">Chapter 39 — Ghana Data Protection Act &amp; GDPR Alignment</w:t>
      </w:r>
    </w:p>
    <w:p>
      <w:pPr>
        <w:spacing w:after="120"/>
      </w:pPr>
      <w:r>
        <w:rPr>
          <w:b w:val="false"/>
          <w:bCs w:val="false"/>
          <w:i w:val="false"/>
          <w:iCs w:val="false"/>
        </w:rPr>
        <w:t xml:space="preserve">This chapter did not exist in Version 1.0. PBSMS processes the personal, medical, disciplinary and biometric data of children at scale, hosted in Ghana; this is not an optional chapter.</w:t>
      </w:r>
    </w:p>
    <w:p>
      <w:pPr>
        <w:pStyle w:val="Heading2"/>
        <w:spacing w:after="100" w:before="220"/>
      </w:pPr>
      <w:r>
        <w:rPr>
          <w:b/>
          <w:bCs/>
        </w:rPr>
        <w:t xml:space="preserve">39.1 Ghana Data Protection Act, 2012 (Act 843)</w:t>
      </w:r>
    </w:p>
    <w:p>
      <w:pPr>
        <w:pStyle w:val="ListParagraph"/>
        <w:numPr>
          <w:ilvl w:val="0"/>
          <w:numId w:val="1"/>
        </w:numPr>
        <w:spacing w:after="60"/>
      </w:pPr>
      <w:r>
        <w:t xml:space="preserve">DP-010: PBSMS (the company) MUST register as a data controller with Ghana's Data Protection Commission, and MUST support each tenant school in understanding its own controller obligations for the data it enters.</w:t>
      </w:r>
    </w:p>
    <w:p>
      <w:pPr>
        <w:pStyle w:val="ListParagraph"/>
        <w:numPr>
          <w:ilvl w:val="0"/>
          <w:numId w:val="1"/>
        </w:numPr>
        <w:spacing w:after="60"/>
      </w:pPr>
      <w:r>
        <w:t xml:space="preserve">DP-020: Every category of personal data collected MUST have a documented lawful basis (consent, contract necessity, legal obligation, or legitimate interest), recorded per data category in a data inventory.</w:t>
      </w:r>
    </w:p>
    <w:p>
      <w:pPr>
        <w:pStyle w:val="ListParagraph"/>
        <w:numPr>
          <w:ilvl w:val="0"/>
          <w:numId w:val="1"/>
        </w:numPr>
        <w:spacing w:after="60"/>
      </w:pPr>
      <w:r>
        <w:t xml:space="preserve">DP-030: The platform MUST provide a data-subject request workflow — access, rectification, and erasure-where-legally-possible — with a defined response SLA (30 days, per Act 843 norms), routed to the correct tenant's administrator with platform oversight.</w:t>
      </w:r>
    </w:p>
    <w:p>
      <w:pPr>
        <w:pStyle w:val="ListParagraph"/>
        <w:numPr>
          <w:ilvl w:val="0"/>
          <w:numId w:val="1"/>
        </w:numPr>
        <w:spacing w:after="60"/>
      </w:pPr>
      <w:r>
        <w:t xml:space="preserve">DP-040: Any personal data breach MUST be assessed within 24 hours of detection and, where it meets the statutory threshold, reported to the Data Protection Commission and affected tenants without undue delay, per the incident procedure in Chapter 33.6.</w:t>
      </w:r>
    </w:p>
    <w:p>
      <w:pPr>
        <w:pStyle w:val="Heading2"/>
        <w:spacing w:after="100" w:before="220"/>
      </w:pPr>
      <w:r>
        <w:rPr>
          <w:b/>
          <w:bCs/>
        </w:rPr>
        <w:t xml:space="preserve">39.2 GDPR Alignment</w:t>
      </w:r>
    </w:p>
    <w:p>
      <w:pPr>
        <w:spacing w:after="120"/>
      </w:pPr>
      <w:r>
        <w:rPr>
          <w:b w:val="false"/>
          <w:bCs w:val="false"/>
          <w:i w:val="false"/>
          <w:iCs w:val="false"/>
        </w:rPr>
        <w:t xml:space="preserve">DP-050: For any tenant serving guardians resident in the EU/EEA, or should PBSMS engage EU-based sub-processors, the platform SHOULD operate to GDPR-equivalent standards (lawful basis, data minimization, DPIA for high-risk processing such as biometric attendance, and a Standard Contractual Clauses framework for any cross-border transfer) even though Ghana is the primary jurisdiction.</w:t>
      </w:r>
    </w:p>
    <w:p>
      <w:pPr>
        <w:pStyle w:val="Heading2"/>
        <w:spacing w:after="100" w:before="220"/>
      </w:pPr>
      <w:r>
        <w:rPr>
          <w:b/>
          <w:bCs/>
        </w:rPr>
        <w:t xml:space="preserve">39.3 Controller/Processor Roles in a Multi-Tenant Platform</w:t>
      </w:r>
    </w:p>
    <w:p>
      <w:pPr>
        <w:spacing w:after="120"/>
      </w:pPr>
      <w:r>
        <w:rPr>
          <w:b w:val="false"/>
          <w:bCs w:val="false"/>
          <w:i w:val="false"/>
          <w:iCs w:val="false"/>
        </w:rPr>
        <w:t xml:space="preserve">DP-060: Each tenant school is the data controller for its own students', guardians' and staff's data. PBSMS is the data processor, acting only on the tenant's instructions as expressed through the product's configuration and the tenant's own staff actions — except for the narrow set of platform-role actions in Chapter 3, which are documented, audited, and limited to what is necessary to operate and support the service.</w:t>
      </w:r>
    </w:p>
    <w:p>
      <w:pPr>
        <w:pStyle w:val="Heading1"/>
        <w:pageBreakBefore/>
        <w:spacing w:after="200" w:before="240"/>
      </w:pPr>
      <w:r>
        <w:rPr>
          <w:b/>
          <w:bCs/>
        </w:rPr>
        <w:t xml:space="preserve">Chapter 40 — Consent, Retention &amp; Data Subject Rights</w:t>
      </w:r>
    </w:p>
    <w:p>
      <w:pPr>
        <w:pStyle w:val="Heading2"/>
        <w:spacing w:after="100" w:before="220"/>
      </w:pPr>
      <w:r>
        <w:rPr>
          <w:b/>
          <w:bCs/>
        </w:rPr>
        <w:t xml:space="preserve">40.1 Consent</w:t>
      </w:r>
    </w:p>
    <w:p>
      <w:pPr>
        <w:pStyle w:val="ListParagraph"/>
        <w:numPr>
          <w:ilvl w:val="0"/>
          <w:numId w:val="1"/>
        </w:numPr>
        <w:spacing w:after="60"/>
      </w:pPr>
      <w:r>
        <w:t xml:space="preserve">DP-070: Communication consent is captured per guardian, per channel (WhatsApp, SMS, email), is versioned, and can be withdrawn at any time without affecting the guardian's ability to view their child's records through the parent portal.</w:t>
      </w:r>
    </w:p>
    <w:p>
      <w:pPr>
        <w:pStyle w:val="ListParagraph"/>
        <w:numPr>
          <w:ilvl w:val="0"/>
          <w:numId w:val="1"/>
        </w:numPr>
        <w:spacing w:after="60"/>
      </w:pPr>
      <w:r>
        <w:t xml:space="preserve">DP-080: Biometric data collection (Chapter 36.2) requires explicit, separately captured guardian consent distinct from general platform terms, given its Highly Confidential classification (Chapter 11.6).</w:t>
      </w:r>
    </w:p>
    <w:p>
      <w:pPr>
        <w:pStyle w:val="Heading2"/>
        <w:spacing w:after="100" w:before="220"/>
      </w:pPr>
      <w:r>
        <w:rPr>
          <w:b/>
          <w:bCs/>
        </w:rPr>
        <w:t xml:space="preserve">40.2 Retention Schedule (new — replaces v1.0's undefined "according to policy")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3950"/>
      </w:tblGrid>
      <w:tr>
        <w:trPr>
          <w:tblHeader/>
        </w:trPr>
        <w:tc>
          <w:tcPr>
            <w:tcW w:type="dxa" w:w="2500"/>
            <w:shd w:fill="1F3864" w:val="clear"/>
            <w:tcMar>
              <w:top w:type="dxa" w:w="60"/>
              <w:left w:type="dxa" w:w="100"/>
              <w:bottom w:type="dxa" w:w="60"/>
              <w:right w:type="dxa" w:w="100"/>
            </w:tcMar>
            <w:vAlign w:val="center"/>
          </w:tcPr>
          <w:p>
            <w:r>
              <w:rPr>
                <w:b/>
                <w:bCs/>
                <w:color w:val="FFFFFF"/>
                <w:sz w:val="20"/>
                <w:szCs w:val="20"/>
              </w:rPr>
              <w:t xml:space="preserve">Record type</w:t>
            </w:r>
          </w:p>
        </w:tc>
        <w:tc>
          <w:tcPr>
            <w:tcW w:type="dxa" w:w="2900"/>
            <w:shd w:fill="1F3864" w:val="clear"/>
            <w:tcMar>
              <w:top w:type="dxa" w:w="60"/>
              <w:left w:type="dxa" w:w="100"/>
              <w:bottom w:type="dxa" w:w="60"/>
              <w:right w:type="dxa" w:w="100"/>
            </w:tcMar>
            <w:vAlign w:val="center"/>
          </w:tcPr>
          <w:p>
            <w:r>
              <w:rPr>
                <w:b/>
                <w:bCs/>
                <w:color w:val="FFFFFF"/>
                <w:sz w:val="20"/>
                <w:szCs w:val="20"/>
              </w:rPr>
              <w:t xml:space="preserve">Retention period</w:t>
            </w:r>
          </w:p>
        </w:tc>
        <w:tc>
          <w:tcPr>
            <w:tcW w:type="dxa" w:w="3950"/>
            <w:shd w:fill="1F3864" w:val="clear"/>
            <w:tcMar>
              <w:top w:type="dxa" w:w="60"/>
              <w:left w:type="dxa" w:w="100"/>
              <w:bottom w:type="dxa" w:w="60"/>
              <w:right w:type="dxa" w:w="100"/>
            </w:tcMar>
            <w:vAlign w:val="center"/>
          </w:tcPr>
          <w:p>
            <w:r>
              <w:rPr>
                <w:b/>
                <w:bCs/>
                <w:color w:val="FFFFFF"/>
                <w:sz w:val="20"/>
                <w:szCs w:val="20"/>
              </w:rPr>
              <w:t xml:space="preserve">Basis</w:t>
            </w:r>
          </w:p>
        </w:tc>
      </w:tr>
      <w:tr>
        <w:tc>
          <w:tcPr>
            <w:tcW w:type="dxa" w:w="2500"/>
            <w:tcMar>
              <w:top w:type="dxa" w:w="60"/>
              <w:left w:type="dxa" w:w="100"/>
              <w:bottom w:type="dxa" w:w="60"/>
              <w:right w:type="dxa" w:w="100"/>
            </w:tcMar>
            <w:vAlign w:val="center"/>
          </w:tcPr>
          <w:p>
            <w:r>
              <w:rPr>
                <w:b w:val="false"/>
                <w:bCs w:val="false"/>
                <w:sz w:val="20"/>
                <w:szCs w:val="20"/>
              </w:rPr>
              <w:t xml:space="preserve">Core academic record (results, report cards, certificates)</w:t>
            </w:r>
          </w:p>
        </w:tc>
        <w:tc>
          <w:tcPr>
            <w:tcW w:type="dxa" w:w="2900"/>
            <w:tcMar>
              <w:top w:type="dxa" w:w="60"/>
              <w:left w:type="dxa" w:w="100"/>
              <w:bottom w:type="dxa" w:w="60"/>
              <w:right w:type="dxa" w:w="100"/>
            </w:tcMar>
            <w:vAlign w:val="center"/>
          </w:tcPr>
          <w:p>
            <w:r>
              <w:rPr>
                <w:b w:val="false"/>
                <w:bCs w:val="false"/>
                <w:sz w:val="20"/>
                <w:szCs w:val="20"/>
              </w:rPr>
              <w:t xml:space="preserve">Permanent (archived after graduation, not deleted)</w:t>
            </w:r>
          </w:p>
        </w:tc>
        <w:tc>
          <w:tcPr>
            <w:tcW w:type="dxa" w:w="3950"/>
            <w:tcMar>
              <w:top w:type="dxa" w:w="60"/>
              <w:left w:type="dxa" w:w="100"/>
              <w:bottom w:type="dxa" w:w="60"/>
              <w:right w:type="dxa" w:w="100"/>
            </w:tcMar>
            <w:vAlign w:val="center"/>
          </w:tcPr>
          <w:p>
            <w:r>
              <w:rPr>
                <w:b w:val="false"/>
                <w:bCs w:val="false"/>
                <w:sz w:val="20"/>
                <w:szCs w:val="20"/>
              </w:rPr>
              <w:t xml:space="preserve">Lifelong reference value; BECE/SHS placement verification</w:t>
            </w:r>
          </w:p>
        </w:tc>
      </w:tr>
      <w:tr>
        <w:tc>
          <w:tcPr>
            <w:tcW w:type="dxa" w:w="2500"/>
            <w:shd w:fill="DCE6F1" w:val="clear"/>
            <w:tcMar>
              <w:top w:type="dxa" w:w="60"/>
              <w:left w:type="dxa" w:w="100"/>
              <w:bottom w:type="dxa" w:w="60"/>
              <w:right w:type="dxa" w:w="100"/>
            </w:tcMar>
            <w:vAlign w:val="center"/>
          </w:tcPr>
          <w:p>
            <w:r>
              <w:rPr>
                <w:b w:val="false"/>
                <w:bCs w:val="false"/>
                <w:sz w:val="20"/>
                <w:szCs w:val="20"/>
              </w:rPr>
              <w:t xml:space="preserve">Attendance records</w:t>
            </w:r>
          </w:p>
        </w:tc>
        <w:tc>
          <w:tcPr>
            <w:tcW w:type="dxa" w:w="2900"/>
            <w:shd w:fill="DCE6F1" w:val="clear"/>
            <w:tcMar>
              <w:top w:type="dxa" w:w="60"/>
              <w:left w:type="dxa" w:w="100"/>
              <w:bottom w:type="dxa" w:w="60"/>
              <w:right w:type="dxa" w:w="100"/>
            </w:tcMar>
            <w:vAlign w:val="center"/>
          </w:tcPr>
          <w:p>
            <w:r>
              <w:rPr>
                <w:b w:val="false"/>
                <w:bCs w:val="false"/>
                <w:sz w:val="20"/>
                <w:szCs w:val="20"/>
              </w:rPr>
              <w:t xml:space="preserve">7 years post-graduation, then archived cold storage</w:t>
            </w:r>
          </w:p>
        </w:tc>
        <w:tc>
          <w:tcPr>
            <w:tcW w:type="dxa" w:w="3950"/>
            <w:shd w:fill="DCE6F1" w:val="clear"/>
            <w:tcMar>
              <w:top w:type="dxa" w:w="60"/>
              <w:left w:type="dxa" w:w="100"/>
              <w:bottom w:type="dxa" w:w="60"/>
              <w:right w:type="dxa" w:w="100"/>
            </w:tcMar>
            <w:vAlign w:val="center"/>
          </w:tcPr>
          <w:p>
            <w:r>
              <w:rPr>
                <w:b w:val="false"/>
                <w:bCs w:val="false"/>
                <w:sz w:val="20"/>
                <w:szCs w:val="20"/>
              </w:rPr>
              <w:t xml:space="preserve">Aligned to typical Ghanaian record-keeping norms for schools</w:t>
            </w:r>
          </w:p>
        </w:tc>
      </w:tr>
      <w:tr>
        <w:tc>
          <w:tcPr>
            <w:tcW w:type="dxa" w:w="2500"/>
            <w:tcMar>
              <w:top w:type="dxa" w:w="60"/>
              <w:left w:type="dxa" w:w="100"/>
              <w:bottom w:type="dxa" w:w="60"/>
              <w:right w:type="dxa" w:w="100"/>
            </w:tcMar>
            <w:vAlign w:val="center"/>
          </w:tcPr>
          <w:p>
            <w:r>
              <w:rPr>
                <w:b w:val="false"/>
                <w:bCs w:val="false"/>
                <w:sz w:val="20"/>
                <w:szCs w:val="20"/>
              </w:rPr>
              <w:t xml:space="preserve">Financial transactions (invoices, payments, receipts)</w:t>
            </w:r>
          </w:p>
        </w:tc>
        <w:tc>
          <w:tcPr>
            <w:tcW w:type="dxa" w:w="2900"/>
            <w:tcMar>
              <w:top w:type="dxa" w:w="60"/>
              <w:left w:type="dxa" w:w="100"/>
              <w:bottom w:type="dxa" w:w="60"/>
              <w:right w:type="dxa" w:w="100"/>
            </w:tcMar>
            <w:vAlign w:val="center"/>
          </w:tcPr>
          <w:p>
            <w:r>
              <w:rPr>
                <w:b w:val="false"/>
                <w:bCs w:val="false"/>
                <w:sz w:val="20"/>
                <w:szCs w:val="20"/>
              </w:rPr>
              <w:t xml:space="preserve">7 years, per standard Ghanaian financial record-keeping practice</w:t>
            </w:r>
          </w:p>
        </w:tc>
        <w:tc>
          <w:tcPr>
            <w:tcW w:type="dxa" w:w="3950"/>
            <w:tcMar>
              <w:top w:type="dxa" w:w="60"/>
              <w:left w:type="dxa" w:w="100"/>
              <w:bottom w:type="dxa" w:w="60"/>
              <w:right w:type="dxa" w:w="100"/>
            </w:tcMar>
            <w:vAlign w:val="center"/>
          </w:tcPr>
          <w:p>
            <w:r>
              <w:rPr>
                <w:b w:val="false"/>
                <w:bCs w:val="false"/>
                <w:sz w:val="20"/>
                <w:szCs w:val="20"/>
              </w:rPr>
              <w:t xml:space="preserve">Tax and audit requirements</w:t>
            </w:r>
          </w:p>
        </w:tc>
      </w:tr>
      <w:tr>
        <w:tc>
          <w:tcPr>
            <w:tcW w:type="dxa" w:w="2500"/>
            <w:shd w:fill="DCE6F1" w:val="clear"/>
            <w:tcMar>
              <w:top w:type="dxa" w:w="60"/>
              <w:left w:type="dxa" w:w="100"/>
              <w:bottom w:type="dxa" w:w="60"/>
              <w:right w:type="dxa" w:w="100"/>
            </w:tcMar>
            <w:vAlign w:val="center"/>
          </w:tcPr>
          <w:p>
            <w:r>
              <w:rPr>
                <w:b w:val="false"/>
                <w:bCs w:val="false"/>
                <w:sz w:val="20"/>
                <w:szCs w:val="20"/>
              </w:rPr>
              <w:t xml:space="preserve">Medical/health records</w:t>
            </w:r>
          </w:p>
        </w:tc>
        <w:tc>
          <w:tcPr>
            <w:tcW w:type="dxa" w:w="2900"/>
            <w:shd w:fill="DCE6F1" w:val="clear"/>
            <w:tcMar>
              <w:top w:type="dxa" w:w="60"/>
              <w:left w:type="dxa" w:w="100"/>
              <w:bottom w:type="dxa" w:w="60"/>
              <w:right w:type="dxa" w:w="100"/>
            </w:tcMar>
            <w:vAlign w:val="center"/>
          </w:tcPr>
          <w:p>
            <w:r>
              <w:rPr>
                <w:b w:val="false"/>
                <w:bCs w:val="false"/>
                <w:sz w:val="20"/>
                <w:szCs w:val="20"/>
              </w:rPr>
              <w:t xml:space="preserve">Duration of enrolment + 3 years, then archived with restricted access</w:t>
            </w:r>
          </w:p>
        </w:tc>
        <w:tc>
          <w:tcPr>
            <w:tcW w:type="dxa" w:w="3950"/>
            <w:shd w:fill="DCE6F1" w:val="clear"/>
            <w:tcMar>
              <w:top w:type="dxa" w:w="60"/>
              <w:left w:type="dxa" w:w="100"/>
              <w:bottom w:type="dxa" w:w="60"/>
              <w:right w:type="dxa" w:w="100"/>
            </w:tcMar>
            <w:vAlign w:val="center"/>
          </w:tcPr>
          <w:p>
            <w:r>
              <w:rPr>
                <w:b w:val="false"/>
                <w:bCs w:val="false"/>
                <w:sz w:val="20"/>
                <w:szCs w:val="20"/>
              </w:rPr>
              <w:t xml:space="preserve">Ongoing care relevance balanced against minimization</w:t>
            </w:r>
          </w:p>
        </w:tc>
      </w:tr>
      <w:tr>
        <w:tc>
          <w:tcPr>
            <w:tcW w:type="dxa" w:w="2500"/>
            <w:tcMar>
              <w:top w:type="dxa" w:w="60"/>
              <w:left w:type="dxa" w:w="100"/>
              <w:bottom w:type="dxa" w:w="60"/>
              <w:right w:type="dxa" w:w="100"/>
            </w:tcMar>
            <w:vAlign w:val="center"/>
          </w:tcPr>
          <w:p>
            <w:r>
              <w:rPr>
                <w:b w:val="false"/>
                <w:bCs w:val="false"/>
                <w:sz w:val="20"/>
                <w:szCs w:val="20"/>
              </w:rPr>
              <w:t xml:space="preserve">Discipline records</w:t>
            </w:r>
          </w:p>
        </w:tc>
        <w:tc>
          <w:tcPr>
            <w:tcW w:type="dxa" w:w="2900"/>
            <w:tcMar>
              <w:top w:type="dxa" w:w="60"/>
              <w:left w:type="dxa" w:w="100"/>
              <w:bottom w:type="dxa" w:w="60"/>
              <w:right w:type="dxa" w:w="100"/>
            </w:tcMar>
            <w:vAlign w:val="center"/>
          </w:tcPr>
          <w:p>
            <w:r>
              <w:rPr>
                <w:b w:val="false"/>
                <w:bCs w:val="false"/>
                <w:sz w:val="20"/>
                <w:szCs w:val="20"/>
              </w:rPr>
              <w:t xml:space="preserve">Duration of enrolment + 1 year unless a legal matter is pending</w:t>
            </w:r>
          </w:p>
        </w:tc>
        <w:tc>
          <w:tcPr>
            <w:tcW w:type="dxa" w:w="3950"/>
            <w:tcMar>
              <w:top w:type="dxa" w:w="60"/>
              <w:left w:type="dxa" w:w="100"/>
              <w:bottom w:type="dxa" w:w="60"/>
              <w:right w:type="dxa" w:w="100"/>
            </w:tcMar>
            <w:vAlign w:val="center"/>
          </w:tcPr>
          <w:p>
            <w:r>
              <w:rPr>
                <w:b w:val="false"/>
                <w:bCs w:val="false"/>
                <w:sz w:val="20"/>
                <w:szCs w:val="20"/>
              </w:rPr>
              <w:t xml:space="preserve">Minimization; avoids indefinitely following a minor</w:t>
            </w:r>
          </w:p>
        </w:tc>
      </w:tr>
      <w:tr>
        <w:tc>
          <w:tcPr>
            <w:tcW w:type="dxa" w:w="2500"/>
            <w:shd w:fill="DCE6F1" w:val="clear"/>
            <w:tcMar>
              <w:top w:type="dxa" w:w="60"/>
              <w:left w:type="dxa" w:w="100"/>
              <w:bottom w:type="dxa" w:w="60"/>
              <w:right w:type="dxa" w:w="100"/>
            </w:tcMar>
            <w:vAlign w:val="center"/>
          </w:tcPr>
          <w:p>
            <w:r>
              <w:rPr>
                <w:b w:val="false"/>
                <w:bCs w:val="false"/>
                <w:sz w:val="20"/>
                <w:szCs w:val="20"/>
              </w:rPr>
              <w:t xml:space="preserve">Biometric templates</w:t>
            </w:r>
          </w:p>
        </w:tc>
        <w:tc>
          <w:tcPr>
            <w:tcW w:type="dxa" w:w="2900"/>
            <w:shd w:fill="DCE6F1" w:val="clear"/>
            <w:tcMar>
              <w:top w:type="dxa" w:w="60"/>
              <w:left w:type="dxa" w:w="100"/>
              <w:bottom w:type="dxa" w:w="60"/>
              <w:right w:type="dxa" w:w="100"/>
            </w:tcMar>
            <w:vAlign w:val="center"/>
          </w:tcPr>
          <w:p>
            <w:r>
              <w:rPr>
                <w:b w:val="false"/>
                <w:bCs w:val="false"/>
                <w:sz w:val="20"/>
                <w:szCs w:val="20"/>
              </w:rPr>
              <w:t xml:space="preserve">Deleted within 30 days of a student's or staff member's exit from the tenant</w:t>
            </w:r>
          </w:p>
        </w:tc>
        <w:tc>
          <w:tcPr>
            <w:tcW w:type="dxa" w:w="3950"/>
            <w:shd w:fill="DCE6F1" w:val="clear"/>
            <w:tcMar>
              <w:top w:type="dxa" w:w="60"/>
              <w:left w:type="dxa" w:w="100"/>
              <w:bottom w:type="dxa" w:w="60"/>
              <w:right w:type="dxa" w:w="100"/>
            </w:tcMar>
            <w:vAlign w:val="center"/>
          </w:tcPr>
          <w:p>
            <w:r>
              <w:rPr>
                <w:b w:val="false"/>
                <w:bCs w:val="false"/>
                <w:sz w:val="20"/>
                <w:szCs w:val="20"/>
              </w:rPr>
              <w:t xml:space="preserve">Highly Confidential classification; minimization</w:t>
            </w:r>
          </w:p>
        </w:tc>
      </w:tr>
      <w:tr>
        <w:tc>
          <w:tcPr>
            <w:tcW w:type="dxa" w:w="2500"/>
            <w:tcMar>
              <w:top w:type="dxa" w:w="60"/>
              <w:left w:type="dxa" w:w="100"/>
              <w:bottom w:type="dxa" w:w="60"/>
              <w:right w:type="dxa" w:w="100"/>
            </w:tcMar>
            <w:vAlign w:val="center"/>
          </w:tcPr>
          <w:p>
            <w:r>
              <w:rPr>
                <w:b w:val="false"/>
                <w:bCs w:val="false"/>
                <w:sz w:val="20"/>
                <w:szCs w:val="20"/>
              </w:rPr>
              <w:t xml:space="preserve">Audit logs</w:t>
            </w:r>
          </w:p>
        </w:tc>
        <w:tc>
          <w:tcPr>
            <w:tcW w:type="dxa" w:w="2900"/>
            <w:tcMar>
              <w:top w:type="dxa" w:w="60"/>
              <w:left w:type="dxa" w:w="100"/>
              <w:bottom w:type="dxa" w:w="60"/>
              <w:right w:type="dxa" w:w="100"/>
            </w:tcMar>
            <w:vAlign w:val="center"/>
          </w:tcPr>
          <w:p>
            <w:r>
              <w:rPr>
                <w:b w:val="false"/>
                <w:bCs w:val="false"/>
                <w:sz w:val="20"/>
                <w:szCs w:val="20"/>
              </w:rPr>
              <w:t xml:space="preserve">3 years online, then cold archive for 7 years total</w:t>
            </w:r>
          </w:p>
        </w:tc>
        <w:tc>
          <w:tcPr>
            <w:tcW w:type="dxa" w:w="3950"/>
            <w:tcMar>
              <w:top w:type="dxa" w:w="60"/>
              <w:left w:type="dxa" w:w="100"/>
              <w:bottom w:type="dxa" w:w="60"/>
              <w:right w:type="dxa" w:w="100"/>
            </w:tcMar>
            <w:vAlign w:val="center"/>
          </w:tcPr>
          <w:p>
            <w:r>
              <w:rPr>
                <w:b w:val="false"/>
                <w:bCs w:val="false"/>
                <w:sz w:val="20"/>
                <w:szCs w:val="20"/>
              </w:rPr>
              <w:t xml:space="preserve">Security investigation and compliance need</w:t>
            </w:r>
          </w:p>
        </w:tc>
      </w:tr>
      <w:tr>
        <w:tc>
          <w:tcPr>
            <w:tcW w:type="dxa" w:w="2500"/>
            <w:shd w:fill="DCE6F1" w:val="clear"/>
            <w:tcMar>
              <w:top w:type="dxa" w:w="60"/>
              <w:left w:type="dxa" w:w="100"/>
              <w:bottom w:type="dxa" w:w="60"/>
              <w:right w:type="dxa" w:w="100"/>
            </w:tcMar>
            <w:vAlign w:val="center"/>
          </w:tcPr>
          <w:p>
            <w:r>
              <w:rPr>
                <w:b w:val="false"/>
                <w:bCs w:val="false"/>
                <w:sz w:val="20"/>
                <w:szCs w:val="20"/>
              </w:rPr>
              <w:t xml:space="preserve">Tenant data after account closure (Chapter 4)</w:t>
            </w:r>
          </w:p>
        </w:tc>
        <w:tc>
          <w:tcPr>
            <w:tcW w:type="dxa" w:w="2900"/>
            <w:shd w:fill="DCE6F1" w:val="clear"/>
            <w:tcMar>
              <w:top w:type="dxa" w:w="60"/>
              <w:left w:type="dxa" w:w="100"/>
              <w:bottom w:type="dxa" w:w="60"/>
              <w:right w:type="dxa" w:w="100"/>
            </w:tcMar>
            <w:vAlign w:val="center"/>
          </w:tcPr>
          <w:p>
            <w:r>
              <w:rPr>
                <w:b w:val="false"/>
                <w:bCs w:val="false"/>
                <w:sz w:val="20"/>
                <w:szCs w:val="20"/>
              </w:rPr>
              <w:t xml:space="preserve">90-day recoverable export window, then permanent deletion except statutory-retention categories above</w:t>
            </w:r>
          </w:p>
        </w:tc>
        <w:tc>
          <w:tcPr>
            <w:tcW w:type="dxa" w:w="3950"/>
            <w:shd w:fill="DCE6F1" w:val="clear"/>
            <w:tcMar>
              <w:top w:type="dxa" w:w="60"/>
              <w:left w:type="dxa" w:w="100"/>
              <w:bottom w:type="dxa" w:w="60"/>
              <w:right w:type="dxa" w:w="100"/>
            </w:tcMar>
            <w:vAlign w:val="center"/>
          </w:tcPr>
          <w:p>
            <w:r>
              <w:rPr>
                <w:b w:val="false"/>
                <w:bCs w:val="false"/>
                <w:sz w:val="20"/>
                <w:szCs w:val="20"/>
              </w:rPr>
              <w:t xml:space="preserve">Balances customer recovery against minimization</w:t>
            </w:r>
          </w:p>
        </w:tc>
      </w:tr>
    </w:tbl>
    <w:p>
      <w:pPr>
        <w:pStyle w:val="Heading2"/>
        <w:spacing w:after="100" w:before="220"/>
      </w:pPr>
      <w:r>
        <w:rPr>
          <w:b/>
          <w:bCs/>
        </w:rPr>
        <w:t xml:space="preserve">40.3 Data Subject Rights</w:t>
      </w:r>
    </w:p>
    <w:p>
      <w:pPr>
        <w:spacing w:after="120"/>
      </w:pPr>
      <w:r>
        <w:rPr>
          <w:b w:val="false"/>
          <w:bCs w:val="false"/>
          <w:i w:val="false"/>
          <w:iCs w:val="false"/>
        </w:rPr>
        <w:t xml:space="preserve">DP-090: A guardian or staff member MAY request a copy of their own or their linked child's data, correction of inaccurate data, and — where no retention obligation above applies — erasure. Requests are logged, routed to the tenant, and tracked to the DP-030 SLA.</w:t>
      </w:r>
    </w:p>
    <w:p>
      <w:pPr>
        <w:pStyle w:val="Heading1"/>
        <w:pageBreakBefore/>
        <w:spacing w:after="200" w:before="240"/>
      </w:pPr>
      <w:r>
        <w:rPr>
          <w:b/>
          <w:bCs/>
        </w:rPr>
        <w:t xml:space="preserve">Chapter 41 — NaCCA, BECE, GES &amp; CSSPS Alignment</w:t>
      </w:r>
    </w:p>
    <w:p>
      <w:pPr>
        <w:spacing w:after="120"/>
      </w:pPr>
      <w:r>
        <w:rPr>
          <w:b w:val="false"/>
          <w:bCs w:val="false"/>
          <w:i w:val="false"/>
          <w:iCs w:val="false"/>
        </w:rPr>
        <w:t xml:space="preserve">This chapter closes the local-curriculum gap identified against Version 1.0, which used a generic numeric/developmental grading model with no link to Ghana's actual curriculum framework.</w:t>
      </w:r>
    </w:p>
    <w:p>
      <w:pPr>
        <w:pStyle w:val="Heading2"/>
        <w:spacing w:after="100" w:before="220"/>
      </w:pPr>
      <w:r>
        <w:rPr>
          <w:b/>
          <w:bCs/>
        </w:rPr>
        <w:t xml:space="preserve">41.1 NaCCA Standards-Based Curriculum</w:t>
      </w:r>
    </w:p>
    <w:p>
      <w:pPr>
        <w:pStyle w:val="ListParagraph"/>
        <w:numPr>
          <w:ilvl w:val="0"/>
          <w:numId w:val="1"/>
        </w:numPr>
        <w:spacing w:after="60"/>
      </w:pPr>
      <w:r>
        <w:t xml:space="preserve">DOM-010: Subjects MAY be structured as strands → sub-strands → content standards → indicators, matching the NaCCA Standards-Based Curriculum, as a tenant-level opt-in on top of the generic subject model in Chapter 17.</w:t>
      </w:r>
    </w:p>
    <w:p>
      <w:pPr>
        <w:pStyle w:val="ListParagraph"/>
        <w:numPr>
          <w:ilvl w:val="0"/>
          <w:numId w:val="1"/>
        </w:numPr>
        <w:spacing w:after="60"/>
      </w:pPr>
      <w:r>
        <w:t xml:space="preserve">DOM-020: Assessment items MAY be tagged to a specific indicator, enabling competency-coverage reporting (which indicators have been assessed, which have not) rather than only a subject-level score.</w:t>
      </w:r>
    </w:p>
    <w:p>
      <w:pPr>
        <w:pStyle w:val="ListParagraph"/>
        <w:numPr>
          <w:ilvl w:val="0"/>
          <w:numId w:val="1"/>
        </w:numPr>
        <w:spacing w:after="60"/>
      </w:pPr>
      <w:r>
        <w:t xml:space="preserve">DOM-030: Report cards for tenants using the NaCCA model display a competency profile alongside or instead of a raw numeric score, consistent with GES-issued exemplar formats.</w:t>
      </w:r>
    </w:p>
    <w:p>
      <w:pPr>
        <w:pStyle w:val="Heading2"/>
        <w:spacing w:after="100" w:before="220"/>
      </w:pPr>
      <w:r>
        <w:rPr>
          <w:b/>
          <w:bCs/>
        </w:rPr>
        <w:t xml:space="preserve">41.2 BECE Support</w:t>
      </w:r>
    </w:p>
    <w:p>
      <w:pPr>
        <w:pStyle w:val="ListParagraph"/>
        <w:numPr>
          <w:ilvl w:val="0"/>
          <w:numId w:val="1"/>
        </w:numPr>
        <w:spacing w:after="60"/>
      </w:pPr>
      <w:r>
        <w:t xml:space="preserve">DOM-040: Support JHS 3 candidate registration with index numbers, matching the format required for BECE registration.</w:t>
      </w:r>
    </w:p>
    <w:p>
      <w:pPr>
        <w:pStyle w:val="ListParagraph"/>
        <w:numPr>
          <w:ilvl w:val="0"/>
          <w:numId w:val="1"/>
        </w:numPr>
        <w:spacing w:after="60"/>
      </w:pPr>
      <w:r>
        <w:t xml:space="preserve">DOM-050: Support mock-BECE exam management and results in BECE-equivalent format (grade 1–9 scale per subject, aggregate of best six), giving parents and coordinators a realistic preview ahead of the actual examination.</w:t>
      </w:r>
    </w:p>
    <w:p>
      <w:pPr>
        <w:pStyle w:val="ListParagraph"/>
        <w:numPr>
          <w:ilvl w:val="0"/>
          <w:numId w:val="1"/>
        </w:numPr>
        <w:spacing w:after="60"/>
      </w:pPr>
      <w:r>
        <w:t xml:space="preserve">DOM-060: Provide BECE-readiness analytics: subject-by-subject strength/weakness against historical school performance, at student and class level.</w:t>
      </w:r>
    </w:p>
    <w:p>
      <w:pPr>
        <w:pStyle w:val="Heading2"/>
        <w:spacing w:after="100" w:before="220"/>
      </w:pPr>
      <w:r>
        <w:rPr>
          <w:b/>
          <w:bCs/>
        </w:rPr>
        <w:t xml:space="preserve">41.3 GES Statutory Reporting</w:t>
      </w:r>
    </w:p>
    <w:p>
      <w:pPr>
        <w:spacing w:after="120"/>
      </w:pPr>
      <w:r>
        <w:rPr>
          <w:b w:val="false"/>
          <w:bCs w:val="false"/>
          <w:i w:val="false"/>
          <w:iCs w:val="false"/>
        </w:rPr>
        <w:t xml:space="preserve">DOM-070: Support GES-standard report-card layout as a selectable template alongside PBSMS's own default, and support the common statutory return formats (enrolment census, attendance returns) that schools are typically asked to produce for GES/District Education Office, as configurable, exportable reports.</w:t>
      </w:r>
    </w:p>
    <w:p>
      <w:pPr>
        <w:pStyle w:val="Heading2"/>
        <w:spacing w:after="100" w:before="220"/>
      </w:pPr>
      <w:r>
        <w:rPr>
          <w:b/>
          <w:bCs/>
        </w:rPr>
        <w:t xml:space="preserve">41.4 CSSPS Placement Touchpoints</w:t>
      </w:r>
    </w:p>
    <w:p>
      <w:pPr>
        <w:spacing w:after="120"/>
      </w:pPr>
      <w:r>
        <w:rPr>
          <w:b w:val="false"/>
          <w:bCs w:val="false"/>
          <w:i w:val="false"/>
          <w:iCs w:val="false"/>
        </w:rPr>
        <w:t xml:space="preserve">DOM-080: For JHS 3 completers, support recording of CSSPS (Computerized School Selection and Placement System) choices and, where available, placement outcomes, against the student's permanent record — informational recording, not an integration with the CSSPS system itself, which is out of scope for v1.</w:t>
      </w:r>
    </w:p>
    <w:p>
      <w:pPr>
        <w:pStyle w:val="Heading1"/>
        <w:pageBreakBefore/>
        <w:spacing w:after="200" w:before="240"/>
      </w:pPr>
      <w:r>
        <w:rPr>
          <w:b/>
          <w:bCs/>
        </w:rPr>
        <w:t xml:space="preserve">Chapter 42 — Accessibility &amp; Inclusive Design</w:t>
      </w:r>
    </w:p>
    <w:p>
      <w:pPr>
        <w:spacing w:after="120"/>
      </w:pPr>
      <w:r>
        <w:rPr>
          <w:b w:val="false"/>
          <w:bCs w:val="false"/>
          <w:i w:val="false"/>
          <w:iCs w:val="false"/>
        </w:rPr>
        <w:t xml:space="preserve">DOM-090 / NFR-ACC-010: The platform's staff- and guardian-facing web interface MUST conform to WCAG 2.1 Level AA. This replaces Version 1.0's unqualified use of the word "accessible" with a named, testable standard.</w:t>
      </w:r>
    </w:p>
    <w:p>
      <w:pPr>
        <w:pStyle w:val="Heading2"/>
        <w:spacing w:after="100" w:before="220"/>
      </w:pPr>
      <w:r>
        <w:rPr>
          <w:b/>
          <w:bCs/>
        </w:rPr>
        <w:t xml:space="preserve">42.1 Requirements</w:t>
      </w:r>
    </w:p>
    <w:p>
      <w:pPr>
        <w:pStyle w:val="ListParagraph"/>
        <w:numPr>
          <w:ilvl w:val="0"/>
          <w:numId w:val="1"/>
        </w:numPr>
        <w:spacing w:after="60"/>
      </w:pPr>
      <w:r>
        <w:t xml:space="preserve">NFR-ACC-020: Automated accessibility checks (axe-core or equivalent) run in CI on every pull request touching frontend code and block merge on new critical violations.</w:t>
      </w:r>
    </w:p>
    <w:p>
      <w:pPr>
        <w:pStyle w:val="ListParagraph"/>
        <w:numPr>
          <w:ilvl w:val="0"/>
          <w:numId w:val="1"/>
        </w:numPr>
        <w:spacing w:after="60"/>
      </w:pPr>
      <w:r>
        <w:t xml:space="preserve">NFR-ACC-030: A full manual WCAG 2.1 AA audit, including screen-reader testing, is performed before General Availability and annually thereafter.</w:t>
      </w:r>
    </w:p>
    <w:p>
      <w:pPr>
        <w:pStyle w:val="ListParagraph"/>
        <w:numPr>
          <w:ilvl w:val="0"/>
          <w:numId w:val="1"/>
        </w:numPr>
        <w:spacing w:after="60"/>
      </w:pPr>
      <w:r>
        <w:t xml:space="preserve">NFR-ACC-040: Critical attendance, score-entry, notification, approval and parent-facing functions are verified usable via keyboard alone and via a screen reader, not merely styled to look compliant.</w:t>
      </w:r>
    </w:p>
    <w:p>
      <w:pPr>
        <w:pageBreakBefore/>
        <w:spacing w:after="120" w:before="2000"/>
        <w:jc w:val="center"/>
      </w:pPr>
      <w:r>
        <w:rPr>
          <w:color w:val="1F3864"/>
          <w:sz w:val="28"/>
          <w:szCs w:val="28"/>
        </w:rPr>
        <w:t xml:space="preserve">—</w:t>
      </w:r>
    </w:p>
    <w:p>
      <w:pPr>
        <w:pStyle w:val="Heading1"/>
        <w:spacing w:after="120" w:before="200"/>
        <w:jc w:val="center"/>
      </w:pPr>
      <w:r>
        <w:rPr>
          <w:b/>
          <w:bCs/>
          <w:color w:val="1F3864"/>
          <w:sz w:val="36"/>
          <w:szCs w:val="36"/>
        </w:rPr>
        <w:t xml:space="preserve">VOLUME VI</w:t>
      </w:r>
    </w:p>
    <w:p>
      <w:pPr>
        <w:spacing w:after="2000"/>
        <w:jc w:val="center"/>
      </w:pPr>
      <w:r>
        <w:rPr>
          <w:i/>
          <w:iCs/>
          <w:sz w:val="24"/>
          <w:szCs w:val="24"/>
        </w:rPr>
        <w:t xml:space="preserve">Delivery Strategy — Chapters 43–46</w:t>
      </w:r>
    </w:p>
    <w:p>
      <w:pPr>
        <w:pStyle w:val="Heading1"/>
        <w:pageBreakBefore/>
        <w:spacing w:after="200" w:before="240"/>
      </w:pPr>
      <w:r>
        <w:rPr>
          <w:b/>
          <w:bCs/>
        </w:rPr>
        <w:t xml:space="preserve">Chapter 43 — Delivery Methodology &amp; Team</w:t>
      </w:r>
    </w:p>
    <w:p>
      <w:pPr>
        <w:spacing w:after="120"/>
      </w:pPr>
      <w:r>
        <w:rPr>
          <w:b w:val="false"/>
          <w:bCs w:val="false"/>
          <w:i w:val="false"/>
          <w:iCs w:val="false"/>
        </w:rPr>
        <w:t xml:space="preserve">Version 1.0's Volume IV specified delivery as 55 sequential prompts executed by an autonomous AI coding agent ("Codex") against an existing codebase, with no team, no estimate, and no named owner for any decision. That approach is replaced here with a conventional, accountable software delivery model. AI coding assistants remain a legitimate and encouraged productivity tool within this model — see 43.3 — but they are a tool a team uses, not the delivery mechanism itself.</w:t>
      </w:r>
    </w:p>
    <w:p>
      <w:pPr>
        <w:pStyle w:val="Heading2"/>
        <w:spacing w:after="100" w:before="220"/>
      </w:pPr>
      <w:r>
        <w:rPr>
          <w:b/>
          <w:bCs/>
        </w:rPr>
        <w:t xml:space="preserve">43.1 Why This Change</w:t>
      </w:r>
    </w:p>
    <w:p>
      <w:pPr>
        <w:pStyle w:val="ListParagraph"/>
        <w:numPr>
          <w:ilvl w:val="0"/>
          <w:numId w:val="1"/>
        </w:numPr>
        <w:spacing w:after="60"/>
      </w:pPr>
      <w:r>
        <w:t xml:space="preserve">Accountability: a specification this consequential — children's records, school finances, cross-tenant isolation — needs a named human engineer accountable for each decision, not a prompt-and-hope loop.</w:t>
      </w:r>
    </w:p>
    <w:p>
      <w:pPr>
        <w:pStyle w:val="ListParagraph"/>
        <w:numPr>
          <w:ilvl w:val="0"/>
          <w:numId w:val="1"/>
        </w:numPr>
        <w:spacing w:after="60"/>
      </w:pPr>
      <w:r>
        <w:t xml:space="preserve">Judgment: several requirements in this document (the tenancy isolation model, the retention schedule, the payment settlement model) require judgment calls, stakeholder sign-off and trade-off decisions that a prompt sequence cannot make.</w:t>
      </w:r>
    </w:p>
    <w:p>
      <w:pPr>
        <w:pStyle w:val="ListParagraph"/>
        <w:numPr>
          <w:ilvl w:val="0"/>
          <w:numId w:val="1"/>
        </w:numPr>
        <w:spacing w:after="60"/>
      </w:pPr>
      <w:r>
        <w:t xml:space="preserve">Continuity: a real team retains institutional knowledge across the life of the product; a sequence of isolated agent sessions does not.</w:t>
      </w:r>
    </w:p>
    <w:p>
      <w:pPr>
        <w:pStyle w:val="Heading2"/>
        <w:spacing w:after="100" w:before="220"/>
      </w:pPr>
      <w:r>
        <w:rPr>
          <w:b/>
          <w:bCs/>
        </w:rPr>
        <w:t xml:space="preserve">43.2 Recommended Team Composition (for a v1 build)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50"/>
      </w:tblGrid>
      <w:tr>
        <w:trPr>
          <w:tblHeader/>
        </w:trPr>
        <w:tc>
          <w:tcPr>
            <w:tcW w:type="dxa" w:w="2600"/>
            <w:shd w:fill="1F3864" w:val="clear"/>
            <w:tcMar>
              <w:top w:type="dxa" w:w="60"/>
              <w:left w:type="dxa" w:w="100"/>
              <w:bottom w:type="dxa" w:w="60"/>
              <w:right w:type="dxa" w:w="100"/>
            </w:tcMar>
            <w:vAlign w:val="center"/>
          </w:tcPr>
          <w:p>
            <w:r>
              <w:rPr>
                <w:b/>
                <w:bCs/>
                <w:color w:val="FFFFFF"/>
                <w:sz w:val="20"/>
                <w:szCs w:val="20"/>
              </w:rPr>
              <w:t xml:space="preserve">Role</w:t>
            </w:r>
          </w:p>
        </w:tc>
        <w:tc>
          <w:tcPr>
            <w:tcW w:type="dxa" w:w="1300"/>
            <w:shd w:fill="1F3864" w:val="clear"/>
            <w:tcMar>
              <w:top w:type="dxa" w:w="60"/>
              <w:left w:type="dxa" w:w="100"/>
              <w:bottom w:type="dxa" w:w="60"/>
              <w:right w:type="dxa" w:w="100"/>
            </w:tcMar>
            <w:vAlign w:val="center"/>
          </w:tcPr>
          <w:p>
            <w:r>
              <w:rPr>
                <w:b/>
                <w:bCs/>
                <w:color w:val="FFFFFF"/>
                <w:sz w:val="20"/>
                <w:szCs w:val="20"/>
              </w:rPr>
              <w:t xml:space="preserve">Count</w:t>
            </w:r>
          </w:p>
        </w:tc>
        <w:tc>
          <w:tcPr>
            <w:tcW w:type="dxa" w:w="5450"/>
            <w:shd w:fill="1F3864" w:val="clear"/>
            <w:tcMar>
              <w:top w:type="dxa" w:w="60"/>
              <w:left w:type="dxa" w:w="100"/>
              <w:bottom w:type="dxa" w:w="60"/>
              <w:right w:type="dxa" w:w="100"/>
            </w:tcMar>
            <w:vAlign w:val="center"/>
          </w:tcPr>
          <w:p>
            <w:r>
              <w:rPr>
                <w:b/>
                <w:bCs/>
                <w:color w:val="FFFFFF"/>
                <w:sz w:val="20"/>
                <w:szCs w:val="20"/>
              </w:rPr>
              <w:t xml:space="preserve">Focus</w:t>
            </w:r>
          </w:p>
        </w:tc>
      </w:tr>
      <w:tr>
        <w:tc>
          <w:tcPr>
            <w:tcW w:type="dxa" w:w="2600"/>
            <w:tcMar>
              <w:top w:type="dxa" w:w="60"/>
              <w:left w:type="dxa" w:w="100"/>
              <w:bottom w:type="dxa" w:w="60"/>
              <w:right w:type="dxa" w:w="100"/>
            </w:tcMar>
            <w:vAlign w:val="center"/>
          </w:tcPr>
          <w:p>
            <w:r>
              <w:rPr>
                <w:b w:val="false"/>
                <w:bCs w:val="false"/>
                <w:sz w:val="20"/>
                <w:szCs w:val="20"/>
              </w:rPr>
              <w:t xml:space="preserve">Engineering Lead / Architect</w:t>
            </w:r>
          </w:p>
        </w:tc>
        <w:tc>
          <w:tcPr>
            <w:tcW w:type="dxa" w:w="1300"/>
            <w:tcMar>
              <w:top w:type="dxa" w:w="60"/>
              <w:left w:type="dxa" w:w="100"/>
              <w:bottom w:type="dxa" w:w="60"/>
              <w:right w:type="dxa" w:w="100"/>
            </w:tcMar>
            <w:vAlign w:val="center"/>
          </w:tcPr>
          <w:p>
            <w:r>
              <w:rPr>
                <w:b w:val="false"/>
                <w:bCs w:val="false"/>
                <w:sz w:val="20"/>
                <w:szCs w:val="20"/>
              </w:rPr>
              <w:t xml:space="preserve">1</w:t>
            </w:r>
          </w:p>
        </w:tc>
        <w:tc>
          <w:tcPr>
            <w:tcW w:type="dxa" w:w="5450"/>
            <w:tcMar>
              <w:top w:type="dxa" w:w="60"/>
              <w:left w:type="dxa" w:w="100"/>
              <w:bottom w:type="dxa" w:w="60"/>
              <w:right w:type="dxa" w:w="100"/>
            </w:tcMar>
            <w:vAlign w:val="center"/>
          </w:tcPr>
          <w:p>
            <w:r>
              <w:rPr>
                <w:b w:val="false"/>
                <w:bCs w:val="false"/>
                <w:sz w:val="20"/>
                <w:szCs w:val="20"/>
              </w:rPr>
              <w:t xml:space="preserve">Owns Volume 0 and Volume IV decisions; final say on tenancy, security and data model</w:t>
            </w:r>
          </w:p>
        </w:tc>
      </w:tr>
      <w:tr>
        <w:tc>
          <w:tcPr>
            <w:tcW w:type="dxa" w:w="2600"/>
            <w:shd w:fill="DCE6F1" w:val="clear"/>
            <w:tcMar>
              <w:top w:type="dxa" w:w="60"/>
              <w:left w:type="dxa" w:w="100"/>
              <w:bottom w:type="dxa" w:w="60"/>
              <w:right w:type="dxa" w:w="100"/>
            </w:tcMar>
            <w:vAlign w:val="center"/>
          </w:tcPr>
          <w:p>
            <w:r>
              <w:rPr>
                <w:b w:val="false"/>
                <w:bCs w:val="false"/>
                <w:sz w:val="20"/>
                <w:szCs w:val="20"/>
              </w:rPr>
              <w:t xml:space="preserve">Backend Engineers</w:t>
            </w:r>
          </w:p>
        </w:tc>
        <w:tc>
          <w:tcPr>
            <w:tcW w:type="dxa" w:w="1300"/>
            <w:shd w:fill="DCE6F1" w:val="clear"/>
            <w:tcMar>
              <w:top w:type="dxa" w:w="60"/>
              <w:left w:type="dxa" w:w="100"/>
              <w:bottom w:type="dxa" w:w="60"/>
              <w:right w:type="dxa" w:w="100"/>
            </w:tcMar>
            <w:vAlign w:val="center"/>
          </w:tcPr>
          <w:p>
            <w:r>
              <w:rPr>
                <w:b w:val="false"/>
                <w:bCs w:val="false"/>
                <w:sz w:val="20"/>
                <w:szCs w:val="20"/>
              </w:rPr>
              <w:t xml:space="preserve">2–3</w:t>
            </w:r>
          </w:p>
        </w:tc>
        <w:tc>
          <w:tcPr>
            <w:tcW w:type="dxa" w:w="5450"/>
            <w:shd w:fill="DCE6F1" w:val="clear"/>
            <w:tcMar>
              <w:top w:type="dxa" w:w="60"/>
              <w:left w:type="dxa" w:w="100"/>
              <w:bottom w:type="dxa" w:w="60"/>
              <w:right w:type="dxa" w:w="100"/>
            </w:tcMar>
            <w:vAlign w:val="center"/>
          </w:tcPr>
          <w:p>
            <w:r>
              <w:rPr>
                <w:b w:val="false"/>
                <w:bCs w:val="false"/>
                <w:sz w:val="20"/>
                <w:szCs w:val="20"/>
              </w:rPr>
              <w:t xml:space="preserve">Domain services, API, integrations, background jobs</w:t>
            </w:r>
          </w:p>
        </w:tc>
      </w:tr>
      <w:tr>
        <w:tc>
          <w:tcPr>
            <w:tcW w:type="dxa" w:w="2600"/>
            <w:tcMar>
              <w:top w:type="dxa" w:w="60"/>
              <w:left w:type="dxa" w:w="100"/>
              <w:bottom w:type="dxa" w:w="60"/>
              <w:right w:type="dxa" w:w="100"/>
            </w:tcMar>
            <w:vAlign w:val="center"/>
          </w:tcPr>
          <w:p>
            <w:r>
              <w:rPr>
                <w:b w:val="false"/>
                <w:bCs w:val="false"/>
                <w:sz w:val="20"/>
                <w:szCs w:val="20"/>
              </w:rPr>
              <w:t xml:space="preserve">Frontend Engineer</w:t>
            </w:r>
          </w:p>
        </w:tc>
        <w:tc>
          <w:tcPr>
            <w:tcW w:type="dxa" w:w="1300"/>
            <w:tcMar>
              <w:top w:type="dxa" w:w="60"/>
              <w:left w:type="dxa" w:w="100"/>
              <w:bottom w:type="dxa" w:w="60"/>
              <w:right w:type="dxa" w:w="100"/>
            </w:tcMar>
            <w:vAlign w:val="center"/>
          </w:tcPr>
          <w:p>
            <w:r>
              <w:rPr>
                <w:b w:val="false"/>
                <w:bCs w:val="false"/>
                <w:sz w:val="20"/>
                <w:szCs w:val="20"/>
              </w:rPr>
              <w:t xml:space="preserve">1–2</w:t>
            </w:r>
          </w:p>
        </w:tc>
        <w:tc>
          <w:tcPr>
            <w:tcW w:type="dxa" w:w="5450"/>
            <w:tcMar>
              <w:top w:type="dxa" w:w="60"/>
              <w:left w:type="dxa" w:w="100"/>
              <w:bottom w:type="dxa" w:w="60"/>
              <w:right w:type="dxa" w:w="100"/>
            </w:tcMar>
            <w:vAlign w:val="center"/>
          </w:tcPr>
          <w:p>
            <w:r>
              <w:rPr>
                <w:b w:val="false"/>
                <w:bCs w:val="false"/>
                <w:sz w:val="20"/>
                <w:szCs w:val="20"/>
              </w:rPr>
              <w:t xml:space="preserve">Application shell, offline/PWA, accessibility</w:t>
            </w:r>
          </w:p>
        </w:tc>
      </w:tr>
      <w:tr>
        <w:tc>
          <w:tcPr>
            <w:tcW w:type="dxa" w:w="2600"/>
            <w:shd w:fill="DCE6F1" w:val="clear"/>
            <w:tcMar>
              <w:top w:type="dxa" w:w="60"/>
              <w:left w:type="dxa" w:w="100"/>
              <w:bottom w:type="dxa" w:w="60"/>
              <w:right w:type="dxa" w:w="100"/>
            </w:tcMar>
            <w:vAlign w:val="center"/>
          </w:tcPr>
          <w:p>
            <w:r>
              <w:rPr>
                <w:b w:val="false"/>
                <w:bCs w:val="false"/>
                <w:sz w:val="20"/>
                <w:szCs w:val="20"/>
              </w:rPr>
              <w:t xml:space="preserve">QA / Test Engineer</w:t>
            </w:r>
          </w:p>
        </w:tc>
        <w:tc>
          <w:tcPr>
            <w:tcW w:type="dxa" w:w="1300"/>
            <w:shd w:fill="DCE6F1" w:val="clear"/>
            <w:tcMar>
              <w:top w:type="dxa" w:w="60"/>
              <w:left w:type="dxa" w:w="100"/>
              <w:bottom w:type="dxa" w:w="60"/>
              <w:right w:type="dxa" w:w="100"/>
            </w:tcMar>
            <w:vAlign w:val="center"/>
          </w:tcPr>
          <w:p>
            <w:r>
              <w:rPr>
                <w:b w:val="false"/>
                <w:bCs w:val="false"/>
                <w:sz w:val="20"/>
                <w:szCs w:val="20"/>
              </w:rPr>
              <w:t xml:space="preserve">1</w:t>
            </w:r>
          </w:p>
        </w:tc>
        <w:tc>
          <w:tcPr>
            <w:tcW w:type="dxa" w:w="5450"/>
            <w:shd w:fill="DCE6F1" w:val="clear"/>
            <w:tcMar>
              <w:top w:type="dxa" w:w="60"/>
              <w:left w:type="dxa" w:w="100"/>
              <w:bottom w:type="dxa" w:w="60"/>
              <w:right w:type="dxa" w:w="100"/>
            </w:tcMar>
            <w:vAlign w:val="center"/>
          </w:tcPr>
          <w:p>
            <w:r>
              <w:rPr>
                <w:b w:val="false"/>
                <w:bCs w:val="false"/>
                <w:sz w:val="20"/>
                <w:szCs w:val="20"/>
              </w:rPr>
              <w:t xml:space="preserve">Test strategy, the cross-tenant isolation suite (NFR-QA-020), automation</w:t>
            </w:r>
          </w:p>
        </w:tc>
      </w:tr>
      <w:tr>
        <w:tc>
          <w:tcPr>
            <w:tcW w:type="dxa" w:w="2600"/>
            <w:tcMar>
              <w:top w:type="dxa" w:w="60"/>
              <w:left w:type="dxa" w:w="100"/>
              <w:bottom w:type="dxa" w:w="60"/>
              <w:right w:type="dxa" w:w="100"/>
            </w:tcMar>
            <w:vAlign w:val="center"/>
          </w:tcPr>
          <w:p>
            <w:r>
              <w:rPr>
                <w:b w:val="false"/>
                <w:bCs w:val="false"/>
                <w:sz w:val="20"/>
                <w:szCs w:val="20"/>
              </w:rPr>
              <w:t xml:space="preserve">Product / Domain Specialist</w:t>
            </w:r>
          </w:p>
        </w:tc>
        <w:tc>
          <w:tcPr>
            <w:tcW w:type="dxa" w:w="1300"/>
            <w:tcMar>
              <w:top w:type="dxa" w:w="60"/>
              <w:left w:type="dxa" w:w="100"/>
              <w:bottom w:type="dxa" w:w="60"/>
              <w:right w:type="dxa" w:w="100"/>
            </w:tcMar>
            <w:vAlign w:val="center"/>
          </w:tcPr>
          <w:p>
            <w:r>
              <w:rPr>
                <w:b w:val="false"/>
                <w:bCs w:val="false"/>
                <w:sz w:val="20"/>
                <w:szCs w:val="20"/>
              </w:rPr>
              <w:t xml:space="preserve">1 (can be part-time / founder)</w:t>
            </w:r>
          </w:p>
        </w:tc>
        <w:tc>
          <w:tcPr>
            <w:tcW w:type="dxa" w:w="5450"/>
            <w:tcMar>
              <w:top w:type="dxa" w:w="60"/>
              <w:left w:type="dxa" w:w="100"/>
              <w:bottom w:type="dxa" w:w="60"/>
              <w:right w:type="dxa" w:w="100"/>
            </w:tcMar>
            <w:vAlign w:val="center"/>
          </w:tcPr>
          <w:p>
            <w:r>
              <w:rPr>
                <w:b w:val="false"/>
                <w:bCs w:val="false"/>
                <w:sz w:val="20"/>
                <w:szCs w:val="20"/>
              </w:rPr>
              <w:t xml:space="preserve">Ghana school-operations knowledge, NaCCA/BECE/GES accuracy, pilot-school liaison</w:t>
            </w:r>
          </w:p>
        </w:tc>
      </w:tr>
      <w:tr>
        <w:tc>
          <w:tcPr>
            <w:tcW w:type="dxa" w:w="2600"/>
            <w:shd w:fill="DCE6F1" w:val="clear"/>
            <w:tcMar>
              <w:top w:type="dxa" w:w="60"/>
              <w:left w:type="dxa" w:w="100"/>
              <w:bottom w:type="dxa" w:w="60"/>
              <w:right w:type="dxa" w:w="100"/>
            </w:tcMar>
            <w:vAlign w:val="center"/>
          </w:tcPr>
          <w:p>
            <w:r>
              <w:rPr>
                <w:b w:val="false"/>
                <w:bCs w:val="false"/>
                <w:sz w:val="20"/>
                <w:szCs w:val="20"/>
              </w:rPr>
              <w:t xml:space="preserve">DevOps / Platform Engineer</w:t>
            </w:r>
          </w:p>
        </w:tc>
        <w:tc>
          <w:tcPr>
            <w:tcW w:type="dxa" w:w="1300"/>
            <w:shd w:fill="DCE6F1" w:val="clear"/>
            <w:tcMar>
              <w:top w:type="dxa" w:w="60"/>
              <w:left w:type="dxa" w:w="100"/>
              <w:bottom w:type="dxa" w:w="60"/>
              <w:right w:type="dxa" w:w="100"/>
            </w:tcMar>
            <w:vAlign w:val="center"/>
          </w:tcPr>
          <w:p>
            <w:r>
              <w:rPr>
                <w:b w:val="false"/>
                <w:bCs w:val="false"/>
                <w:sz w:val="20"/>
                <w:szCs w:val="20"/>
              </w:rPr>
              <w:t xml:space="preserve">1 (can be shared/part-time initially)</w:t>
            </w:r>
          </w:p>
        </w:tc>
        <w:tc>
          <w:tcPr>
            <w:tcW w:type="dxa" w:w="5450"/>
            <w:shd w:fill="DCE6F1" w:val="clear"/>
            <w:tcMar>
              <w:top w:type="dxa" w:w="60"/>
              <w:left w:type="dxa" w:w="100"/>
              <w:bottom w:type="dxa" w:w="60"/>
              <w:right w:type="dxa" w:w="100"/>
            </w:tcMar>
            <w:vAlign w:val="center"/>
          </w:tcPr>
          <w:p>
            <w:r>
              <w:rPr>
                <w:b w:val="false"/>
                <w:bCs w:val="false"/>
                <w:sz w:val="20"/>
                <w:szCs w:val="20"/>
              </w:rPr>
              <w:t xml:space="preserve">CI/CD, environments, observability, backup/DR</w:t>
            </w:r>
          </w:p>
        </w:tc>
      </w:tr>
      <w:tr>
        <w:tc>
          <w:tcPr>
            <w:tcW w:type="dxa" w:w="2600"/>
            <w:tcMar>
              <w:top w:type="dxa" w:w="60"/>
              <w:left w:type="dxa" w:w="100"/>
              <w:bottom w:type="dxa" w:w="60"/>
              <w:right w:type="dxa" w:w="100"/>
            </w:tcMar>
            <w:vAlign w:val="center"/>
          </w:tcPr>
          <w:p>
            <w:r>
              <w:rPr>
                <w:b w:val="false"/>
                <w:bCs w:val="false"/>
                <w:sz w:val="20"/>
                <w:szCs w:val="20"/>
              </w:rPr>
              <w:t xml:space="preserve">Compliance/DPO advisor</w:t>
            </w:r>
          </w:p>
        </w:tc>
        <w:tc>
          <w:tcPr>
            <w:tcW w:type="dxa" w:w="1300"/>
            <w:tcMar>
              <w:top w:type="dxa" w:w="60"/>
              <w:left w:type="dxa" w:w="100"/>
              <w:bottom w:type="dxa" w:w="60"/>
              <w:right w:type="dxa" w:w="100"/>
            </w:tcMar>
            <w:vAlign w:val="center"/>
          </w:tcPr>
          <w:p>
            <w:r>
              <w:rPr>
                <w:b w:val="false"/>
                <w:bCs w:val="false"/>
                <w:sz w:val="20"/>
                <w:szCs w:val="20"/>
              </w:rPr>
              <w:t xml:space="preserve">Part-time / advisory</w:t>
            </w:r>
          </w:p>
        </w:tc>
        <w:tc>
          <w:tcPr>
            <w:tcW w:type="dxa" w:w="5450"/>
            <w:tcMar>
              <w:top w:type="dxa" w:w="60"/>
              <w:left w:type="dxa" w:w="100"/>
              <w:bottom w:type="dxa" w:w="60"/>
              <w:right w:type="dxa" w:w="100"/>
            </w:tcMar>
            <w:vAlign w:val="center"/>
          </w:tcPr>
          <w:p>
            <w:r>
              <w:rPr>
                <w:b w:val="false"/>
                <w:bCs w:val="false"/>
                <w:sz w:val="20"/>
                <w:szCs w:val="20"/>
              </w:rPr>
              <w:t xml:space="preserve">Act 843 registration and ongoing compliance (Chapter 39)</w:t>
            </w:r>
          </w:p>
        </w:tc>
      </w:tr>
    </w:tbl>
    <w:p>
      <w:pPr>
        <w:pStyle w:val="Heading2"/>
        <w:spacing w:after="100" w:before="220"/>
      </w:pPr>
      <w:r>
        <w:rPr>
          <w:b/>
          <w:bCs/>
        </w:rPr>
        <w:t xml:space="preserve">43.3 AI-Assisted Development</w:t>
      </w:r>
    </w:p>
    <w:p>
      <w:pPr>
        <w:spacing w:after="120"/>
      </w:pPr>
      <w:r>
        <w:rPr>
          <w:b w:val="false"/>
          <w:bCs w:val="false"/>
          <w:i w:val="false"/>
          <w:iCs w:val="false"/>
        </w:rPr>
        <w:t xml:space="preserve">AI coding assistants (general-purpose pair-programming tools) MAY be used by engineers throughout delivery to accelerate scaffolding, test-writing and routine implementation, under the same review, testing and security-gate requirements as any other code (Chapters 33.5, 38.2). No AI tool is granted autonomous commit, deploy, or database-migration authority; every change still passes through the pipeline in Chapter 38.3 and requires human review before merge.</w:t>
      </w:r>
    </w:p>
    <w:p>
      <w:pPr>
        <w:pStyle w:val="Heading1"/>
        <w:pageBreakBefore/>
        <w:spacing w:after="200" w:before="240"/>
      </w:pPr>
      <w:r>
        <w:rPr>
          <w:b/>
          <w:bCs/>
        </w:rPr>
        <w:t xml:space="preserve">Chapter 44 — Phased Delivery Roadmap</w:t>
      </w:r>
    </w:p>
    <w:p>
      <w:pPr>
        <w:spacing w:after="120"/>
      </w:pPr>
      <w:r>
        <w:rPr>
          <w:b w:val="false"/>
          <w:bCs w:val="false"/>
          <w:i w:val="false"/>
          <w:iCs w:val="false"/>
        </w:rPr>
        <w:t xml:space="preserve">The roadmap below sequences work by dependency, matching this document's structure, and reflects the four-phase plan from the preceding gap analysis, now adopted as the delivery plan of record.</w:t>
      </w:r>
    </w:p>
    <w:p>
      <w:pPr>
        <w:pStyle w:val="Heading2"/>
        <w:spacing w:after="100" w:before="220"/>
      </w:pPr>
      <w:r>
        <w:rPr>
          <w:b/>
          <w:bCs/>
        </w:rPr>
        <w:t xml:space="preserve">44.1 Phase 0 — Foundational Decisions (Weeks 1–2)</w:t>
      </w:r>
    </w:p>
    <w:p>
      <w:pPr>
        <w:pStyle w:val="ListParagraph"/>
        <w:numPr>
          <w:ilvl w:val="0"/>
          <w:numId w:val="1"/>
        </w:numPr>
        <w:spacing w:after="60"/>
      </w:pPr>
      <w:r>
        <w:t xml:space="preserve">Confirm tenancy isolation model (Chapter 1) and tenant hierarchy (Chapter 2).</w:t>
      </w:r>
    </w:p>
    <w:p>
      <w:pPr>
        <w:pStyle w:val="ListParagraph"/>
        <w:numPr>
          <w:ilvl w:val="0"/>
          <w:numId w:val="1"/>
        </w:numPr>
        <w:spacing w:after="60"/>
      </w:pPr>
      <w:r>
        <w:t xml:space="preserve">Confirm subscription tiers and pricing basis (Chapter 5) with the business.</w:t>
      </w:r>
    </w:p>
    <w:p>
      <w:pPr>
        <w:pStyle w:val="ListParagraph"/>
        <w:numPr>
          <w:ilvl w:val="0"/>
          <w:numId w:val="1"/>
        </w:numPr>
        <w:spacing w:after="60"/>
      </w:pPr>
      <w:r>
        <w:t xml:space="preserve">Confirm technology stack (Chapter 29).</w:t>
      </w:r>
    </w:p>
    <w:p>
      <w:pPr>
        <w:pStyle w:val="ListParagraph"/>
        <w:numPr>
          <w:ilvl w:val="0"/>
          <w:numId w:val="1"/>
        </w:numPr>
        <w:spacing w:after="60"/>
      </w:pPr>
      <w:r>
        <w:t xml:space="preserve">Confirm compliance posture and register with Ghana's Data Protection Commission (Chapter 39).</w:t>
      </w:r>
    </w:p>
    <w:p>
      <w:pPr>
        <w:pStyle w:val="Heading2"/>
        <w:spacing w:after="100" w:before="220"/>
      </w:pPr>
      <w:r>
        <w:rPr>
          <w:b/>
          <w:bCs/>
        </w:rPr>
        <w:t xml:space="preserve">44.2 Phase 1 — Platform Foundation (Weeks 3–8)</w:t>
      </w:r>
    </w:p>
    <w:p>
      <w:pPr>
        <w:pStyle w:val="ListParagraph"/>
        <w:numPr>
          <w:ilvl w:val="0"/>
          <w:numId w:val="1"/>
        </w:numPr>
        <w:spacing w:after="60"/>
      </w:pPr>
      <w:r>
        <w:t xml:space="preserve">Volume 0 in full: tenant model, platform roles, RLS-backed database foundation, onboarding flow skeleton.</w:t>
      </w:r>
    </w:p>
    <w:p>
      <w:pPr>
        <w:pStyle w:val="ListParagraph"/>
        <w:numPr>
          <w:ilvl w:val="0"/>
          <w:numId w:val="1"/>
        </w:numPr>
        <w:spacing w:after="60"/>
      </w:pPr>
      <w:r>
        <w:t xml:space="preserve">Identity, authentication, authorization and audit (Chapter 33).</w:t>
      </w:r>
    </w:p>
    <w:p>
      <w:pPr>
        <w:pStyle w:val="ListParagraph"/>
        <w:numPr>
          <w:ilvl w:val="0"/>
          <w:numId w:val="1"/>
        </w:numPr>
        <w:spacing w:after="60"/>
      </w:pPr>
      <w:r>
        <w:t xml:space="preserve">CI/CD pipeline with security gates from day one (Chapter 38.3), not retrofitted later.</w:t>
      </w:r>
    </w:p>
    <w:p>
      <w:pPr>
        <w:pStyle w:val="Heading2"/>
        <w:spacing w:after="100" w:before="220"/>
      </w:pPr>
      <w:r>
        <w:rPr>
          <w:b/>
          <w:bCs/>
        </w:rPr>
        <w:t xml:space="preserve">44.3 Phase 2 — Academic Core (Weeks 9–18)</w:t>
      </w:r>
    </w:p>
    <w:p>
      <w:pPr>
        <w:pStyle w:val="ListParagraph"/>
        <w:numPr>
          <w:ilvl w:val="0"/>
          <w:numId w:val="1"/>
        </w:numPr>
        <w:spacing w:after="60"/>
      </w:pPr>
      <w:r>
        <w:t xml:space="preserve">Admissions, student lifecycle, academic structure, attendance (including offline/PWA), assessment, grading, results, documents (Chapters 15–22).</w:t>
      </w:r>
    </w:p>
    <w:p>
      <w:pPr>
        <w:pStyle w:val="ListParagraph"/>
        <w:numPr>
          <w:ilvl w:val="0"/>
          <w:numId w:val="1"/>
        </w:numPr>
        <w:spacing w:after="60"/>
      </w:pPr>
      <w:r>
        <w:t xml:space="preserve">First pilot tenant onboarded onto this slice for early feedback (44.5).</w:t>
      </w:r>
    </w:p>
    <w:p>
      <w:pPr>
        <w:pStyle w:val="Heading2"/>
        <w:spacing w:after="100" w:before="220"/>
      </w:pPr>
      <w:r>
        <w:rPr>
          <w:b/>
          <w:bCs/>
        </w:rPr>
        <w:t xml:space="preserve">44.4 Phase 3 — Finance, Communication &amp; Operations (Weeks 19–26)</w:t>
      </w:r>
    </w:p>
    <w:p>
      <w:pPr>
        <w:pStyle w:val="ListParagraph"/>
        <w:numPr>
          <w:ilvl w:val="0"/>
          <w:numId w:val="1"/>
        </w:numPr>
        <w:spacing w:after="60"/>
      </w:pPr>
      <w:r>
        <w:t xml:space="preserve">Fee structures, invoicing, named payment integrations, reconciliation (Chapters 23–25).</w:t>
      </w:r>
    </w:p>
    <w:p>
      <w:pPr>
        <w:pStyle w:val="ListParagraph"/>
        <w:numPr>
          <w:ilvl w:val="0"/>
          <w:numId w:val="1"/>
        </w:numPr>
        <w:spacing w:after="60"/>
      </w:pPr>
      <w:r>
        <w:t xml:space="preserve">WhatsApp/SMS/email communication centre (Chapter 26).</w:t>
      </w:r>
    </w:p>
    <w:p>
      <w:pPr>
        <w:pStyle w:val="ListParagraph"/>
        <w:numPr>
          <w:ilvl w:val="0"/>
          <w:numId w:val="1"/>
        </w:numPr>
        <w:spacing w:after="60"/>
      </w:pPr>
      <w:r>
        <w:t xml:space="preserve">Supporting operations (Chapter 28).</w:t>
      </w:r>
    </w:p>
    <w:p>
      <w:pPr>
        <w:pStyle w:val="Heading2"/>
        <w:spacing w:after="100" w:before="220"/>
      </w:pPr>
      <w:r>
        <w:rPr>
          <w:b/>
          <w:bCs/>
        </w:rPr>
        <w:t xml:space="preserve">44.5 Phase 4 — Hardening, Compliance &amp; Pilot (Weeks 27–34)</w:t>
      </w:r>
    </w:p>
    <w:p>
      <w:pPr>
        <w:pStyle w:val="ListParagraph"/>
        <w:numPr>
          <w:ilvl w:val="0"/>
          <w:numId w:val="1"/>
        </w:numPr>
        <w:spacing w:after="60"/>
      </w:pPr>
      <w:r>
        <w:t xml:space="preserve">Full NFR validation against Chapter 37 targets under realistic multi-tenant load.</w:t>
      </w:r>
    </w:p>
    <w:p>
      <w:pPr>
        <w:pStyle w:val="ListParagraph"/>
        <w:numPr>
          <w:ilvl w:val="0"/>
          <w:numId w:val="1"/>
        </w:numPr>
        <w:spacing w:after="60"/>
      </w:pPr>
      <w:r>
        <w:t xml:space="preserve">Penetration test and WCAG 2.1 AA audit (Chapters 33.5, 42).</w:t>
      </w:r>
    </w:p>
    <w:p>
      <w:pPr>
        <w:pStyle w:val="ListParagraph"/>
        <w:numPr>
          <w:ilvl w:val="0"/>
          <w:numId w:val="1"/>
        </w:numPr>
        <w:spacing w:after="60"/>
      </w:pPr>
      <w:r>
        <w:t xml:space="preserve">2–3 pilot schools live on the full platform with a structured feedback loop and defined go/no-go criteria (Chapter 45.3).</w:t>
      </w:r>
    </w:p>
    <w:p>
      <w:pPr>
        <w:pStyle w:val="ListParagraph"/>
        <w:numPr>
          <w:ilvl w:val="0"/>
          <w:numId w:val="1"/>
        </w:numPr>
        <w:spacing w:after="60"/>
      </w:pPr>
      <w:r>
        <w:t xml:space="preserve">NaCCA/BECE/GES alignment features (Chapter 41), if not already folded into Phase 2 by pilot-school demand.</w:t>
      </w:r>
    </w:p>
    <w:p>
      <w:pPr>
        <w:pStyle w:val="Heading2"/>
        <w:spacing w:after="100" w:before="220"/>
      </w:pPr>
      <w:r>
        <w:rPr>
          <w:b/>
          <w:bCs/>
        </w:rPr>
        <w:t xml:space="preserve">44.6 Phase 5 — General Availability (Week 35+)</w:t>
      </w:r>
    </w:p>
    <w:p>
      <w:pPr>
        <w:pStyle w:val="ListParagraph"/>
        <w:numPr>
          <w:ilvl w:val="0"/>
          <w:numId w:val="1"/>
        </w:numPr>
        <w:spacing w:after="60"/>
      </w:pPr>
      <w:r>
        <w:t xml:space="preserve">Public/sales-assisted tenant onboarding opened.</w:t>
      </w:r>
    </w:p>
    <w:p>
      <w:pPr>
        <w:pStyle w:val="ListParagraph"/>
        <w:numPr>
          <w:ilvl w:val="0"/>
          <w:numId w:val="1"/>
        </w:numPr>
        <w:spacing w:after="60"/>
      </w:pPr>
      <w:r>
        <w:t xml:space="preserve">Subscription billing (Chapter 5) fully live.</w:t>
      </w:r>
    </w:p>
    <w:p>
      <w:pPr>
        <w:pStyle w:val="ListParagraph"/>
        <w:numPr>
          <w:ilvl w:val="0"/>
          <w:numId w:val="1"/>
        </w:numPr>
        <w:spacing w:after="60"/>
      </w:pPr>
      <w:r>
        <w:t xml:space="preserve">Ongoing NFR re-validation against real telemetry (NFR-PERF-090).</w:t>
      </w:r>
    </w:p>
    <w:p>
      <w:pPr>
        <w:pStyle w:val="Heading1"/>
        <w:pageBreakBefore/>
        <w:spacing w:after="200" w:before="240"/>
      </w:pPr>
      <w:r>
        <w:rPr>
          <w:b/>
          <w:bCs/>
        </w:rPr>
        <w:t xml:space="preserve">Chapter 45 — Quality Gates, Security Review &amp; Pilot Program</w:t>
      </w:r>
    </w:p>
    <w:p>
      <w:pPr>
        <w:pStyle w:val="Heading2"/>
        <w:spacing w:after="100" w:before="220"/>
      </w:pPr>
      <w:r>
        <w:rPr>
          <w:b/>
          <w:bCs/>
        </w:rPr>
        <w:t xml:space="preserve">45.1 Release Gate (applies to every production release, not only GA)</w:t>
      </w:r>
    </w:p>
    <w:p>
      <w:pPr>
        <w:pStyle w:val="ListParagraph"/>
        <w:numPr>
          <w:ilvl w:val="0"/>
          <w:numId w:val="1"/>
        </w:numPr>
        <w:spacing w:after="60"/>
      </w:pPr>
      <w:r>
        <w:t xml:space="preserve">All automated tests pass, including the mandatory cross-tenant isolation suite (NFR-QA-020).</w:t>
      </w:r>
    </w:p>
    <w:p>
      <w:pPr>
        <w:pStyle w:val="ListParagraph"/>
        <w:numPr>
          <w:ilvl w:val="0"/>
          <w:numId w:val="1"/>
        </w:numPr>
        <w:spacing w:after="60"/>
      </w:pPr>
      <w:r>
        <w:t xml:space="preserve">No open Critical or High severity defect (Chapter 38.2).</w:t>
      </w:r>
    </w:p>
    <w:p>
      <w:pPr>
        <w:pStyle w:val="ListParagraph"/>
        <w:numPr>
          <w:ilvl w:val="0"/>
          <w:numId w:val="1"/>
        </w:numPr>
        <w:spacing w:after="60"/>
      </w:pPr>
      <w:r>
        <w:t xml:space="preserve">SAST/dependency scan clean or risk-accepted by the named security owner (Chapter 33.5).</w:t>
      </w:r>
    </w:p>
    <w:p>
      <w:pPr>
        <w:pStyle w:val="ListParagraph"/>
        <w:numPr>
          <w:ilvl w:val="0"/>
          <w:numId w:val="1"/>
        </w:numPr>
        <w:spacing w:after="60"/>
      </w:pPr>
      <w:r>
        <w:t xml:space="preserve">NFR targets (Chapter 37.1) validated in staging under representative multi-tenant load for any release touching a high-traffic path.</w:t>
      </w:r>
    </w:p>
    <w:p>
      <w:pPr>
        <w:pStyle w:val="ListParagraph"/>
        <w:numPr>
          <w:ilvl w:val="0"/>
          <w:numId w:val="1"/>
        </w:numPr>
        <w:spacing w:after="60"/>
      </w:pPr>
      <w:r>
        <w:t xml:space="preserve">Rollback plan documented (Chapter 38.3).</w:t>
      </w:r>
    </w:p>
    <w:p>
      <w:pPr>
        <w:pStyle w:val="Heading2"/>
        <w:spacing w:after="100" w:before="220"/>
      </w:pPr>
      <w:r>
        <w:rPr>
          <w:b/>
          <w:bCs/>
        </w:rPr>
        <w:t xml:space="preserve">45.2 Pre-GA Security Review</w:t>
      </w:r>
    </w:p>
    <w:p>
      <w:pPr>
        <w:spacing w:after="120"/>
      </w:pPr>
      <w:r>
        <w:rPr>
          <w:b w:val="false"/>
          <w:bCs w:val="false"/>
          <w:i w:val="false"/>
          <w:iCs w:val="false"/>
        </w:rPr>
        <w:t xml:space="preserve">An independent penetration test (Chapter 33.5) and a full WCAG 2.1 AA audit (Chapter 42.1) MUST both be completed, with all Critical/High findings remediated, before General Availability is declared.</w:t>
      </w:r>
    </w:p>
    <w:p>
      <w:pPr>
        <w:pStyle w:val="Heading2"/>
        <w:spacing w:after="100" w:before="220"/>
      </w:pPr>
      <w:r>
        <w:rPr>
          <w:b/>
          <w:bCs/>
        </w:rPr>
        <w:t xml:space="preserve">45.3 Pilot Program</w:t>
      </w:r>
    </w:p>
    <w:p>
      <w:pPr>
        <w:pStyle w:val="ListParagraph"/>
        <w:numPr>
          <w:ilvl w:val="0"/>
          <w:numId w:val="1"/>
        </w:numPr>
        <w:spacing w:after="60"/>
      </w:pPr>
      <w:r>
        <w:t xml:space="preserve">Select 2–3 schools reflecting the target range (a small single-campus school and a multi-school proprietor group) as paid or discounted pilot tenants.</w:t>
      </w:r>
    </w:p>
    <w:p>
      <w:pPr>
        <w:pStyle w:val="ListParagraph"/>
        <w:numPr>
          <w:ilvl w:val="0"/>
          <w:numId w:val="1"/>
        </w:numPr>
        <w:spacing w:after="60"/>
      </w:pPr>
      <w:r>
        <w:t xml:space="preserve">Define explicit go/no-go criteria before pilot start: e.g. zero cross-tenant data incidents, NFR targets met in production, pilot-school Net Promoter Score above an agreed threshold, and no unresolved Critical/High defect for 2 consecutive weeks.</w:t>
      </w:r>
    </w:p>
    <w:p>
      <w:pPr>
        <w:pStyle w:val="ListParagraph"/>
        <w:numPr>
          <w:ilvl w:val="0"/>
          <w:numId w:val="1"/>
        </w:numPr>
        <w:spacing w:after="60"/>
      </w:pPr>
      <w:r>
        <w:t xml:space="preserve">Run a structured weekly feedback loop with pilot schools throughout Phase 4, feeding directly into the Phase 5 go/no-go decision.</w:t>
      </w:r>
    </w:p>
    <w:p>
      <w:pPr>
        <w:pStyle w:val="Heading1"/>
        <w:pageBreakBefore/>
        <w:spacing w:after="200" w:before="240"/>
      </w:pPr>
      <w:r>
        <w:rPr>
          <w:b/>
          <w:bCs/>
        </w:rPr>
        <w:t xml:space="preserve">Chapter 46 — Definition of Ready / Definition of Done &amp; Change Control</w:t>
      </w:r>
    </w:p>
    <w:p>
      <w:pPr>
        <w:pStyle w:val="Heading2"/>
        <w:spacing w:after="100" w:before="220"/>
      </w:pPr>
      <w:r>
        <w:rPr>
          <w:b/>
          <w:bCs/>
        </w:rPr>
        <w:t xml:space="preserve">46.1 Definition of Ready</w:t>
      </w:r>
    </w:p>
    <w:p>
      <w:pPr>
        <w:spacing w:after="120"/>
      </w:pPr>
      <w:r>
        <w:rPr>
          <w:b w:val="false"/>
          <w:bCs w:val="false"/>
          <w:i w:val="false"/>
          <w:iCs w:val="false"/>
        </w:rPr>
        <w:t xml:space="preserve">A backlog item is ready when its requirement ID, scope, dependencies, tenant-scoping implications, data effects, roles, business rules and acceptance tests are known and written down against this document.</w:t>
      </w:r>
    </w:p>
    <w:p>
      <w:pPr>
        <w:pStyle w:val="Heading2"/>
        <w:spacing w:after="100" w:before="220"/>
      </w:pPr>
      <w:r>
        <w:rPr>
          <w:b/>
          <w:bCs/>
        </w:rPr>
        <w:t xml:space="preserve">46.2 Definition of Done</w:t>
      </w:r>
    </w:p>
    <w:p>
      <w:pPr>
        <w:spacing w:after="120"/>
      </w:pPr>
      <w:r>
        <w:rPr>
          <w:b w:val="false"/>
          <w:bCs w:val="false"/>
          <w:i w:val="false"/>
          <w:iCs w:val="false"/>
        </w:rPr>
        <w:t xml:space="preserve">A backlog item is done only when implementation, migrations (with RLS policy where applicable), permissions, validation, integration, audit events, automated tests (including cross-tenant isolation tests where relevant), documentation and review evidence are complete and traced to its requirement ID in Appendix A.</w:t>
      </w:r>
    </w:p>
    <w:p>
      <w:pPr>
        <w:pStyle w:val="Heading2"/>
        <w:spacing w:after="100" w:before="220"/>
      </w:pPr>
      <w:r>
        <w:rPr>
          <w:b/>
          <w:bCs/>
        </w:rPr>
        <w:t xml:space="preserve">46.3 Change Control</w:t>
      </w:r>
    </w:p>
    <w:p>
      <w:pPr>
        <w:spacing w:after="120"/>
      </w:pPr>
      <w:r>
        <w:rPr>
          <w:b w:val="false"/>
          <w:bCs w:val="false"/>
          <w:i w:val="false"/>
          <w:iCs w:val="false"/>
        </w:rPr>
        <w:t xml:space="preserve">New or changed requirements are assessed for tenant-isolation impact, dependency impact, migration impact, security impact, cost and schedule impact before entering the roadmap in Chapter 44. A change that weakens tenant isolation (Chapter 1) or removes a compliance control (Volume V) requires sign-off from the Engineering Lead and, for compliance changes, the compliance advisor — no such change may be made silently in the course of unrelated feature work.</w:t>
      </w:r>
    </w:p>
    <w:p>
      <w:pPr>
        <w:pageBreakBefore/>
        <w:spacing w:after="120" w:before="2000"/>
        <w:jc w:val="center"/>
      </w:pPr>
      <w:r>
        <w:rPr>
          <w:color w:val="1F3864"/>
          <w:sz w:val="28"/>
          <w:szCs w:val="28"/>
        </w:rPr>
        <w:t xml:space="preserve">—</w:t>
      </w:r>
    </w:p>
    <w:p>
      <w:pPr>
        <w:pStyle w:val="Heading1"/>
        <w:spacing w:after="120" w:before="200"/>
        <w:jc w:val="center"/>
      </w:pPr>
      <w:r>
        <w:rPr>
          <w:b/>
          <w:bCs/>
          <w:color w:val="1F3864"/>
          <w:sz w:val="36"/>
          <w:szCs w:val="36"/>
        </w:rPr>
        <w:t xml:space="preserve">APPENDICES</w:t>
      </w:r>
    </w:p>
    <w:p>
      <w:pPr>
        <w:spacing w:after="2000"/>
        <w:jc w:val="center"/>
      </w:pPr>
      <w:r>
        <w:rPr>
          <w:i/>
          <w:iCs/>
          <w:sz w:val="24"/>
          <w:szCs w:val="24"/>
        </w:rPr>
        <w:t xml:space="preserve">Requirement Index, NFR Summary, Glossary &amp; Change Log</w:t>
      </w:r>
    </w:p>
    <w:p>
      <w:pPr>
        <w:pStyle w:val="Heading1"/>
        <w:pageBreakBefore/>
        <w:spacing w:after="200" w:before="240"/>
      </w:pPr>
      <w:r>
        <w:rPr>
          <w:b/>
          <w:bCs/>
        </w:rPr>
        <w:t xml:space="preserve">Appendix A — Requirement ID Index (representative sample)</w:t>
      </w:r>
    </w:p>
    <w:p>
      <w:pPr>
        <w:spacing w:after="120"/>
      </w:pPr>
      <w:r>
        <w:rPr>
          <w:b w:val="false"/>
          <w:bCs w:val="false"/>
          <w:i w:val="false"/>
          <w:iCs w:val="false"/>
        </w:rPr>
        <w:t xml:space="preserve">The full traceability matrix (requirement → design → implementation → test → evidence) required by NFR-QA-040 is a living, tool-tracked artifact maintained during delivery. The table below is a representative sample of the ID scheme applied across this document, not the complete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350"/>
        <w:gridCol w:w="4400"/>
      </w:tblGrid>
      <w:tr>
        <w:trPr>
          <w:tblHeader/>
        </w:trPr>
        <w:tc>
          <w:tcPr>
            <w:tcW w:type="dxa" w:w="2600"/>
            <w:shd w:fill="1F3864" w:val="clear"/>
            <w:tcMar>
              <w:top w:type="dxa" w:w="60"/>
              <w:left w:type="dxa" w:w="100"/>
              <w:bottom w:type="dxa" w:w="60"/>
              <w:right w:type="dxa" w:w="100"/>
            </w:tcMar>
            <w:vAlign w:val="center"/>
          </w:tcPr>
          <w:p>
            <w:r>
              <w:rPr>
                <w:b/>
                <w:bCs/>
                <w:color w:val="FFFFFF"/>
                <w:sz w:val="20"/>
                <w:szCs w:val="20"/>
              </w:rPr>
              <w:t xml:space="preserve">ID range</w:t>
            </w:r>
          </w:p>
        </w:tc>
        <w:tc>
          <w:tcPr>
            <w:tcW w:type="dxa" w:w="2350"/>
            <w:shd w:fill="1F3864" w:val="clear"/>
            <w:tcMar>
              <w:top w:type="dxa" w:w="60"/>
              <w:left w:type="dxa" w:w="100"/>
              <w:bottom w:type="dxa" w:w="60"/>
              <w:right w:type="dxa" w:w="100"/>
            </w:tcMar>
            <w:vAlign w:val="center"/>
          </w:tcPr>
          <w:p>
            <w:r>
              <w:rPr>
                <w:b/>
                <w:bCs/>
                <w:color w:val="FFFFFF"/>
                <w:sz w:val="20"/>
                <w:szCs w:val="20"/>
              </w:rPr>
              <w:t xml:space="preserve">Chapter</w:t>
            </w:r>
          </w:p>
        </w:tc>
        <w:tc>
          <w:tcPr>
            <w:tcW w:type="dxa" w:w="4400"/>
            <w:shd w:fill="1F3864" w:val="clear"/>
            <w:tcMar>
              <w:top w:type="dxa" w:w="60"/>
              <w:left w:type="dxa" w:w="100"/>
              <w:bottom w:type="dxa" w:w="60"/>
              <w:right w:type="dxa" w:w="100"/>
            </w:tcMar>
            <w:vAlign w:val="center"/>
          </w:tcPr>
          <w:p>
            <w:r>
              <w:rPr>
                <w:b/>
                <w:bCs/>
                <w:color w:val="FFFFFF"/>
                <w:sz w:val="20"/>
                <w:szCs w:val="20"/>
              </w:rPr>
              <w:t xml:space="preserve">Count (this document)</w:t>
            </w:r>
          </w:p>
        </w:tc>
      </w:tr>
      <w:tr>
        <w:tc>
          <w:tcPr>
            <w:tcW w:type="dxa" w:w="2600"/>
            <w:tcMar>
              <w:top w:type="dxa" w:w="60"/>
              <w:left w:type="dxa" w:w="100"/>
              <w:bottom w:type="dxa" w:w="60"/>
              <w:right w:type="dxa" w:w="100"/>
            </w:tcMar>
            <w:vAlign w:val="center"/>
          </w:tcPr>
          <w:p>
            <w:r>
              <w:rPr>
                <w:b w:val="false"/>
                <w:bCs w:val="false"/>
                <w:sz w:val="20"/>
                <w:szCs w:val="20"/>
              </w:rPr>
              <w:t xml:space="preserve">TEN-001 to TEN-042</w:t>
            </w:r>
          </w:p>
        </w:tc>
        <w:tc>
          <w:tcPr>
            <w:tcW w:type="dxa" w:w="2350"/>
            <w:tcMar>
              <w:top w:type="dxa" w:w="60"/>
              <w:left w:type="dxa" w:w="100"/>
              <w:bottom w:type="dxa" w:w="60"/>
              <w:right w:type="dxa" w:w="100"/>
            </w:tcMar>
            <w:vAlign w:val="center"/>
          </w:tcPr>
          <w:p>
            <w:r>
              <w:rPr>
                <w:b w:val="false"/>
                <w:bCs w:val="false"/>
                <w:sz w:val="20"/>
                <w:szCs w:val="20"/>
              </w:rPr>
              <w:t xml:space="preserve">1–6</w:t>
            </w:r>
          </w:p>
        </w:tc>
        <w:tc>
          <w:tcPr>
            <w:tcW w:type="dxa" w:w="4400"/>
            <w:tcMar>
              <w:top w:type="dxa" w:w="60"/>
              <w:left w:type="dxa" w:w="100"/>
              <w:bottom w:type="dxa" w:w="60"/>
              <w:right w:type="dxa" w:w="100"/>
            </w:tcMar>
            <w:vAlign w:val="center"/>
          </w:tcPr>
          <w:p>
            <w:r>
              <w:rPr>
                <w:b w:val="false"/>
                <w:bCs w:val="false"/>
                <w:sz w:val="20"/>
                <w:szCs w:val="20"/>
              </w:rPr>
              <w:t xml:space="preserve">19</w:t>
            </w:r>
          </w:p>
        </w:tc>
      </w:tr>
      <w:tr>
        <w:tc>
          <w:tcPr>
            <w:tcW w:type="dxa" w:w="2600"/>
            <w:shd w:fill="DCE6F1" w:val="clear"/>
            <w:tcMar>
              <w:top w:type="dxa" w:w="60"/>
              <w:left w:type="dxa" w:w="100"/>
              <w:bottom w:type="dxa" w:w="60"/>
              <w:right w:type="dxa" w:w="100"/>
            </w:tcMar>
            <w:vAlign w:val="center"/>
          </w:tcPr>
          <w:p>
            <w:r>
              <w:rPr>
                <w:b w:val="false"/>
                <w:bCs w:val="false"/>
                <w:sz w:val="20"/>
                <w:szCs w:val="20"/>
              </w:rPr>
              <w:t xml:space="preserve">BR-001 to BR-013</w:t>
            </w:r>
          </w:p>
        </w:tc>
        <w:tc>
          <w:tcPr>
            <w:tcW w:type="dxa" w:w="2350"/>
            <w:shd w:fill="DCE6F1" w:val="clear"/>
            <w:tcMar>
              <w:top w:type="dxa" w:w="60"/>
              <w:left w:type="dxa" w:w="100"/>
              <w:bottom w:type="dxa" w:w="60"/>
              <w:right w:type="dxa" w:w="100"/>
            </w:tcMar>
            <w:vAlign w:val="center"/>
          </w:tcPr>
          <w:p>
            <w:r>
              <w:rPr>
                <w:b w:val="false"/>
                <w:bCs w:val="false"/>
                <w:sz w:val="20"/>
                <w:szCs w:val="20"/>
              </w:rPr>
              <w:t xml:space="preserve">8</w:t>
            </w:r>
          </w:p>
        </w:tc>
        <w:tc>
          <w:tcPr>
            <w:tcW w:type="dxa" w:w="4400"/>
            <w:shd w:fill="DCE6F1" w:val="clear"/>
            <w:tcMar>
              <w:top w:type="dxa" w:w="60"/>
              <w:left w:type="dxa" w:w="100"/>
              <w:bottom w:type="dxa" w:w="60"/>
              <w:right w:type="dxa" w:w="100"/>
            </w:tcMar>
            <w:vAlign w:val="center"/>
          </w:tcPr>
          <w:p>
            <w:r>
              <w:rPr>
                <w:b w:val="false"/>
                <w:bCs w:val="false"/>
                <w:sz w:val="20"/>
                <w:szCs w:val="20"/>
              </w:rPr>
              <w:t xml:space="preserve">13</w:t>
            </w:r>
          </w:p>
        </w:tc>
      </w:tr>
      <w:tr>
        <w:tc>
          <w:tcPr>
            <w:tcW w:type="dxa" w:w="2600"/>
            <w:tcMar>
              <w:top w:type="dxa" w:w="60"/>
              <w:left w:type="dxa" w:w="100"/>
              <w:bottom w:type="dxa" w:w="60"/>
              <w:right w:type="dxa" w:w="100"/>
            </w:tcMar>
            <w:vAlign w:val="center"/>
          </w:tcPr>
          <w:p>
            <w:r>
              <w:rPr>
                <w:b w:val="false"/>
                <w:bCs w:val="false"/>
                <w:sz w:val="20"/>
                <w:szCs w:val="20"/>
              </w:rPr>
              <w:t xml:space="preserve">FR-ADM-010 to 050</w:t>
            </w:r>
          </w:p>
        </w:tc>
        <w:tc>
          <w:tcPr>
            <w:tcW w:type="dxa" w:w="2350"/>
            <w:tcMar>
              <w:top w:type="dxa" w:w="60"/>
              <w:left w:type="dxa" w:w="100"/>
              <w:bottom w:type="dxa" w:w="60"/>
              <w:right w:type="dxa" w:w="100"/>
            </w:tcMar>
            <w:vAlign w:val="center"/>
          </w:tcPr>
          <w:p>
            <w:r>
              <w:rPr>
                <w:b w:val="false"/>
                <w:bCs w:val="false"/>
                <w:sz w:val="20"/>
                <w:szCs w:val="20"/>
              </w:rPr>
              <w:t xml:space="preserve">15</w:t>
            </w:r>
          </w:p>
        </w:tc>
        <w:tc>
          <w:tcPr>
            <w:tcW w:type="dxa" w:w="4400"/>
            <w:tcMar>
              <w:top w:type="dxa" w:w="60"/>
              <w:left w:type="dxa" w:w="100"/>
              <w:bottom w:type="dxa" w:w="60"/>
              <w:right w:type="dxa" w:w="100"/>
            </w:tcMar>
            <w:vAlign w:val="center"/>
          </w:tcPr>
          <w:p>
            <w:r>
              <w:rPr>
                <w:b w:val="false"/>
                <w:bCs w:val="false"/>
                <w:sz w:val="20"/>
                <w:szCs w:val="20"/>
              </w:rPr>
              <w:t xml:space="preserve">5</w:t>
            </w:r>
          </w:p>
        </w:tc>
      </w:tr>
      <w:tr>
        <w:tc>
          <w:tcPr>
            <w:tcW w:type="dxa" w:w="2600"/>
            <w:shd w:fill="DCE6F1" w:val="clear"/>
            <w:tcMar>
              <w:top w:type="dxa" w:w="60"/>
              <w:left w:type="dxa" w:w="100"/>
              <w:bottom w:type="dxa" w:w="60"/>
              <w:right w:type="dxa" w:w="100"/>
            </w:tcMar>
            <w:vAlign w:val="center"/>
          </w:tcPr>
          <w:p>
            <w:r>
              <w:rPr>
                <w:b w:val="false"/>
                <w:bCs w:val="false"/>
                <w:sz w:val="20"/>
                <w:szCs w:val="20"/>
              </w:rPr>
              <w:t xml:space="preserve">FR-STU-010 to 060</w:t>
            </w:r>
          </w:p>
        </w:tc>
        <w:tc>
          <w:tcPr>
            <w:tcW w:type="dxa" w:w="2350"/>
            <w:shd w:fill="DCE6F1" w:val="clear"/>
            <w:tcMar>
              <w:top w:type="dxa" w:w="60"/>
              <w:left w:type="dxa" w:w="100"/>
              <w:bottom w:type="dxa" w:w="60"/>
              <w:right w:type="dxa" w:w="100"/>
            </w:tcMar>
            <w:vAlign w:val="center"/>
          </w:tcPr>
          <w:p>
            <w:r>
              <w:rPr>
                <w:b w:val="false"/>
                <w:bCs w:val="false"/>
                <w:sz w:val="20"/>
                <w:szCs w:val="20"/>
              </w:rPr>
              <w:t xml:space="preserve">16</w:t>
            </w:r>
          </w:p>
        </w:tc>
        <w:tc>
          <w:tcPr>
            <w:tcW w:type="dxa" w:w="4400"/>
            <w:shd w:fill="DCE6F1" w:val="clear"/>
            <w:tcMar>
              <w:top w:type="dxa" w:w="60"/>
              <w:left w:type="dxa" w:w="100"/>
              <w:bottom w:type="dxa" w:w="60"/>
              <w:right w:type="dxa" w:w="100"/>
            </w:tcMar>
            <w:vAlign w:val="center"/>
          </w:tcPr>
          <w:p>
            <w:r>
              <w:rPr>
                <w:b w:val="false"/>
                <w:bCs w:val="false"/>
                <w:sz w:val="20"/>
                <w:szCs w:val="20"/>
              </w:rPr>
              <w:t xml:space="preserve">6</w:t>
            </w:r>
          </w:p>
        </w:tc>
      </w:tr>
      <w:tr>
        <w:tc>
          <w:tcPr>
            <w:tcW w:type="dxa" w:w="2600"/>
            <w:tcMar>
              <w:top w:type="dxa" w:w="60"/>
              <w:left w:type="dxa" w:w="100"/>
              <w:bottom w:type="dxa" w:w="60"/>
              <w:right w:type="dxa" w:w="100"/>
            </w:tcMar>
            <w:vAlign w:val="center"/>
          </w:tcPr>
          <w:p>
            <w:r>
              <w:rPr>
                <w:b w:val="false"/>
                <w:bCs w:val="false"/>
                <w:sz w:val="20"/>
                <w:szCs w:val="20"/>
              </w:rPr>
              <w:t xml:space="preserve">FR-ATT-010 to 050</w:t>
            </w:r>
          </w:p>
        </w:tc>
        <w:tc>
          <w:tcPr>
            <w:tcW w:type="dxa" w:w="2350"/>
            <w:tcMar>
              <w:top w:type="dxa" w:w="60"/>
              <w:left w:type="dxa" w:w="100"/>
              <w:bottom w:type="dxa" w:w="60"/>
              <w:right w:type="dxa" w:w="100"/>
            </w:tcMar>
            <w:vAlign w:val="center"/>
          </w:tcPr>
          <w:p>
            <w:r>
              <w:rPr>
                <w:b w:val="false"/>
                <w:bCs w:val="false"/>
                <w:sz w:val="20"/>
                <w:szCs w:val="20"/>
              </w:rPr>
              <w:t xml:space="preserve">18</w:t>
            </w:r>
          </w:p>
        </w:tc>
        <w:tc>
          <w:tcPr>
            <w:tcW w:type="dxa" w:w="4400"/>
            <w:tcMar>
              <w:top w:type="dxa" w:w="60"/>
              <w:left w:type="dxa" w:w="100"/>
              <w:bottom w:type="dxa" w:w="60"/>
              <w:right w:type="dxa" w:w="100"/>
            </w:tcMar>
            <w:vAlign w:val="center"/>
          </w:tcPr>
          <w:p>
            <w:r>
              <w:rPr>
                <w:b w:val="false"/>
                <w:bCs w:val="false"/>
                <w:sz w:val="20"/>
                <w:szCs w:val="20"/>
              </w:rPr>
              <w:t xml:space="preserve">6</w:t>
            </w:r>
          </w:p>
        </w:tc>
      </w:tr>
      <w:tr>
        <w:tc>
          <w:tcPr>
            <w:tcW w:type="dxa" w:w="2600"/>
            <w:shd w:fill="DCE6F1" w:val="clear"/>
            <w:tcMar>
              <w:top w:type="dxa" w:w="60"/>
              <w:left w:type="dxa" w:w="100"/>
              <w:bottom w:type="dxa" w:w="60"/>
              <w:right w:type="dxa" w:w="100"/>
            </w:tcMar>
            <w:vAlign w:val="center"/>
          </w:tcPr>
          <w:p>
            <w:r>
              <w:rPr>
                <w:b w:val="false"/>
                <w:bCs w:val="false"/>
                <w:sz w:val="20"/>
                <w:szCs w:val="20"/>
              </w:rPr>
              <w:t xml:space="preserve">FR-GRA-010 to 070</w:t>
            </w:r>
          </w:p>
        </w:tc>
        <w:tc>
          <w:tcPr>
            <w:tcW w:type="dxa" w:w="2350"/>
            <w:shd w:fill="DCE6F1" w:val="clear"/>
            <w:tcMar>
              <w:top w:type="dxa" w:w="60"/>
              <w:left w:type="dxa" w:w="100"/>
              <w:bottom w:type="dxa" w:w="60"/>
              <w:right w:type="dxa" w:w="100"/>
            </w:tcMar>
            <w:vAlign w:val="center"/>
          </w:tcPr>
          <w:p>
            <w:r>
              <w:rPr>
                <w:b w:val="false"/>
                <w:bCs w:val="false"/>
                <w:sz w:val="20"/>
                <w:szCs w:val="20"/>
              </w:rPr>
              <w:t xml:space="preserve">20</w:t>
            </w:r>
          </w:p>
        </w:tc>
        <w:tc>
          <w:tcPr>
            <w:tcW w:type="dxa" w:w="4400"/>
            <w:shd w:fill="DCE6F1" w:val="clear"/>
            <w:tcMar>
              <w:top w:type="dxa" w:w="60"/>
              <w:left w:type="dxa" w:w="100"/>
              <w:bottom w:type="dxa" w:w="60"/>
              <w:right w:type="dxa" w:w="100"/>
            </w:tcMar>
            <w:vAlign w:val="center"/>
          </w:tcPr>
          <w:p>
            <w:r>
              <w:rPr>
                <w:b w:val="false"/>
                <w:bCs w:val="false"/>
                <w:sz w:val="20"/>
                <w:szCs w:val="20"/>
              </w:rPr>
              <w:t xml:space="preserve">7</w:t>
            </w:r>
          </w:p>
        </w:tc>
      </w:tr>
      <w:tr>
        <w:tc>
          <w:tcPr>
            <w:tcW w:type="dxa" w:w="2600"/>
            <w:tcMar>
              <w:top w:type="dxa" w:w="60"/>
              <w:left w:type="dxa" w:w="100"/>
              <w:bottom w:type="dxa" w:w="60"/>
              <w:right w:type="dxa" w:w="100"/>
            </w:tcMar>
            <w:vAlign w:val="center"/>
          </w:tcPr>
          <w:p>
            <w:r>
              <w:rPr>
                <w:b w:val="false"/>
                <w:bCs w:val="false"/>
                <w:sz w:val="20"/>
                <w:szCs w:val="20"/>
              </w:rPr>
              <w:t xml:space="preserve">FR-PAY-010 to 050</w:t>
            </w:r>
          </w:p>
        </w:tc>
        <w:tc>
          <w:tcPr>
            <w:tcW w:type="dxa" w:w="2350"/>
            <w:tcMar>
              <w:top w:type="dxa" w:w="60"/>
              <w:left w:type="dxa" w:w="100"/>
              <w:bottom w:type="dxa" w:w="60"/>
              <w:right w:type="dxa" w:w="100"/>
            </w:tcMar>
            <w:vAlign w:val="center"/>
          </w:tcPr>
          <w:p>
            <w:r>
              <w:rPr>
                <w:b w:val="false"/>
                <w:bCs w:val="false"/>
                <w:sz w:val="20"/>
                <w:szCs w:val="20"/>
              </w:rPr>
              <w:t xml:space="preserve">24</w:t>
            </w:r>
          </w:p>
        </w:tc>
        <w:tc>
          <w:tcPr>
            <w:tcW w:type="dxa" w:w="4400"/>
            <w:tcMar>
              <w:top w:type="dxa" w:w="60"/>
              <w:left w:type="dxa" w:w="100"/>
              <w:bottom w:type="dxa" w:w="60"/>
              <w:right w:type="dxa" w:w="100"/>
            </w:tcMar>
            <w:vAlign w:val="center"/>
          </w:tcPr>
          <w:p>
            <w:r>
              <w:rPr>
                <w:b w:val="false"/>
                <w:bCs w:val="false"/>
                <w:sz w:val="20"/>
                <w:szCs w:val="20"/>
              </w:rPr>
              <w:t xml:space="preserve">5</w:t>
            </w:r>
          </w:p>
        </w:tc>
      </w:tr>
      <w:tr>
        <w:tc>
          <w:tcPr>
            <w:tcW w:type="dxa" w:w="2600"/>
            <w:shd w:fill="DCE6F1" w:val="clear"/>
            <w:tcMar>
              <w:top w:type="dxa" w:w="60"/>
              <w:left w:type="dxa" w:w="100"/>
              <w:bottom w:type="dxa" w:w="60"/>
              <w:right w:type="dxa" w:w="100"/>
            </w:tcMar>
            <w:vAlign w:val="center"/>
          </w:tcPr>
          <w:p>
            <w:r>
              <w:rPr>
                <w:b w:val="false"/>
                <w:bCs w:val="false"/>
                <w:sz w:val="20"/>
                <w:szCs w:val="20"/>
              </w:rPr>
              <w:t xml:space="preserve">FR-COM-010 to 060</w:t>
            </w:r>
          </w:p>
        </w:tc>
        <w:tc>
          <w:tcPr>
            <w:tcW w:type="dxa" w:w="2350"/>
            <w:shd w:fill="DCE6F1" w:val="clear"/>
            <w:tcMar>
              <w:top w:type="dxa" w:w="60"/>
              <w:left w:type="dxa" w:w="100"/>
              <w:bottom w:type="dxa" w:w="60"/>
              <w:right w:type="dxa" w:w="100"/>
            </w:tcMar>
            <w:vAlign w:val="center"/>
          </w:tcPr>
          <w:p>
            <w:r>
              <w:rPr>
                <w:b w:val="false"/>
                <w:bCs w:val="false"/>
                <w:sz w:val="20"/>
                <w:szCs w:val="20"/>
              </w:rPr>
              <w:t xml:space="preserve">26</w:t>
            </w:r>
          </w:p>
        </w:tc>
        <w:tc>
          <w:tcPr>
            <w:tcW w:type="dxa" w:w="4400"/>
            <w:shd w:fill="DCE6F1" w:val="clear"/>
            <w:tcMar>
              <w:top w:type="dxa" w:w="60"/>
              <w:left w:type="dxa" w:w="100"/>
              <w:bottom w:type="dxa" w:w="60"/>
              <w:right w:type="dxa" w:w="100"/>
            </w:tcMar>
            <w:vAlign w:val="center"/>
          </w:tcPr>
          <w:p>
            <w:r>
              <w:rPr>
                <w:b w:val="false"/>
                <w:bCs w:val="false"/>
                <w:sz w:val="20"/>
                <w:szCs w:val="20"/>
              </w:rPr>
              <w:t xml:space="preserve">6</w:t>
            </w:r>
          </w:p>
        </w:tc>
      </w:tr>
      <w:tr>
        <w:tc>
          <w:tcPr>
            <w:tcW w:type="dxa" w:w="2600"/>
            <w:tcMar>
              <w:top w:type="dxa" w:w="60"/>
              <w:left w:type="dxa" w:w="100"/>
              <w:bottom w:type="dxa" w:w="60"/>
              <w:right w:type="dxa" w:w="100"/>
            </w:tcMar>
            <w:vAlign w:val="center"/>
          </w:tcPr>
          <w:p>
            <w:r>
              <w:rPr>
                <w:b w:val="false"/>
                <w:bCs w:val="false"/>
                <w:sz w:val="20"/>
                <w:szCs w:val="20"/>
              </w:rPr>
              <w:t xml:space="preserve">NFR-PERF-010 to 090</w:t>
            </w:r>
          </w:p>
        </w:tc>
        <w:tc>
          <w:tcPr>
            <w:tcW w:type="dxa" w:w="2350"/>
            <w:tcMar>
              <w:top w:type="dxa" w:w="60"/>
              <w:left w:type="dxa" w:w="100"/>
              <w:bottom w:type="dxa" w:w="60"/>
              <w:right w:type="dxa" w:w="100"/>
            </w:tcMar>
            <w:vAlign w:val="center"/>
          </w:tcPr>
          <w:p>
            <w:r>
              <w:rPr>
                <w:b w:val="false"/>
                <w:bCs w:val="false"/>
                <w:sz w:val="20"/>
                <w:szCs w:val="20"/>
              </w:rPr>
              <w:t xml:space="preserve">6, 29, 37</w:t>
            </w:r>
          </w:p>
        </w:tc>
        <w:tc>
          <w:tcPr>
            <w:tcW w:type="dxa" w:w="4400"/>
            <w:tcMar>
              <w:top w:type="dxa" w:w="60"/>
              <w:left w:type="dxa" w:w="100"/>
              <w:bottom w:type="dxa" w:w="60"/>
              <w:right w:type="dxa" w:w="100"/>
            </w:tcMar>
            <w:vAlign w:val="center"/>
          </w:tcPr>
          <w:p>
            <w:r>
              <w:rPr>
                <w:b w:val="false"/>
                <w:bCs w:val="false"/>
                <w:sz w:val="20"/>
                <w:szCs w:val="20"/>
              </w:rPr>
              <w:t xml:space="preserve">13</w:t>
            </w:r>
          </w:p>
        </w:tc>
      </w:tr>
      <w:tr>
        <w:tc>
          <w:tcPr>
            <w:tcW w:type="dxa" w:w="2600"/>
            <w:shd w:fill="DCE6F1" w:val="clear"/>
            <w:tcMar>
              <w:top w:type="dxa" w:w="60"/>
              <w:left w:type="dxa" w:w="100"/>
              <w:bottom w:type="dxa" w:w="60"/>
              <w:right w:type="dxa" w:w="100"/>
            </w:tcMar>
            <w:vAlign w:val="center"/>
          </w:tcPr>
          <w:p>
            <w:r>
              <w:rPr>
                <w:b w:val="false"/>
                <w:bCs w:val="false"/>
                <w:sz w:val="20"/>
                <w:szCs w:val="20"/>
              </w:rPr>
              <w:t xml:space="preserve">NFR-SEC-010 to 060</w:t>
            </w:r>
          </w:p>
        </w:tc>
        <w:tc>
          <w:tcPr>
            <w:tcW w:type="dxa" w:w="2350"/>
            <w:shd w:fill="DCE6F1" w:val="clear"/>
            <w:tcMar>
              <w:top w:type="dxa" w:w="60"/>
              <w:left w:type="dxa" w:w="100"/>
              <w:bottom w:type="dxa" w:w="60"/>
              <w:right w:type="dxa" w:w="100"/>
            </w:tcMar>
            <w:vAlign w:val="center"/>
          </w:tcPr>
          <w:p>
            <w:r>
              <w:rPr>
                <w:b w:val="false"/>
                <w:bCs w:val="false"/>
                <w:sz w:val="20"/>
                <w:szCs w:val="20"/>
              </w:rPr>
              <w:t xml:space="preserve">30, 33</w:t>
            </w:r>
          </w:p>
        </w:tc>
        <w:tc>
          <w:tcPr>
            <w:tcW w:type="dxa" w:w="4400"/>
            <w:shd w:fill="DCE6F1" w:val="clear"/>
            <w:tcMar>
              <w:top w:type="dxa" w:w="60"/>
              <w:left w:type="dxa" w:w="100"/>
              <w:bottom w:type="dxa" w:w="60"/>
              <w:right w:type="dxa" w:w="100"/>
            </w:tcMar>
            <w:vAlign w:val="center"/>
          </w:tcPr>
          <w:p>
            <w:r>
              <w:rPr>
                <w:b w:val="false"/>
                <w:bCs w:val="false"/>
                <w:sz w:val="20"/>
                <w:szCs w:val="20"/>
              </w:rPr>
              <w:t xml:space="preserve">5</w:t>
            </w:r>
          </w:p>
        </w:tc>
      </w:tr>
      <w:tr>
        <w:tc>
          <w:tcPr>
            <w:tcW w:type="dxa" w:w="2600"/>
            <w:tcMar>
              <w:top w:type="dxa" w:w="60"/>
              <w:left w:type="dxa" w:w="100"/>
              <w:bottom w:type="dxa" w:w="60"/>
              <w:right w:type="dxa" w:w="100"/>
            </w:tcMar>
            <w:vAlign w:val="center"/>
          </w:tcPr>
          <w:p>
            <w:r>
              <w:rPr>
                <w:b w:val="false"/>
                <w:bCs w:val="false"/>
                <w:sz w:val="20"/>
                <w:szCs w:val="20"/>
              </w:rPr>
              <w:t xml:space="preserve">NFR-AVAIL-010 to 034</w:t>
            </w:r>
          </w:p>
        </w:tc>
        <w:tc>
          <w:tcPr>
            <w:tcW w:type="dxa" w:w="2350"/>
            <w:tcMar>
              <w:top w:type="dxa" w:w="60"/>
              <w:left w:type="dxa" w:w="100"/>
              <w:bottom w:type="dxa" w:w="60"/>
              <w:right w:type="dxa" w:w="100"/>
            </w:tcMar>
            <w:vAlign w:val="center"/>
          </w:tcPr>
          <w:p>
            <w:r>
              <w:rPr>
                <w:b w:val="false"/>
                <w:bCs w:val="false"/>
                <w:sz w:val="20"/>
                <w:szCs w:val="20"/>
              </w:rPr>
              <w:t xml:space="preserve">37, 38</w:t>
            </w:r>
          </w:p>
        </w:tc>
        <w:tc>
          <w:tcPr>
            <w:tcW w:type="dxa" w:w="4400"/>
            <w:tcMar>
              <w:top w:type="dxa" w:w="60"/>
              <w:left w:type="dxa" w:w="100"/>
              <w:bottom w:type="dxa" w:w="60"/>
              <w:right w:type="dxa" w:w="100"/>
            </w:tcMar>
            <w:vAlign w:val="center"/>
          </w:tcPr>
          <w:p>
            <w:r>
              <w:rPr>
                <w:b w:val="false"/>
                <w:bCs w:val="false"/>
                <w:sz w:val="20"/>
                <w:szCs w:val="20"/>
              </w:rPr>
              <w:t xml:space="preserve">8</w:t>
            </w:r>
          </w:p>
        </w:tc>
      </w:tr>
      <w:tr>
        <w:tc>
          <w:tcPr>
            <w:tcW w:type="dxa" w:w="2600"/>
            <w:shd w:fill="DCE6F1" w:val="clear"/>
            <w:tcMar>
              <w:top w:type="dxa" w:w="60"/>
              <w:left w:type="dxa" w:w="100"/>
              <w:bottom w:type="dxa" w:w="60"/>
              <w:right w:type="dxa" w:w="100"/>
            </w:tcMar>
            <w:vAlign w:val="center"/>
          </w:tcPr>
          <w:p>
            <w:r>
              <w:rPr>
                <w:b w:val="false"/>
                <w:bCs w:val="false"/>
                <w:sz w:val="20"/>
                <w:szCs w:val="20"/>
              </w:rPr>
              <w:t xml:space="preserve">NFR-QA-010 to 050</w:t>
            </w:r>
          </w:p>
        </w:tc>
        <w:tc>
          <w:tcPr>
            <w:tcW w:type="dxa" w:w="2350"/>
            <w:shd w:fill="DCE6F1" w:val="clear"/>
            <w:tcMar>
              <w:top w:type="dxa" w:w="60"/>
              <w:left w:type="dxa" w:w="100"/>
              <w:bottom w:type="dxa" w:w="60"/>
              <w:right w:type="dxa" w:w="100"/>
            </w:tcMar>
            <w:vAlign w:val="center"/>
          </w:tcPr>
          <w:p>
            <w:r>
              <w:rPr>
                <w:b w:val="false"/>
                <w:bCs w:val="false"/>
                <w:sz w:val="20"/>
                <w:szCs w:val="20"/>
              </w:rPr>
              <w:t xml:space="preserve">38</w:t>
            </w:r>
          </w:p>
        </w:tc>
        <w:tc>
          <w:tcPr>
            <w:tcW w:type="dxa" w:w="4400"/>
            <w:shd w:fill="DCE6F1" w:val="clear"/>
            <w:tcMar>
              <w:top w:type="dxa" w:w="60"/>
              <w:left w:type="dxa" w:w="100"/>
              <w:bottom w:type="dxa" w:w="60"/>
              <w:right w:type="dxa" w:w="100"/>
            </w:tcMar>
            <w:vAlign w:val="center"/>
          </w:tcPr>
          <w:p>
            <w:r>
              <w:rPr>
                <w:b w:val="false"/>
                <w:bCs w:val="false"/>
                <w:sz w:val="20"/>
                <w:szCs w:val="20"/>
              </w:rPr>
              <w:t xml:space="preserve">5</w:t>
            </w:r>
          </w:p>
        </w:tc>
      </w:tr>
      <w:tr>
        <w:tc>
          <w:tcPr>
            <w:tcW w:type="dxa" w:w="2600"/>
            <w:tcMar>
              <w:top w:type="dxa" w:w="60"/>
              <w:left w:type="dxa" w:w="100"/>
              <w:bottom w:type="dxa" w:w="60"/>
              <w:right w:type="dxa" w:w="100"/>
            </w:tcMar>
            <w:vAlign w:val="center"/>
          </w:tcPr>
          <w:p>
            <w:r>
              <w:rPr>
                <w:b w:val="false"/>
                <w:bCs w:val="false"/>
                <w:sz w:val="20"/>
                <w:szCs w:val="20"/>
              </w:rPr>
              <w:t xml:space="preserve">DP-010 to 090</w:t>
            </w:r>
          </w:p>
        </w:tc>
        <w:tc>
          <w:tcPr>
            <w:tcW w:type="dxa" w:w="2350"/>
            <w:tcMar>
              <w:top w:type="dxa" w:w="60"/>
              <w:left w:type="dxa" w:w="100"/>
              <w:bottom w:type="dxa" w:w="60"/>
              <w:right w:type="dxa" w:w="100"/>
            </w:tcMar>
            <w:vAlign w:val="center"/>
          </w:tcPr>
          <w:p>
            <w:r>
              <w:rPr>
                <w:b w:val="false"/>
                <w:bCs w:val="false"/>
                <w:sz w:val="20"/>
                <w:szCs w:val="20"/>
              </w:rPr>
              <w:t xml:space="preserve">39, 40</w:t>
            </w:r>
          </w:p>
        </w:tc>
        <w:tc>
          <w:tcPr>
            <w:tcW w:type="dxa" w:w="4400"/>
            <w:tcMar>
              <w:top w:type="dxa" w:w="60"/>
              <w:left w:type="dxa" w:w="100"/>
              <w:bottom w:type="dxa" w:w="60"/>
              <w:right w:type="dxa" w:w="100"/>
            </w:tcMar>
            <w:vAlign w:val="center"/>
          </w:tcPr>
          <w:p>
            <w:r>
              <w:rPr>
                <w:b w:val="false"/>
                <w:bCs w:val="false"/>
                <w:sz w:val="20"/>
                <w:szCs w:val="20"/>
              </w:rPr>
              <w:t xml:space="preserve">9</w:t>
            </w:r>
          </w:p>
        </w:tc>
      </w:tr>
      <w:tr>
        <w:tc>
          <w:tcPr>
            <w:tcW w:type="dxa" w:w="2600"/>
            <w:shd w:fill="DCE6F1" w:val="clear"/>
            <w:tcMar>
              <w:top w:type="dxa" w:w="60"/>
              <w:left w:type="dxa" w:w="100"/>
              <w:bottom w:type="dxa" w:w="60"/>
              <w:right w:type="dxa" w:w="100"/>
            </w:tcMar>
            <w:vAlign w:val="center"/>
          </w:tcPr>
          <w:p>
            <w:r>
              <w:rPr>
                <w:b w:val="false"/>
                <w:bCs w:val="false"/>
                <w:sz w:val="20"/>
                <w:szCs w:val="20"/>
              </w:rPr>
              <w:t xml:space="preserve">DOM-010 to 090</w:t>
            </w:r>
          </w:p>
        </w:tc>
        <w:tc>
          <w:tcPr>
            <w:tcW w:type="dxa" w:w="2350"/>
            <w:shd w:fill="DCE6F1" w:val="clear"/>
            <w:tcMar>
              <w:top w:type="dxa" w:w="60"/>
              <w:left w:type="dxa" w:w="100"/>
              <w:bottom w:type="dxa" w:w="60"/>
              <w:right w:type="dxa" w:w="100"/>
            </w:tcMar>
            <w:vAlign w:val="center"/>
          </w:tcPr>
          <w:p>
            <w:r>
              <w:rPr>
                <w:b w:val="false"/>
                <w:bCs w:val="false"/>
                <w:sz w:val="20"/>
                <w:szCs w:val="20"/>
              </w:rPr>
              <w:t xml:space="preserve">41, 42</w:t>
            </w:r>
          </w:p>
        </w:tc>
        <w:tc>
          <w:tcPr>
            <w:tcW w:type="dxa" w:w="4400"/>
            <w:shd w:fill="DCE6F1" w:val="clear"/>
            <w:tcMar>
              <w:top w:type="dxa" w:w="60"/>
              <w:left w:type="dxa" w:w="100"/>
              <w:bottom w:type="dxa" w:w="60"/>
              <w:right w:type="dxa" w:w="100"/>
            </w:tcMar>
            <w:vAlign w:val="center"/>
          </w:tcPr>
          <w:p>
            <w:r>
              <w:rPr>
                <w:b w:val="false"/>
                <w:bCs w:val="false"/>
                <w:sz w:val="20"/>
                <w:szCs w:val="20"/>
              </w:rPr>
              <w:t xml:space="preserve">9</w:t>
            </w:r>
          </w:p>
        </w:tc>
      </w:tr>
    </w:tbl>
    <w:p>
      <w:pPr>
        <w:pStyle w:val="Heading1"/>
        <w:pageBreakBefore/>
        <w:spacing w:after="200" w:before="240"/>
      </w:pPr>
      <w:r>
        <w:rPr>
          <w:b/>
          <w:bCs/>
        </w:rPr>
        <w:t xml:space="preserve">Appendix B — Non-Functional Requirements Summary</w:t>
      </w:r>
    </w:p>
    <w:p>
      <w:pPr>
        <w:spacing w:after="120"/>
      </w:pPr>
      <w:r>
        <w:rPr>
          <w:b w:val="false"/>
          <w:bCs w:val="false"/>
          <w:i w:val="false"/>
          <w:iCs w:val="false"/>
        </w:rPr>
        <w:t xml:space="preserve">All numeric targets in this document, collected in one place for release-gate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50"/>
      </w:tblGrid>
      <w:tr>
        <w:trPr>
          <w:tblHeader/>
        </w:trPr>
        <w:tc>
          <w:tcPr>
            <w:tcW w:type="dxa" w:w="2200"/>
            <w:shd w:fill="1F3864" w:val="clear"/>
            <w:tcMar>
              <w:top w:type="dxa" w:w="60"/>
              <w:left w:type="dxa" w:w="100"/>
              <w:bottom w:type="dxa" w:w="60"/>
              <w:right w:type="dxa" w:w="100"/>
            </w:tcMar>
            <w:vAlign w:val="center"/>
          </w:tcPr>
          <w:p>
            <w:r>
              <w:rPr>
                <w:b/>
                <w:bCs/>
                <w:color w:val="FFFFFF"/>
                <w:sz w:val="20"/>
                <w:szCs w:val="20"/>
              </w:rPr>
              <w:t xml:space="preserve">Category</w:t>
            </w:r>
          </w:p>
        </w:tc>
        <w:tc>
          <w:tcPr>
            <w:tcW w:type="dxa" w:w="4200"/>
            <w:shd w:fill="1F3864" w:val="clear"/>
            <w:tcMar>
              <w:top w:type="dxa" w:w="60"/>
              <w:left w:type="dxa" w:w="100"/>
              <w:bottom w:type="dxa" w:w="60"/>
              <w:right w:type="dxa" w:w="100"/>
            </w:tcMar>
            <w:vAlign w:val="center"/>
          </w:tcPr>
          <w:p>
            <w:r>
              <w:rPr>
                <w:b/>
                <w:bCs/>
                <w:color w:val="FFFFFF"/>
                <w:sz w:val="20"/>
                <w:szCs w:val="20"/>
              </w:rPr>
              <w:t xml:space="preserve">Requirement</w:t>
            </w:r>
          </w:p>
        </w:tc>
        <w:tc>
          <w:tcPr>
            <w:tcW w:type="dxa" w:w="2950"/>
            <w:shd w:fill="1F3864" w:val="clear"/>
            <w:tcMar>
              <w:top w:type="dxa" w:w="60"/>
              <w:left w:type="dxa" w:w="100"/>
              <w:bottom w:type="dxa" w:w="60"/>
              <w:right w:type="dxa" w:w="100"/>
            </w:tcMar>
            <w:vAlign w:val="center"/>
          </w:tcPr>
          <w:p>
            <w:r>
              <w:rPr>
                <w:b/>
                <w:bCs/>
                <w:color w:val="FFFFFF"/>
                <w:sz w:val="20"/>
                <w:szCs w:val="20"/>
              </w:rPr>
              <w:t xml:space="preserve">Target</w:t>
            </w:r>
          </w:p>
        </w:tc>
      </w:tr>
      <w:tr>
        <w:tc>
          <w:tcPr>
            <w:tcW w:type="dxa" w:w="2200"/>
            <w:tcMar>
              <w:top w:type="dxa" w:w="60"/>
              <w:left w:type="dxa" w:w="100"/>
              <w:bottom w:type="dxa" w:w="60"/>
              <w:right w:type="dxa" w:w="100"/>
            </w:tcMar>
            <w:vAlign w:val="center"/>
          </w:tcPr>
          <w:p>
            <w:r>
              <w:rPr>
                <w:b w:val="false"/>
                <w:bCs w:val="false"/>
                <w:sz w:val="20"/>
                <w:szCs w:val="20"/>
              </w:rPr>
              <w:t xml:space="preserve">Performance</w:t>
            </w:r>
          </w:p>
        </w:tc>
        <w:tc>
          <w:tcPr>
            <w:tcW w:type="dxa" w:w="4200"/>
            <w:tcMar>
              <w:top w:type="dxa" w:w="60"/>
              <w:left w:type="dxa" w:w="100"/>
              <w:bottom w:type="dxa" w:w="60"/>
              <w:right w:type="dxa" w:w="100"/>
            </w:tcMar>
            <w:vAlign w:val="center"/>
          </w:tcPr>
          <w:p>
            <w:r>
              <w:rPr>
                <w:b w:val="false"/>
                <w:bCs w:val="false"/>
                <w:sz w:val="20"/>
                <w:szCs w:val="20"/>
              </w:rPr>
              <w:t xml:space="preserve">Page load (p95, 3G)</w:t>
            </w:r>
          </w:p>
        </w:tc>
        <w:tc>
          <w:tcPr>
            <w:tcW w:type="dxa" w:w="2950"/>
            <w:tcMar>
              <w:top w:type="dxa" w:w="60"/>
              <w:left w:type="dxa" w:w="100"/>
              <w:bottom w:type="dxa" w:w="60"/>
              <w:right w:type="dxa" w:w="100"/>
            </w:tcMar>
            <w:vAlign w:val="center"/>
          </w:tcPr>
          <w:p>
            <w:r>
              <w:rPr>
                <w:b w:val="false"/>
                <w:bCs w:val="false"/>
                <w:sz w:val="20"/>
                <w:szCs w:val="20"/>
              </w:rPr>
              <w:t xml:space="preserve">≤ 2.5s</w:t>
            </w:r>
          </w:p>
        </w:tc>
      </w:tr>
      <w:tr>
        <w:tc>
          <w:tcPr>
            <w:tcW w:type="dxa" w:w="2200"/>
            <w:shd w:fill="DCE6F1" w:val="clear"/>
            <w:tcMar>
              <w:top w:type="dxa" w:w="60"/>
              <w:left w:type="dxa" w:w="100"/>
              <w:bottom w:type="dxa" w:w="60"/>
              <w:right w:type="dxa" w:w="100"/>
            </w:tcMar>
            <w:vAlign w:val="center"/>
          </w:tcPr>
          <w:p>
            <w:r>
              <w:rPr>
                <w:b w:val="false"/>
                <w:bCs w:val="false"/>
                <w:sz w:val="20"/>
                <w:szCs w:val="20"/>
              </w:rPr>
              <w:t xml:space="preserve">Performance</w:t>
            </w:r>
          </w:p>
        </w:tc>
        <w:tc>
          <w:tcPr>
            <w:tcW w:type="dxa" w:w="4200"/>
            <w:shd w:fill="DCE6F1" w:val="clear"/>
            <w:tcMar>
              <w:top w:type="dxa" w:w="60"/>
              <w:left w:type="dxa" w:w="100"/>
              <w:bottom w:type="dxa" w:w="60"/>
              <w:right w:type="dxa" w:w="100"/>
            </w:tcMar>
            <w:vAlign w:val="center"/>
          </w:tcPr>
          <w:p>
            <w:r>
              <w:rPr>
                <w:b w:val="false"/>
                <w:bCs w:val="false"/>
                <w:sz w:val="20"/>
                <w:szCs w:val="20"/>
              </w:rPr>
              <w:t xml:space="preserve">API read (p95)</w:t>
            </w:r>
          </w:p>
        </w:tc>
        <w:tc>
          <w:tcPr>
            <w:tcW w:type="dxa" w:w="2950"/>
            <w:shd w:fill="DCE6F1" w:val="clear"/>
            <w:tcMar>
              <w:top w:type="dxa" w:w="60"/>
              <w:left w:type="dxa" w:w="100"/>
              <w:bottom w:type="dxa" w:w="60"/>
              <w:right w:type="dxa" w:w="100"/>
            </w:tcMar>
            <w:vAlign w:val="center"/>
          </w:tcPr>
          <w:p>
            <w:r>
              <w:rPr>
                <w:b w:val="false"/>
                <w:bCs w:val="false"/>
                <w:sz w:val="20"/>
                <w:szCs w:val="20"/>
              </w:rPr>
              <w:t xml:space="preserve">≤ 300ms</w:t>
            </w:r>
          </w:p>
        </w:tc>
      </w:tr>
      <w:tr>
        <w:tc>
          <w:tcPr>
            <w:tcW w:type="dxa" w:w="2200"/>
            <w:tcMar>
              <w:top w:type="dxa" w:w="60"/>
              <w:left w:type="dxa" w:w="100"/>
              <w:bottom w:type="dxa" w:w="60"/>
              <w:right w:type="dxa" w:w="100"/>
            </w:tcMar>
            <w:vAlign w:val="center"/>
          </w:tcPr>
          <w:p>
            <w:r>
              <w:rPr>
                <w:b w:val="false"/>
                <w:bCs w:val="false"/>
                <w:sz w:val="20"/>
                <w:szCs w:val="20"/>
              </w:rPr>
              <w:t xml:space="preserve">Performance</w:t>
            </w:r>
          </w:p>
        </w:tc>
        <w:tc>
          <w:tcPr>
            <w:tcW w:type="dxa" w:w="4200"/>
            <w:tcMar>
              <w:top w:type="dxa" w:w="60"/>
              <w:left w:type="dxa" w:w="100"/>
              <w:bottom w:type="dxa" w:w="60"/>
              <w:right w:type="dxa" w:w="100"/>
            </w:tcMar>
            <w:vAlign w:val="center"/>
          </w:tcPr>
          <w:p>
            <w:r>
              <w:rPr>
                <w:b w:val="false"/>
                <w:bCs w:val="false"/>
                <w:sz w:val="20"/>
                <w:szCs w:val="20"/>
              </w:rPr>
              <w:t xml:space="preserve">API write (p95)</w:t>
            </w:r>
          </w:p>
        </w:tc>
        <w:tc>
          <w:tcPr>
            <w:tcW w:type="dxa" w:w="2950"/>
            <w:tcMar>
              <w:top w:type="dxa" w:w="60"/>
              <w:left w:type="dxa" w:w="100"/>
              <w:bottom w:type="dxa" w:w="60"/>
              <w:right w:type="dxa" w:w="100"/>
            </w:tcMar>
            <w:vAlign w:val="center"/>
          </w:tcPr>
          <w:p>
            <w:r>
              <w:rPr>
                <w:b w:val="false"/>
                <w:bCs w:val="false"/>
                <w:sz w:val="20"/>
                <w:szCs w:val="20"/>
              </w:rPr>
              <w:t xml:space="preserve">≤ 500ms</w:t>
            </w:r>
          </w:p>
        </w:tc>
      </w:tr>
      <w:tr>
        <w:tc>
          <w:tcPr>
            <w:tcW w:type="dxa" w:w="2200"/>
            <w:shd w:fill="DCE6F1" w:val="clear"/>
            <w:tcMar>
              <w:top w:type="dxa" w:w="60"/>
              <w:left w:type="dxa" w:w="100"/>
              <w:bottom w:type="dxa" w:w="60"/>
              <w:right w:type="dxa" w:w="100"/>
            </w:tcMar>
            <w:vAlign w:val="center"/>
          </w:tcPr>
          <w:p>
            <w:r>
              <w:rPr>
                <w:b w:val="false"/>
                <w:bCs w:val="false"/>
                <w:sz w:val="20"/>
                <w:szCs w:val="20"/>
              </w:rPr>
              <w:t xml:space="preserve">Performance</w:t>
            </w:r>
          </w:p>
        </w:tc>
        <w:tc>
          <w:tcPr>
            <w:tcW w:type="dxa" w:w="4200"/>
            <w:shd w:fill="DCE6F1" w:val="clear"/>
            <w:tcMar>
              <w:top w:type="dxa" w:w="60"/>
              <w:left w:type="dxa" w:w="100"/>
              <w:bottom w:type="dxa" w:w="60"/>
              <w:right w:type="dxa" w:w="100"/>
            </w:tcMar>
            <w:vAlign w:val="center"/>
          </w:tcPr>
          <w:p>
            <w:r>
              <w:rPr>
                <w:b w:val="false"/>
                <w:bCs w:val="false"/>
                <w:sz w:val="20"/>
                <w:szCs w:val="20"/>
              </w:rPr>
              <w:t xml:space="preserve">Report-card batch (500 students)</w:t>
            </w:r>
          </w:p>
        </w:tc>
        <w:tc>
          <w:tcPr>
            <w:tcW w:type="dxa" w:w="2950"/>
            <w:shd w:fill="DCE6F1" w:val="clear"/>
            <w:tcMar>
              <w:top w:type="dxa" w:w="60"/>
              <w:left w:type="dxa" w:w="100"/>
              <w:bottom w:type="dxa" w:w="60"/>
              <w:right w:type="dxa" w:w="100"/>
            </w:tcMar>
            <w:vAlign w:val="center"/>
          </w:tcPr>
          <w:p>
            <w:r>
              <w:rPr>
                <w:b w:val="false"/>
                <w:bCs w:val="false"/>
                <w:sz w:val="20"/>
                <w:szCs w:val="20"/>
              </w:rPr>
              <w:t xml:space="preserve">≤ 5 min</w:t>
            </w:r>
          </w:p>
        </w:tc>
      </w:tr>
      <w:tr>
        <w:tc>
          <w:tcPr>
            <w:tcW w:type="dxa" w:w="2200"/>
            <w:tcMar>
              <w:top w:type="dxa" w:w="60"/>
              <w:left w:type="dxa" w:w="100"/>
              <w:bottom w:type="dxa" w:w="60"/>
              <w:right w:type="dxa" w:w="100"/>
            </w:tcMar>
            <w:vAlign w:val="center"/>
          </w:tcPr>
          <w:p>
            <w:r>
              <w:rPr>
                <w:b w:val="false"/>
                <w:bCs w:val="false"/>
                <w:sz w:val="20"/>
                <w:szCs w:val="20"/>
              </w:rPr>
              <w:t xml:space="preserve">Scalability</w:t>
            </w:r>
          </w:p>
        </w:tc>
        <w:tc>
          <w:tcPr>
            <w:tcW w:type="dxa" w:w="4200"/>
            <w:tcMar>
              <w:top w:type="dxa" w:w="60"/>
              <w:left w:type="dxa" w:w="100"/>
              <w:bottom w:type="dxa" w:w="60"/>
              <w:right w:type="dxa" w:w="100"/>
            </w:tcMar>
            <w:vAlign w:val="center"/>
          </w:tcPr>
          <w:p>
            <w:r>
              <w:rPr>
                <w:b w:val="false"/>
                <w:bCs w:val="false"/>
                <w:sz w:val="20"/>
                <w:szCs w:val="20"/>
              </w:rPr>
              <w:t xml:space="preserve">Concurrent users per tenant</w:t>
            </w:r>
          </w:p>
        </w:tc>
        <w:tc>
          <w:tcPr>
            <w:tcW w:type="dxa" w:w="2950"/>
            <w:tcMar>
              <w:top w:type="dxa" w:w="60"/>
              <w:left w:type="dxa" w:w="100"/>
              <w:bottom w:type="dxa" w:w="60"/>
              <w:right w:type="dxa" w:w="100"/>
            </w:tcMar>
            <w:vAlign w:val="center"/>
          </w:tcPr>
          <w:p>
            <w:r>
              <w:rPr>
                <w:b w:val="false"/>
                <w:bCs w:val="false"/>
                <w:sz w:val="20"/>
                <w:szCs w:val="20"/>
              </w:rPr>
              <w:t xml:space="preserve">≥ 200</w:t>
            </w:r>
          </w:p>
        </w:tc>
      </w:tr>
      <w:tr>
        <w:tc>
          <w:tcPr>
            <w:tcW w:type="dxa" w:w="2200"/>
            <w:shd w:fill="DCE6F1" w:val="clear"/>
            <w:tcMar>
              <w:top w:type="dxa" w:w="60"/>
              <w:left w:type="dxa" w:w="100"/>
              <w:bottom w:type="dxa" w:w="60"/>
              <w:right w:type="dxa" w:w="100"/>
            </w:tcMar>
            <w:vAlign w:val="center"/>
          </w:tcPr>
          <w:p>
            <w:r>
              <w:rPr>
                <w:b w:val="false"/>
                <w:bCs w:val="false"/>
                <w:sz w:val="20"/>
                <w:szCs w:val="20"/>
              </w:rPr>
              <w:t xml:space="preserve">Scalability</w:t>
            </w:r>
          </w:p>
        </w:tc>
        <w:tc>
          <w:tcPr>
            <w:tcW w:type="dxa" w:w="4200"/>
            <w:shd w:fill="DCE6F1" w:val="clear"/>
            <w:tcMar>
              <w:top w:type="dxa" w:w="60"/>
              <w:left w:type="dxa" w:w="100"/>
              <w:bottom w:type="dxa" w:w="60"/>
              <w:right w:type="dxa" w:w="100"/>
            </w:tcMar>
            <w:vAlign w:val="center"/>
          </w:tcPr>
          <w:p>
            <w:r>
              <w:rPr>
                <w:b w:val="false"/>
                <w:bCs w:val="false"/>
                <w:sz w:val="20"/>
                <w:szCs w:val="20"/>
              </w:rPr>
              <w:t xml:space="preserve">Concurrent tenants (Year 1)</w:t>
            </w:r>
          </w:p>
        </w:tc>
        <w:tc>
          <w:tcPr>
            <w:tcW w:type="dxa" w:w="2950"/>
            <w:shd w:fill="DCE6F1" w:val="clear"/>
            <w:tcMar>
              <w:top w:type="dxa" w:w="60"/>
              <w:left w:type="dxa" w:w="100"/>
              <w:bottom w:type="dxa" w:w="60"/>
              <w:right w:type="dxa" w:w="100"/>
            </w:tcMar>
            <w:vAlign w:val="center"/>
          </w:tcPr>
          <w:p>
            <w:r>
              <w:rPr>
                <w:b w:val="false"/>
                <w:bCs w:val="false"/>
                <w:sz w:val="20"/>
                <w:szCs w:val="20"/>
              </w:rPr>
              <w:t xml:space="preserve">≥ 150</w:t>
            </w:r>
          </w:p>
        </w:tc>
      </w:tr>
      <w:tr>
        <w:tc>
          <w:tcPr>
            <w:tcW w:type="dxa" w:w="2200"/>
            <w:tcMar>
              <w:top w:type="dxa" w:w="60"/>
              <w:left w:type="dxa" w:w="100"/>
              <w:bottom w:type="dxa" w:w="60"/>
              <w:right w:type="dxa" w:w="100"/>
            </w:tcMar>
            <w:vAlign w:val="center"/>
          </w:tcPr>
          <w:p>
            <w:r>
              <w:rPr>
                <w:b w:val="false"/>
                <w:bCs w:val="false"/>
                <w:sz w:val="20"/>
                <w:szCs w:val="20"/>
              </w:rPr>
              <w:t xml:space="preserve">Availability</w:t>
            </w:r>
          </w:p>
        </w:tc>
        <w:tc>
          <w:tcPr>
            <w:tcW w:type="dxa" w:w="4200"/>
            <w:tcMar>
              <w:top w:type="dxa" w:w="60"/>
              <w:left w:type="dxa" w:w="100"/>
              <w:bottom w:type="dxa" w:w="60"/>
              <w:right w:type="dxa" w:w="100"/>
            </w:tcMar>
            <w:vAlign w:val="center"/>
          </w:tcPr>
          <w:p>
            <w:r>
              <w:rPr>
                <w:b w:val="false"/>
                <w:bCs w:val="false"/>
                <w:sz w:val="20"/>
                <w:szCs w:val="20"/>
              </w:rPr>
              <w:t xml:space="preserve">Monthly uptime</w:t>
            </w:r>
          </w:p>
        </w:tc>
        <w:tc>
          <w:tcPr>
            <w:tcW w:type="dxa" w:w="2950"/>
            <w:tcMar>
              <w:top w:type="dxa" w:w="60"/>
              <w:left w:type="dxa" w:w="100"/>
              <w:bottom w:type="dxa" w:w="60"/>
              <w:right w:type="dxa" w:w="100"/>
            </w:tcMar>
            <w:vAlign w:val="center"/>
          </w:tcPr>
          <w:p>
            <w:r>
              <w:rPr>
                <w:b w:val="false"/>
                <w:bCs w:val="false"/>
                <w:sz w:val="20"/>
                <w:szCs w:val="20"/>
              </w:rPr>
              <w:t xml:space="preserve">≥ 99.5%</w:t>
            </w:r>
          </w:p>
        </w:tc>
      </w:tr>
      <w:tr>
        <w:tc>
          <w:tcPr>
            <w:tcW w:type="dxa" w:w="2200"/>
            <w:shd w:fill="DCE6F1" w:val="clear"/>
            <w:tcMar>
              <w:top w:type="dxa" w:w="60"/>
              <w:left w:type="dxa" w:w="100"/>
              <w:bottom w:type="dxa" w:w="60"/>
              <w:right w:type="dxa" w:w="100"/>
            </w:tcMar>
            <w:vAlign w:val="center"/>
          </w:tcPr>
          <w:p>
            <w:r>
              <w:rPr>
                <w:b w:val="false"/>
                <w:bCs w:val="false"/>
                <w:sz w:val="20"/>
                <w:szCs w:val="20"/>
              </w:rPr>
              <w:t xml:space="preserve">Availability</w:t>
            </w:r>
          </w:p>
        </w:tc>
        <w:tc>
          <w:tcPr>
            <w:tcW w:type="dxa" w:w="4200"/>
            <w:shd w:fill="DCE6F1" w:val="clear"/>
            <w:tcMar>
              <w:top w:type="dxa" w:w="60"/>
              <w:left w:type="dxa" w:w="100"/>
              <w:bottom w:type="dxa" w:w="60"/>
              <w:right w:type="dxa" w:w="100"/>
            </w:tcMar>
            <w:vAlign w:val="center"/>
          </w:tcPr>
          <w:p>
            <w:r>
              <w:rPr>
                <w:b w:val="false"/>
                <w:bCs w:val="false"/>
                <w:sz w:val="20"/>
                <w:szCs w:val="20"/>
              </w:rPr>
              <w:t xml:space="preserve">RTO (platform / single tenant)</w:t>
            </w:r>
          </w:p>
        </w:tc>
        <w:tc>
          <w:tcPr>
            <w:tcW w:type="dxa" w:w="2950"/>
            <w:shd w:fill="DCE6F1" w:val="clear"/>
            <w:tcMar>
              <w:top w:type="dxa" w:w="60"/>
              <w:left w:type="dxa" w:w="100"/>
              <w:bottom w:type="dxa" w:w="60"/>
              <w:right w:type="dxa" w:w="100"/>
            </w:tcMar>
            <w:vAlign w:val="center"/>
          </w:tcPr>
          <w:p>
            <w:r>
              <w:rPr>
                <w:b w:val="false"/>
                <w:bCs w:val="false"/>
                <w:sz w:val="20"/>
                <w:szCs w:val="20"/>
              </w:rPr>
              <w:t xml:space="preserve">4h / 1h</w:t>
            </w:r>
          </w:p>
        </w:tc>
      </w:tr>
      <w:tr>
        <w:tc>
          <w:tcPr>
            <w:tcW w:type="dxa" w:w="2200"/>
            <w:tcMar>
              <w:top w:type="dxa" w:w="60"/>
              <w:left w:type="dxa" w:w="100"/>
              <w:bottom w:type="dxa" w:w="60"/>
              <w:right w:type="dxa" w:w="100"/>
            </w:tcMar>
            <w:vAlign w:val="center"/>
          </w:tcPr>
          <w:p>
            <w:r>
              <w:rPr>
                <w:b w:val="false"/>
                <w:bCs w:val="false"/>
                <w:sz w:val="20"/>
                <w:szCs w:val="20"/>
              </w:rPr>
              <w:t xml:space="preserve">Availability</w:t>
            </w:r>
          </w:p>
        </w:tc>
        <w:tc>
          <w:tcPr>
            <w:tcW w:type="dxa" w:w="4200"/>
            <w:tcMar>
              <w:top w:type="dxa" w:w="60"/>
              <w:left w:type="dxa" w:w="100"/>
              <w:bottom w:type="dxa" w:w="60"/>
              <w:right w:type="dxa" w:w="100"/>
            </w:tcMar>
            <w:vAlign w:val="center"/>
          </w:tcPr>
          <w:p>
            <w:r>
              <w:rPr>
                <w:b w:val="false"/>
                <w:bCs w:val="false"/>
                <w:sz w:val="20"/>
                <w:szCs w:val="20"/>
              </w:rPr>
              <w:t xml:space="preserve">RPO</w:t>
            </w:r>
          </w:p>
        </w:tc>
        <w:tc>
          <w:tcPr>
            <w:tcW w:type="dxa" w:w="2950"/>
            <w:tcMar>
              <w:top w:type="dxa" w:w="60"/>
              <w:left w:type="dxa" w:w="100"/>
              <w:bottom w:type="dxa" w:w="60"/>
              <w:right w:type="dxa" w:w="100"/>
            </w:tcMar>
            <w:vAlign w:val="center"/>
          </w:tcPr>
          <w:p>
            <w:r>
              <w:rPr>
                <w:b w:val="false"/>
                <w:bCs w:val="false"/>
                <w:sz w:val="20"/>
                <w:szCs w:val="20"/>
              </w:rPr>
              <w:t xml:space="preserve">≤ 15 min</w:t>
            </w:r>
          </w:p>
        </w:tc>
      </w:tr>
      <w:tr>
        <w:tc>
          <w:tcPr>
            <w:tcW w:type="dxa" w:w="2200"/>
            <w:shd w:fill="DCE6F1" w:val="clear"/>
            <w:tcMar>
              <w:top w:type="dxa" w:w="60"/>
              <w:left w:type="dxa" w:w="100"/>
              <w:bottom w:type="dxa" w:w="60"/>
              <w:right w:type="dxa" w:w="100"/>
            </w:tcMar>
            <w:vAlign w:val="center"/>
          </w:tcPr>
          <w:p>
            <w:r>
              <w:rPr>
                <w:b w:val="false"/>
                <w:bCs w:val="false"/>
                <w:sz w:val="20"/>
                <w:szCs w:val="20"/>
              </w:rPr>
              <w:t xml:space="preserve">Quality</w:t>
            </w:r>
          </w:p>
        </w:tc>
        <w:tc>
          <w:tcPr>
            <w:tcW w:type="dxa" w:w="4200"/>
            <w:shd w:fill="DCE6F1" w:val="clear"/>
            <w:tcMar>
              <w:top w:type="dxa" w:w="60"/>
              <w:left w:type="dxa" w:w="100"/>
              <w:bottom w:type="dxa" w:w="60"/>
              <w:right w:type="dxa" w:w="100"/>
            </w:tcMar>
            <w:vAlign w:val="center"/>
          </w:tcPr>
          <w:p>
            <w:r>
              <w:rPr>
                <w:b w:val="false"/>
                <w:bCs w:val="false"/>
                <w:sz w:val="20"/>
                <w:szCs w:val="20"/>
              </w:rPr>
              <w:t xml:space="preserve">Domain logic test coverage</w:t>
            </w:r>
          </w:p>
        </w:tc>
        <w:tc>
          <w:tcPr>
            <w:tcW w:type="dxa" w:w="2950"/>
            <w:shd w:fill="DCE6F1" w:val="clear"/>
            <w:tcMar>
              <w:top w:type="dxa" w:w="60"/>
              <w:left w:type="dxa" w:w="100"/>
              <w:bottom w:type="dxa" w:w="60"/>
              <w:right w:type="dxa" w:w="100"/>
            </w:tcMar>
            <w:vAlign w:val="center"/>
          </w:tcPr>
          <w:p>
            <w:r>
              <w:rPr>
                <w:b w:val="false"/>
                <w:bCs w:val="false"/>
                <w:sz w:val="20"/>
                <w:szCs w:val="20"/>
              </w:rPr>
              <w:t xml:space="preserve">≥ 80%</w:t>
            </w:r>
          </w:p>
        </w:tc>
      </w:tr>
      <w:tr>
        <w:tc>
          <w:tcPr>
            <w:tcW w:type="dxa" w:w="2200"/>
            <w:tcMar>
              <w:top w:type="dxa" w:w="60"/>
              <w:left w:type="dxa" w:w="100"/>
              <w:bottom w:type="dxa" w:w="60"/>
              <w:right w:type="dxa" w:w="100"/>
            </w:tcMar>
            <w:vAlign w:val="center"/>
          </w:tcPr>
          <w:p>
            <w:r>
              <w:rPr>
                <w:b w:val="false"/>
                <w:bCs w:val="false"/>
                <w:sz w:val="20"/>
                <w:szCs w:val="20"/>
              </w:rPr>
              <w:t xml:space="preserve">Quality</w:t>
            </w:r>
          </w:p>
        </w:tc>
        <w:tc>
          <w:tcPr>
            <w:tcW w:type="dxa" w:w="4200"/>
            <w:tcMar>
              <w:top w:type="dxa" w:w="60"/>
              <w:left w:type="dxa" w:w="100"/>
              <w:bottom w:type="dxa" w:w="60"/>
              <w:right w:type="dxa" w:w="100"/>
            </w:tcMar>
            <w:vAlign w:val="center"/>
          </w:tcPr>
          <w:p>
            <w:r>
              <w:rPr>
                <w:b w:val="false"/>
                <w:bCs w:val="false"/>
                <w:sz w:val="20"/>
                <w:szCs w:val="20"/>
              </w:rPr>
              <w:t xml:space="preserve">Permission &amp; tenant-isolation coverage</w:t>
            </w:r>
          </w:p>
        </w:tc>
        <w:tc>
          <w:tcPr>
            <w:tcW w:type="dxa" w:w="2950"/>
            <w:tcMar>
              <w:top w:type="dxa" w:w="60"/>
              <w:left w:type="dxa" w:w="100"/>
              <w:bottom w:type="dxa" w:w="60"/>
              <w:right w:type="dxa" w:w="100"/>
            </w:tcMar>
            <w:vAlign w:val="center"/>
          </w:tcPr>
          <w:p>
            <w:r>
              <w:rPr>
                <w:b w:val="false"/>
                <w:bCs w:val="false"/>
                <w:sz w:val="20"/>
                <w:szCs w:val="20"/>
              </w:rPr>
              <w:t xml:space="preserve">100%</w:t>
            </w:r>
          </w:p>
        </w:tc>
      </w:tr>
      <w:tr>
        <w:tc>
          <w:tcPr>
            <w:tcW w:type="dxa" w:w="2200"/>
            <w:shd w:fill="DCE6F1" w:val="clear"/>
            <w:tcMar>
              <w:top w:type="dxa" w:w="60"/>
              <w:left w:type="dxa" w:w="100"/>
              <w:bottom w:type="dxa" w:w="60"/>
              <w:right w:type="dxa" w:w="100"/>
            </w:tcMar>
            <w:vAlign w:val="center"/>
          </w:tcPr>
          <w:p>
            <w:r>
              <w:rPr>
                <w:b w:val="false"/>
                <w:bCs w:val="false"/>
                <w:sz w:val="20"/>
                <w:szCs w:val="20"/>
              </w:rPr>
              <w:t xml:space="preserve">Compliance</w:t>
            </w:r>
          </w:p>
        </w:tc>
        <w:tc>
          <w:tcPr>
            <w:tcW w:type="dxa" w:w="4200"/>
            <w:shd w:fill="DCE6F1" w:val="clear"/>
            <w:tcMar>
              <w:top w:type="dxa" w:w="60"/>
              <w:left w:type="dxa" w:w="100"/>
              <w:bottom w:type="dxa" w:w="60"/>
              <w:right w:type="dxa" w:w="100"/>
            </w:tcMar>
            <w:vAlign w:val="center"/>
          </w:tcPr>
          <w:p>
            <w:r>
              <w:rPr>
                <w:b w:val="false"/>
                <w:bCs w:val="false"/>
                <w:sz w:val="20"/>
                <w:szCs w:val="20"/>
              </w:rPr>
              <w:t xml:space="preserve">Data subject request response</w:t>
            </w:r>
          </w:p>
        </w:tc>
        <w:tc>
          <w:tcPr>
            <w:tcW w:type="dxa" w:w="2950"/>
            <w:shd w:fill="DCE6F1" w:val="clear"/>
            <w:tcMar>
              <w:top w:type="dxa" w:w="60"/>
              <w:left w:type="dxa" w:w="100"/>
              <w:bottom w:type="dxa" w:w="60"/>
              <w:right w:type="dxa" w:w="100"/>
            </w:tcMar>
            <w:vAlign w:val="center"/>
          </w:tcPr>
          <w:p>
            <w:r>
              <w:rPr>
                <w:b w:val="false"/>
                <w:bCs w:val="false"/>
                <w:sz w:val="20"/>
                <w:szCs w:val="20"/>
              </w:rPr>
              <w:t xml:space="preserve">≤ 30 days</w:t>
            </w:r>
          </w:p>
        </w:tc>
      </w:tr>
      <w:tr>
        <w:tc>
          <w:tcPr>
            <w:tcW w:type="dxa" w:w="2200"/>
            <w:tcMar>
              <w:top w:type="dxa" w:w="60"/>
              <w:left w:type="dxa" w:w="100"/>
              <w:bottom w:type="dxa" w:w="60"/>
              <w:right w:type="dxa" w:w="100"/>
            </w:tcMar>
            <w:vAlign w:val="center"/>
          </w:tcPr>
          <w:p>
            <w:r>
              <w:rPr>
                <w:b w:val="false"/>
                <w:bCs w:val="false"/>
                <w:sz w:val="20"/>
                <w:szCs w:val="20"/>
              </w:rPr>
              <w:t xml:space="preserve">Compliance</w:t>
            </w:r>
          </w:p>
        </w:tc>
        <w:tc>
          <w:tcPr>
            <w:tcW w:type="dxa" w:w="4200"/>
            <w:tcMar>
              <w:top w:type="dxa" w:w="60"/>
              <w:left w:type="dxa" w:w="100"/>
              <w:bottom w:type="dxa" w:w="60"/>
              <w:right w:type="dxa" w:w="100"/>
            </w:tcMar>
            <w:vAlign w:val="center"/>
          </w:tcPr>
          <w:p>
            <w:r>
              <w:rPr>
                <w:b w:val="false"/>
                <w:bCs w:val="false"/>
                <w:sz w:val="20"/>
                <w:szCs w:val="20"/>
              </w:rPr>
              <w:t xml:space="preserve">Breach assessment</w:t>
            </w:r>
          </w:p>
        </w:tc>
        <w:tc>
          <w:tcPr>
            <w:tcW w:type="dxa" w:w="2950"/>
            <w:tcMar>
              <w:top w:type="dxa" w:w="60"/>
              <w:left w:type="dxa" w:w="100"/>
              <w:bottom w:type="dxa" w:w="60"/>
              <w:right w:type="dxa" w:w="100"/>
            </w:tcMar>
            <w:vAlign w:val="center"/>
          </w:tcPr>
          <w:p>
            <w:r>
              <w:rPr>
                <w:b w:val="false"/>
                <w:bCs w:val="false"/>
                <w:sz w:val="20"/>
                <w:szCs w:val="20"/>
              </w:rPr>
              <w:t xml:space="preserve">≤ 24 hours</w:t>
            </w:r>
          </w:p>
        </w:tc>
      </w:tr>
      <w:tr>
        <w:tc>
          <w:tcPr>
            <w:tcW w:type="dxa" w:w="2200"/>
            <w:shd w:fill="DCE6F1" w:val="clear"/>
            <w:tcMar>
              <w:top w:type="dxa" w:w="60"/>
              <w:left w:type="dxa" w:w="100"/>
              <w:bottom w:type="dxa" w:w="60"/>
              <w:right w:type="dxa" w:w="100"/>
            </w:tcMar>
            <w:vAlign w:val="center"/>
          </w:tcPr>
          <w:p>
            <w:r>
              <w:rPr>
                <w:b w:val="false"/>
                <w:bCs w:val="false"/>
                <w:sz w:val="20"/>
                <w:szCs w:val="20"/>
              </w:rPr>
              <w:t xml:space="preserve">Accessibility</w:t>
            </w:r>
          </w:p>
        </w:tc>
        <w:tc>
          <w:tcPr>
            <w:tcW w:type="dxa" w:w="4200"/>
            <w:shd w:fill="DCE6F1" w:val="clear"/>
            <w:tcMar>
              <w:top w:type="dxa" w:w="60"/>
              <w:left w:type="dxa" w:w="100"/>
              <w:bottom w:type="dxa" w:w="60"/>
              <w:right w:type="dxa" w:w="100"/>
            </w:tcMar>
            <w:vAlign w:val="center"/>
          </w:tcPr>
          <w:p>
            <w:r>
              <w:rPr>
                <w:b w:val="false"/>
                <w:bCs w:val="false"/>
                <w:sz w:val="20"/>
                <w:szCs w:val="20"/>
              </w:rPr>
              <w:t xml:space="preserve">Standard</w:t>
            </w:r>
          </w:p>
        </w:tc>
        <w:tc>
          <w:tcPr>
            <w:tcW w:type="dxa" w:w="2950"/>
            <w:shd w:fill="DCE6F1" w:val="clear"/>
            <w:tcMar>
              <w:top w:type="dxa" w:w="60"/>
              <w:left w:type="dxa" w:w="100"/>
              <w:bottom w:type="dxa" w:w="60"/>
              <w:right w:type="dxa" w:w="100"/>
            </w:tcMar>
            <w:vAlign w:val="center"/>
          </w:tcPr>
          <w:p>
            <w:r>
              <w:rPr>
                <w:b w:val="false"/>
                <w:bCs w:val="false"/>
                <w:sz w:val="20"/>
                <w:szCs w:val="20"/>
              </w:rPr>
              <w:t xml:space="preserve">WCAG 2.1 AA</w:t>
            </w:r>
          </w:p>
        </w:tc>
      </w:tr>
    </w:tbl>
    <w:p>
      <w:pPr>
        <w:pStyle w:val="Heading1"/>
        <w:pageBreakBefore/>
        <w:spacing w:after="200" w:before="240"/>
      </w:pPr>
      <w:r>
        <w:rPr>
          <w:b/>
          <w:bCs/>
        </w:rPr>
        <w:t xml:space="preserve">Appendix C — Glossary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7650"/>
      </w:tblGrid>
      <w:tr>
        <w:trPr>
          <w:tblHeader/>
        </w:trPr>
        <w:tc>
          <w:tcPr>
            <w:tcW w:type="dxa" w:w="1700"/>
            <w:shd w:fill="1F3864" w:val="clear"/>
            <w:tcMar>
              <w:top w:type="dxa" w:w="60"/>
              <w:left w:type="dxa" w:w="100"/>
              <w:bottom w:type="dxa" w:w="60"/>
              <w:right w:type="dxa" w:w="100"/>
            </w:tcMar>
            <w:vAlign w:val="center"/>
          </w:tcPr>
          <w:p>
            <w:r>
              <w:rPr>
                <w:b/>
                <w:bCs/>
                <w:color w:val="FFFFFF"/>
                <w:sz w:val="20"/>
                <w:szCs w:val="20"/>
              </w:rPr>
              <w:t xml:space="preserve">Term</w:t>
            </w:r>
          </w:p>
        </w:tc>
        <w:tc>
          <w:tcPr>
            <w:tcW w:type="dxa" w:w="7650"/>
            <w:shd w:fill="1F3864" w:val="clear"/>
            <w:tcMar>
              <w:top w:type="dxa" w:w="60"/>
              <w:left w:type="dxa" w:w="100"/>
              <w:bottom w:type="dxa" w:w="60"/>
              <w:right w:type="dxa" w:w="100"/>
            </w:tcMar>
            <w:vAlign w:val="center"/>
          </w:tcPr>
          <w:p>
            <w:r>
              <w:rPr>
                <w:b/>
                <w:bCs/>
                <w:color w:val="FFFFFF"/>
                <w:sz w:val="20"/>
                <w:szCs w:val="20"/>
              </w:rPr>
              <w:t xml:space="preserve">Definition</w:t>
            </w:r>
          </w:p>
        </w:tc>
      </w:tr>
      <w:tr>
        <w:tc>
          <w:tcPr>
            <w:tcW w:type="dxa" w:w="1700"/>
            <w:tcMar>
              <w:top w:type="dxa" w:w="60"/>
              <w:left w:type="dxa" w:w="100"/>
              <w:bottom w:type="dxa" w:w="60"/>
              <w:right w:type="dxa" w:w="100"/>
            </w:tcMar>
            <w:vAlign w:val="center"/>
          </w:tcPr>
          <w:p>
            <w:r>
              <w:rPr>
                <w:b w:val="false"/>
                <w:bCs w:val="false"/>
                <w:sz w:val="20"/>
                <w:szCs w:val="20"/>
              </w:rPr>
              <w:t xml:space="preserve">Tenant</w:t>
            </w:r>
          </w:p>
        </w:tc>
        <w:tc>
          <w:tcPr>
            <w:tcW w:type="dxa" w:w="7650"/>
            <w:tcMar>
              <w:top w:type="dxa" w:w="60"/>
              <w:left w:type="dxa" w:w="100"/>
              <w:bottom w:type="dxa" w:w="60"/>
              <w:right w:type="dxa" w:w="100"/>
            </w:tcMar>
            <w:vAlign w:val="center"/>
          </w:tcPr>
          <w:p>
            <w:r>
              <w:rPr>
                <w:b w:val="false"/>
                <w:bCs w:val="false"/>
                <w:sz w:val="20"/>
                <w:szCs w:val="20"/>
              </w:rPr>
              <w:t xml:space="preserve">A single billing and data-isolation boundary on the platform — typically one proprietor or school group, which may contain one or more schools.</w:t>
            </w:r>
          </w:p>
        </w:tc>
      </w:tr>
      <w:tr>
        <w:tc>
          <w:tcPr>
            <w:tcW w:type="dxa" w:w="1700"/>
            <w:shd w:fill="DCE6F1" w:val="clear"/>
            <w:tcMar>
              <w:top w:type="dxa" w:w="60"/>
              <w:left w:type="dxa" w:w="100"/>
              <w:bottom w:type="dxa" w:w="60"/>
              <w:right w:type="dxa" w:w="100"/>
            </w:tcMar>
            <w:vAlign w:val="center"/>
          </w:tcPr>
          <w:p>
            <w:r>
              <w:rPr>
                <w:b w:val="false"/>
                <w:bCs w:val="false"/>
                <w:sz w:val="20"/>
                <w:szCs w:val="20"/>
              </w:rPr>
              <w:t xml:space="preserve">RLS</w:t>
            </w:r>
          </w:p>
        </w:tc>
        <w:tc>
          <w:tcPr>
            <w:tcW w:type="dxa" w:w="7650"/>
            <w:shd w:fill="DCE6F1" w:val="clear"/>
            <w:tcMar>
              <w:top w:type="dxa" w:w="60"/>
              <w:left w:type="dxa" w:w="100"/>
              <w:bottom w:type="dxa" w:w="60"/>
              <w:right w:type="dxa" w:w="100"/>
            </w:tcMar>
            <w:vAlign w:val="center"/>
          </w:tcPr>
          <w:p>
            <w:r>
              <w:rPr>
                <w:b w:val="false"/>
                <w:bCs w:val="false"/>
                <w:sz w:val="20"/>
                <w:szCs w:val="20"/>
              </w:rPr>
              <w:t xml:space="preserve">Row-Level Security — a PostgreSQL feature restricting which rows a database session can see or modify, used here to enforce tenant isolation beneath the application layer.</w:t>
            </w:r>
          </w:p>
        </w:tc>
      </w:tr>
      <w:tr>
        <w:tc>
          <w:tcPr>
            <w:tcW w:type="dxa" w:w="1700"/>
            <w:tcMar>
              <w:top w:type="dxa" w:w="60"/>
              <w:left w:type="dxa" w:w="100"/>
              <w:bottom w:type="dxa" w:w="60"/>
              <w:right w:type="dxa" w:w="100"/>
            </w:tcMar>
            <w:vAlign w:val="center"/>
          </w:tcPr>
          <w:p>
            <w:r>
              <w:rPr>
                <w:b w:val="false"/>
                <w:bCs w:val="false"/>
                <w:sz w:val="20"/>
                <w:szCs w:val="20"/>
              </w:rPr>
              <w:t xml:space="preserve">RTO / RPO</w:t>
            </w:r>
          </w:p>
        </w:tc>
        <w:tc>
          <w:tcPr>
            <w:tcW w:type="dxa" w:w="7650"/>
            <w:tcMar>
              <w:top w:type="dxa" w:w="60"/>
              <w:left w:type="dxa" w:w="100"/>
              <w:bottom w:type="dxa" w:w="60"/>
              <w:right w:type="dxa" w:w="100"/>
            </w:tcMar>
            <w:vAlign w:val="center"/>
          </w:tcPr>
          <w:p>
            <w:r>
              <w:rPr>
                <w:b w:val="false"/>
                <w:bCs w:val="false"/>
                <w:sz w:val="20"/>
                <w:szCs w:val="20"/>
              </w:rPr>
              <w:t xml:space="preserve">Recovery Time Objective / Recovery Point Objective — maximum acceptable downtime and maximum acceptable data loss in a recovery scenario.</w:t>
            </w:r>
          </w:p>
        </w:tc>
      </w:tr>
      <w:tr>
        <w:tc>
          <w:tcPr>
            <w:tcW w:type="dxa" w:w="1700"/>
            <w:shd w:fill="DCE6F1" w:val="clear"/>
            <w:tcMar>
              <w:top w:type="dxa" w:w="60"/>
              <w:left w:type="dxa" w:w="100"/>
              <w:bottom w:type="dxa" w:w="60"/>
              <w:right w:type="dxa" w:w="100"/>
            </w:tcMar>
            <w:vAlign w:val="center"/>
          </w:tcPr>
          <w:p>
            <w:r>
              <w:rPr>
                <w:b w:val="false"/>
                <w:bCs w:val="false"/>
                <w:sz w:val="20"/>
                <w:szCs w:val="20"/>
              </w:rPr>
              <w:t xml:space="preserve">NaCCA</w:t>
            </w:r>
          </w:p>
        </w:tc>
        <w:tc>
          <w:tcPr>
            <w:tcW w:type="dxa" w:w="7650"/>
            <w:shd w:fill="DCE6F1" w:val="clear"/>
            <w:tcMar>
              <w:top w:type="dxa" w:w="60"/>
              <w:left w:type="dxa" w:w="100"/>
              <w:bottom w:type="dxa" w:w="60"/>
              <w:right w:type="dxa" w:w="100"/>
            </w:tcMar>
            <w:vAlign w:val="center"/>
          </w:tcPr>
          <w:p>
            <w:r>
              <w:rPr>
                <w:b w:val="false"/>
                <w:bCs w:val="false"/>
                <w:sz w:val="20"/>
                <w:szCs w:val="20"/>
              </w:rPr>
              <w:t xml:space="preserve">National Council for Curriculum and Assessment — the body responsible for Ghana's Standards-Based Curriculum.</w:t>
            </w:r>
          </w:p>
        </w:tc>
      </w:tr>
      <w:tr>
        <w:tc>
          <w:tcPr>
            <w:tcW w:type="dxa" w:w="1700"/>
            <w:tcMar>
              <w:top w:type="dxa" w:w="60"/>
              <w:left w:type="dxa" w:w="100"/>
              <w:bottom w:type="dxa" w:w="60"/>
              <w:right w:type="dxa" w:w="100"/>
            </w:tcMar>
            <w:vAlign w:val="center"/>
          </w:tcPr>
          <w:p>
            <w:r>
              <w:rPr>
                <w:b w:val="false"/>
                <w:bCs w:val="false"/>
                <w:sz w:val="20"/>
                <w:szCs w:val="20"/>
              </w:rPr>
              <w:t xml:space="preserve">BECE</w:t>
            </w:r>
          </w:p>
        </w:tc>
        <w:tc>
          <w:tcPr>
            <w:tcW w:type="dxa" w:w="7650"/>
            <w:tcMar>
              <w:top w:type="dxa" w:w="60"/>
              <w:left w:type="dxa" w:w="100"/>
              <w:bottom w:type="dxa" w:w="60"/>
              <w:right w:type="dxa" w:w="100"/>
            </w:tcMar>
            <w:vAlign w:val="center"/>
          </w:tcPr>
          <w:p>
            <w:r>
              <w:rPr>
                <w:b w:val="false"/>
                <w:bCs w:val="false"/>
                <w:sz w:val="20"/>
                <w:szCs w:val="20"/>
              </w:rPr>
              <w:t xml:space="preserve">Basic Education Certificate Examination — the national examination taken at the end of JHS 3.</w:t>
            </w:r>
          </w:p>
        </w:tc>
      </w:tr>
      <w:tr>
        <w:tc>
          <w:tcPr>
            <w:tcW w:type="dxa" w:w="1700"/>
            <w:shd w:fill="DCE6F1" w:val="clear"/>
            <w:tcMar>
              <w:top w:type="dxa" w:w="60"/>
              <w:left w:type="dxa" w:w="100"/>
              <w:bottom w:type="dxa" w:w="60"/>
              <w:right w:type="dxa" w:w="100"/>
            </w:tcMar>
            <w:vAlign w:val="center"/>
          </w:tcPr>
          <w:p>
            <w:r>
              <w:rPr>
                <w:b w:val="false"/>
                <w:bCs w:val="false"/>
                <w:sz w:val="20"/>
                <w:szCs w:val="20"/>
              </w:rPr>
              <w:t xml:space="preserve">CSSPS</w:t>
            </w:r>
          </w:p>
        </w:tc>
        <w:tc>
          <w:tcPr>
            <w:tcW w:type="dxa" w:w="7650"/>
            <w:shd w:fill="DCE6F1" w:val="clear"/>
            <w:tcMar>
              <w:top w:type="dxa" w:w="60"/>
              <w:left w:type="dxa" w:w="100"/>
              <w:bottom w:type="dxa" w:w="60"/>
              <w:right w:type="dxa" w:w="100"/>
            </w:tcMar>
            <w:vAlign w:val="center"/>
          </w:tcPr>
          <w:p>
            <w:r>
              <w:rPr>
                <w:b w:val="false"/>
                <w:bCs w:val="false"/>
                <w:sz w:val="20"/>
                <w:szCs w:val="20"/>
              </w:rPr>
              <w:t xml:space="preserve">Computerized School Selection and Placement System — Ghana's system for placing JHS completers into Senior High Schools.</w:t>
            </w:r>
          </w:p>
        </w:tc>
      </w:tr>
      <w:tr>
        <w:tc>
          <w:tcPr>
            <w:tcW w:type="dxa" w:w="1700"/>
            <w:tcMar>
              <w:top w:type="dxa" w:w="60"/>
              <w:left w:type="dxa" w:w="100"/>
              <w:bottom w:type="dxa" w:w="60"/>
              <w:right w:type="dxa" w:w="100"/>
            </w:tcMar>
            <w:vAlign w:val="center"/>
          </w:tcPr>
          <w:p>
            <w:r>
              <w:rPr>
                <w:b w:val="false"/>
                <w:bCs w:val="false"/>
                <w:sz w:val="20"/>
                <w:szCs w:val="20"/>
              </w:rPr>
              <w:t xml:space="preserve">GES</w:t>
            </w:r>
          </w:p>
        </w:tc>
        <w:tc>
          <w:tcPr>
            <w:tcW w:type="dxa" w:w="7650"/>
            <w:tcMar>
              <w:top w:type="dxa" w:w="60"/>
              <w:left w:type="dxa" w:w="100"/>
              <w:bottom w:type="dxa" w:w="60"/>
              <w:right w:type="dxa" w:w="100"/>
            </w:tcMar>
            <w:vAlign w:val="center"/>
          </w:tcPr>
          <w:p>
            <w:r>
              <w:rPr>
                <w:b w:val="false"/>
                <w:bCs w:val="false"/>
                <w:sz w:val="20"/>
                <w:szCs w:val="20"/>
              </w:rPr>
              <w:t xml:space="preserve">Ghana Education Service.</w:t>
            </w:r>
          </w:p>
        </w:tc>
      </w:tr>
      <w:tr>
        <w:tc>
          <w:tcPr>
            <w:tcW w:type="dxa" w:w="1700"/>
            <w:shd w:fill="DCE6F1" w:val="clear"/>
            <w:tcMar>
              <w:top w:type="dxa" w:w="60"/>
              <w:left w:type="dxa" w:w="100"/>
              <w:bottom w:type="dxa" w:w="60"/>
              <w:right w:type="dxa" w:w="100"/>
            </w:tcMar>
            <w:vAlign w:val="center"/>
          </w:tcPr>
          <w:p>
            <w:r>
              <w:rPr>
                <w:b w:val="false"/>
                <w:bCs w:val="false"/>
                <w:sz w:val="20"/>
                <w:szCs w:val="20"/>
              </w:rPr>
              <w:t xml:space="preserve">Act 843</w:t>
            </w:r>
          </w:p>
        </w:tc>
        <w:tc>
          <w:tcPr>
            <w:tcW w:type="dxa" w:w="7650"/>
            <w:shd w:fill="DCE6F1" w:val="clear"/>
            <w:tcMar>
              <w:top w:type="dxa" w:w="60"/>
              <w:left w:type="dxa" w:w="100"/>
              <w:bottom w:type="dxa" w:w="60"/>
              <w:right w:type="dxa" w:w="100"/>
            </w:tcMar>
            <w:vAlign w:val="center"/>
          </w:tcPr>
          <w:p>
            <w:r>
              <w:rPr>
                <w:b w:val="false"/>
                <w:bCs w:val="false"/>
                <w:sz w:val="20"/>
                <w:szCs w:val="20"/>
              </w:rPr>
              <w:t xml:space="preserve">Ghana's Data Protection Act, 2012.</w:t>
            </w:r>
          </w:p>
        </w:tc>
      </w:tr>
      <w:tr>
        <w:tc>
          <w:tcPr>
            <w:tcW w:type="dxa" w:w="1700"/>
            <w:tcMar>
              <w:top w:type="dxa" w:w="60"/>
              <w:left w:type="dxa" w:w="100"/>
              <w:bottom w:type="dxa" w:w="60"/>
              <w:right w:type="dxa" w:w="100"/>
            </w:tcMar>
            <w:vAlign w:val="center"/>
          </w:tcPr>
          <w:p>
            <w:r>
              <w:rPr>
                <w:b w:val="false"/>
                <w:bCs w:val="false"/>
                <w:sz w:val="20"/>
                <w:szCs w:val="20"/>
              </w:rPr>
              <w:t xml:space="preserve">WCAG 2.1 AA</w:t>
            </w:r>
          </w:p>
        </w:tc>
        <w:tc>
          <w:tcPr>
            <w:tcW w:type="dxa" w:w="7650"/>
            <w:tcMar>
              <w:top w:type="dxa" w:w="60"/>
              <w:left w:type="dxa" w:w="100"/>
              <w:bottom w:type="dxa" w:w="60"/>
              <w:right w:type="dxa" w:w="100"/>
            </w:tcMar>
            <w:vAlign w:val="center"/>
          </w:tcPr>
          <w:p>
            <w:r>
              <w:rPr>
                <w:b w:val="false"/>
                <w:bCs w:val="false"/>
                <w:sz w:val="20"/>
                <w:szCs w:val="20"/>
              </w:rPr>
              <w:t xml:space="preserve">Web Content Accessibility Guidelines, Level AA — the named accessibility conformance target for this platform.</w:t>
            </w:r>
          </w:p>
        </w:tc>
      </w:tr>
    </w:tbl>
    <w:p>
      <w:pPr>
        <w:pStyle w:val="Heading1"/>
        <w:pageBreakBefore/>
        <w:spacing w:after="200" w:before="240"/>
      </w:pPr>
      <w:r>
        <w:rPr>
          <w:b/>
          <w:bCs/>
        </w:rPr>
        <w:t xml:space="preserve">Appendix D — Change Log vs. Version 1.0</w:t>
      </w:r>
    </w:p>
    <w:p>
      <w:pPr>
        <w:spacing w:after="120"/>
      </w:pPr>
      <w:r>
        <w:rPr>
          <w:b w:val="false"/>
          <w:bCs w:val="false"/>
          <w:i w:val="false"/>
          <w:iCs w:val="false"/>
        </w:rPr>
        <w:t xml:space="preserve">See the Revision Summary at the front of this document for the full comparison table. In brief: Version 2.0 adds Volume 0 (multi-tenant architecture, 6 chapters), Volume V (compliance and local-market alignment, 4 chapters) in full; replaces the original Volume IV's AI-agent execution blueprint with Volume VI's human-led delivery strategy; adds a requirement ID scheme and numeric non-functional targets throughout; and removes the repeated five-row control-table boilerplate in favour of the single Universal Requirement Controls section stated once at the front of the document.</w:t>
      </w:r>
    </w:p>
    <w:p>
      <w:pPr>
        <w:spacing w:before="800"/>
        <w:jc w:val="center"/>
      </w:pPr>
      <w:r>
        <w:rPr>
          <w:i/>
          <w:iCs/>
          <w:color w:val="1F3864"/>
        </w:rPr>
        <w:t xml:space="preserve">— End of Document —</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PBSMS Multi-Tenant Enterprise SRS  |  Version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1F3864"/>
      <w:sz w:val="25"/>
      <w:szCs w:val="25"/>
    </w:rPr>
  </w:style>
  <w:style w:type="paragraph" w:styleId="Heading3">
    <w:name w:val="Heading 3"/>
    <w:basedOn w:val="Normal"/>
    <w:next w:val="Normal"/>
    <w:qFormat/>
    <w:pPr>
      <w:spacing w:after="80" w:before="160"/>
      <w:outlineLvl w:val="2"/>
    </w:pPr>
    <w:rPr>
      <w:rFonts w:ascii="Calibri" w:cs="Calibri" w:eastAsia="Calibri" w:hAnsi="Calibri"/>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2026-08-04T19:03:28.911Z</dcterms:created>
  <dcterms:modified xsi:type="dcterms:W3CDTF">2026-08-04T19:03:28.912Z</dcterms:modified>
</cp:coreProperties>
</file>

<file path=docProps/custom.xml><?xml version="1.0" encoding="utf-8"?>
<Properties xmlns="http://schemas.openxmlformats.org/officeDocument/2006/custom-properties" xmlns:vt="http://schemas.openxmlformats.org/officeDocument/2006/docPropsVTypes"/>
</file>