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F1934" w14:textId="77777777" w:rsidR="007C62F4" w:rsidRPr="000347FB" w:rsidRDefault="007C62F4" w:rsidP="000347FB">
      <w:pPr>
        <w:spacing w:line="480" w:lineRule="auto"/>
      </w:pPr>
      <w:r w:rsidRPr="000347FB">
        <w:t>Sage Sularz</w:t>
      </w:r>
    </w:p>
    <w:p w14:paraId="725695B0" w14:textId="77777777" w:rsidR="007C62F4" w:rsidRPr="000347FB" w:rsidRDefault="007C62F4" w:rsidP="000347FB">
      <w:pPr>
        <w:spacing w:line="480" w:lineRule="auto"/>
      </w:pPr>
      <w:r w:rsidRPr="000347FB">
        <w:t xml:space="preserve">Comparative Physiology </w:t>
      </w:r>
    </w:p>
    <w:p w14:paraId="7EB96ACF" w14:textId="77777777" w:rsidR="007C62F4" w:rsidRPr="000347FB" w:rsidRDefault="007C62F4" w:rsidP="000347FB">
      <w:pPr>
        <w:spacing w:line="480" w:lineRule="auto"/>
      </w:pPr>
      <w:r w:rsidRPr="000347FB">
        <w:t xml:space="preserve">Fall 2024 </w:t>
      </w:r>
    </w:p>
    <w:p w14:paraId="2A437A5E" w14:textId="77777777" w:rsidR="007C62F4" w:rsidRPr="000347FB" w:rsidRDefault="007C62F4" w:rsidP="000347FB">
      <w:pPr>
        <w:spacing w:line="480" w:lineRule="auto"/>
        <w:jc w:val="center"/>
      </w:pPr>
      <w:r w:rsidRPr="000347FB">
        <w:t>Effect of Genotype, Life-Stage and Temperature on Oxidative Stress</w:t>
      </w:r>
    </w:p>
    <w:p w14:paraId="5FC6E63B" w14:textId="3B725DFD" w:rsidR="000347FB" w:rsidRPr="000347FB" w:rsidRDefault="007C62F4" w:rsidP="000347FB">
      <w:pPr>
        <w:spacing w:line="480" w:lineRule="auto"/>
        <w:jc w:val="center"/>
        <w:rPr>
          <w:b/>
          <w:bCs/>
        </w:rPr>
      </w:pPr>
      <w:r w:rsidRPr="000347FB">
        <w:rPr>
          <w:b/>
          <w:bCs/>
        </w:rPr>
        <w:t>Discussion</w:t>
      </w:r>
    </w:p>
    <w:p w14:paraId="0153DE60" w14:textId="20C6225C" w:rsidR="000347FB" w:rsidRPr="000347FB" w:rsidRDefault="000347FB" w:rsidP="000347FB">
      <w:pPr>
        <w:spacing w:line="480" w:lineRule="auto"/>
        <w:rPr>
          <w:i/>
          <w:iCs/>
        </w:rPr>
      </w:pPr>
      <w:r w:rsidRPr="000347FB">
        <w:rPr>
          <w:i/>
          <w:iCs/>
        </w:rPr>
        <w:t xml:space="preserve">Overview of Findings </w:t>
      </w:r>
    </w:p>
    <w:p w14:paraId="136A1E0D" w14:textId="6B9E18A4" w:rsidR="000347FB" w:rsidRPr="000347FB" w:rsidRDefault="000347FB" w:rsidP="000347FB">
      <w:pPr>
        <w:spacing w:line="480" w:lineRule="auto"/>
        <w:ind w:firstLine="720"/>
      </w:pPr>
      <w:r w:rsidRPr="000347FB">
        <w:t xml:space="preserve">This study explored the effects of life stage, genotype, and temperature on catalase activity in </w:t>
      </w:r>
      <w:r w:rsidRPr="000347FB">
        <w:rPr>
          <w:i/>
          <w:iCs/>
        </w:rPr>
        <w:t>Drosophila melanogaster</w:t>
      </w:r>
      <w:r w:rsidRPr="000347FB">
        <w:t xml:space="preserve"> to understand oxidative stress responses. Our results supported the hypothesis that catalase activity varies with life stage, with significantly higher activity observed in pupae compared to adults (p = 0.020, Figure 1, Table 1). However, neither genotype nor heat shock treatment significantly influenced catalase activity, leading us to reject the hypothesis for these factors under the conditions tested (Figure 1, Table 2).</w:t>
      </w:r>
    </w:p>
    <w:p w14:paraId="690F8318" w14:textId="77777777" w:rsidR="000347FB" w:rsidRPr="000347FB" w:rsidRDefault="000347FB" w:rsidP="000347FB">
      <w:pPr>
        <w:spacing w:line="480" w:lineRule="auto"/>
        <w:rPr>
          <w:i/>
          <w:iCs/>
        </w:rPr>
      </w:pPr>
      <w:r w:rsidRPr="000347FB">
        <w:rPr>
          <w:i/>
          <w:iCs/>
        </w:rPr>
        <w:t>Biological Interpretation of Results</w:t>
      </w:r>
    </w:p>
    <w:p w14:paraId="102D063E" w14:textId="2B24488F" w:rsidR="000347FB" w:rsidRPr="000347FB" w:rsidRDefault="000347FB" w:rsidP="000347FB">
      <w:pPr>
        <w:spacing w:line="480" w:lineRule="auto"/>
        <w:ind w:firstLine="720"/>
      </w:pPr>
      <w:r w:rsidRPr="000347FB">
        <w:t>The elevated catalase activity in pupae (Figure 1) aligns with their increased metabolic demands during metamorphosis, a stage requiring robust oxidative defenses due to extensive tissue remodeling and energy expenditure (Weber et al., 2012). Higher antioxidant activity in pupae highlights the importance of catalase in maintaining redox homeostasis, consistent with findings that ROS detoxification mechanisms are essential during physiologically intense developmental stages (Habib et al., 2021).</w:t>
      </w:r>
    </w:p>
    <w:p w14:paraId="211B46F3" w14:textId="2A006EE4" w:rsidR="000347FB" w:rsidRPr="000347FB" w:rsidRDefault="000347FB" w:rsidP="000347FB">
      <w:pPr>
        <w:spacing w:line="480" w:lineRule="auto"/>
        <w:ind w:firstLine="720"/>
      </w:pPr>
      <w:r w:rsidRPr="000347FB">
        <w:t xml:space="preserve">The absence of significant effects of heat shock or genotype on catalase activity (Figure 1, Table 2) contrasts with previous research showing that thermal stress often induces upregulation of stress-response enzymes (Zhang et al., 2016). A potential explanation is that the one-hour heat shock at 36°C was insufficient to generate substantial ROS accumulation or elicit </w:t>
      </w:r>
      <w:r w:rsidRPr="000347FB">
        <w:lastRenderedPageBreak/>
        <w:t>a significant enzymatic response. Additionally, the lack of genotype effects suggests limited genetic variation between the tested strains in alleles related to oxidative stress resistance, aligning with Weber et al. (2012), who found that not all genetic backgrounds show measurable differences in stress responses.</w:t>
      </w:r>
    </w:p>
    <w:p w14:paraId="2E7D9B31" w14:textId="77777777" w:rsidR="000347FB" w:rsidRPr="000347FB" w:rsidRDefault="000347FB" w:rsidP="000347FB">
      <w:pPr>
        <w:spacing w:line="480" w:lineRule="auto"/>
        <w:rPr>
          <w:i/>
          <w:iCs/>
        </w:rPr>
      </w:pPr>
      <w:r w:rsidRPr="000347FB">
        <w:rPr>
          <w:i/>
          <w:iCs/>
        </w:rPr>
        <w:t>Contextualization with Literature and Experimental Limitations</w:t>
      </w:r>
    </w:p>
    <w:p w14:paraId="4D3CF9E3" w14:textId="6DAAEB9B" w:rsidR="000347FB" w:rsidRPr="000347FB" w:rsidRDefault="000347FB" w:rsidP="000347FB">
      <w:pPr>
        <w:spacing w:line="480" w:lineRule="auto"/>
        <w:ind w:firstLine="720"/>
      </w:pPr>
      <w:r w:rsidRPr="000347FB">
        <w:t xml:space="preserve">The observed variation in catalase activity with life stage (Figure 1, Table 1) aligns with prior research, emphasizing developmental-stage-specific metabolic demands as key drivers of antioxidant activity (Habib et al., 2021; </w:t>
      </w:r>
      <w:proofErr w:type="spellStart"/>
      <w:r w:rsidRPr="000347FB">
        <w:t>Hadwan</w:t>
      </w:r>
      <w:proofErr w:type="spellEnd"/>
      <w:r w:rsidRPr="000347FB">
        <w:t>, 2018). However, the lack of heat shock effects differs from studies such as Zhang et al. (2016), which reported temperature-dependent activation of stress-response pathways. These inconsistencies may arise from variations in the experimental protocols, stress exposure durations, or species-specific responses to thermal stress.</w:t>
      </w:r>
    </w:p>
    <w:p w14:paraId="5E1B5C47" w14:textId="6AF76152" w:rsidR="000347FB" w:rsidRPr="000347FB" w:rsidRDefault="000347FB" w:rsidP="000347FB">
      <w:pPr>
        <w:spacing w:line="480" w:lineRule="auto"/>
        <w:ind w:firstLine="720"/>
      </w:pPr>
      <w:r w:rsidRPr="000347FB">
        <w:t>Experimental limitations include the relatively mild heat shock treatment, which may not have been sufficient to induce detectable oxidative stress. Furthermore, the study focused solely on catalase activity, which may not fully represent the complexity of oxidative stress responses, as other antioxidant enzymes and pathways likely contribute. The use of only two genotypes may have also restricted the ability to detect genotype-specific effects on catalase activity.</w:t>
      </w:r>
    </w:p>
    <w:p w14:paraId="5AAFE968" w14:textId="77777777" w:rsidR="000347FB" w:rsidRPr="000347FB" w:rsidRDefault="000347FB" w:rsidP="000347FB">
      <w:pPr>
        <w:spacing w:line="480" w:lineRule="auto"/>
        <w:rPr>
          <w:i/>
          <w:iCs/>
        </w:rPr>
      </w:pPr>
      <w:r w:rsidRPr="000347FB">
        <w:rPr>
          <w:i/>
          <w:iCs/>
        </w:rPr>
        <w:t>Future Directions and Broader Implications</w:t>
      </w:r>
    </w:p>
    <w:p w14:paraId="187A5966" w14:textId="2F5D6B45" w:rsidR="000347FB" w:rsidRPr="000347FB" w:rsidRDefault="000347FB" w:rsidP="000347FB">
      <w:pPr>
        <w:spacing w:line="480" w:lineRule="auto"/>
        <w:ind w:firstLine="720"/>
      </w:pPr>
      <w:r w:rsidRPr="000347FB">
        <w:t>Future research should employ a broader range of temperatures and exposure durations to better capture the effects of thermal stress on oxidative defenses. Including additional genotypes and analyzing other antioxidant enzymes, such as superoxide dismutase or glutathione peroxidase, could provide a more comprehensive understanding of oxidative stress resilience. Longitudinal studies examining changes in antioxidant activity throughout development could also yield valuable insights.</w:t>
      </w:r>
    </w:p>
    <w:p w14:paraId="28C46B28" w14:textId="77777777" w:rsidR="000347FB" w:rsidRPr="000347FB" w:rsidRDefault="000347FB" w:rsidP="000347FB">
      <w:pPr>
        <w:spacing w:line="480" w:lineRule="auto"/>
        <w:ind w:firstLine="720"/>
      </w:pPr>
      <w:r w:rsidRPr="000347FB">
        <w:lastRenderedPageBreak/>
        <w:t>This study underscores the critical role of catalase in oxidative stress management during development (Figure 1) and provides a foundation for further investigations into the genetic and physiological mechanisms of stress tolerance. These findings contribute to a broader understanding of how organisms adapt to environmental challenges, with implications for stress resilience in both natural and applied contexts.</w:t>
      </w:r>
    </w:p>
    <w:p w14:paraId="124FB3DA" w14:textId="77777777" w:rsidR="000347FB" w:rsidRPr="000347FB" w:rsidRDefault="000347FB" w:rsidP="000347FB">
      <w:pPr>
        <w:spacing w:line="480" w:lineRule="auto"/>
      </w:pPr>
    </w:p>
    <w:p w14:paraId="7CC03899" w14:textId="078C9A25" w:rsidR="000347FB" w:rsidRPr="000347FB" w:rsidRDefault="000347FB" w:rsidP="000347FB">
      <w:pPr>
        <w:spacing w:line="480" w:lineRule="auto"/>
        <w:jc w:val="center"/>
        <w:rPr>
          <w:b/>
          <w:bCs/>
        </w:rPr>
      </w:pPr>
      <w:r w:rsidRPr="000347FB">
        <w:rPr>
          <w:b/>
          <w:bCs/>
        </w:rPr>
        <w:t>Literature Cited</w:t>
      </w:r>
    </w:p>
    <w:p w14:paraId="7208B1FC" w14:textId="5EACE4A1" w:rsidR="000347FB" w:rsidRPr="000347FB" w:rsidRDefault="000347FB" w:rsidP="000347FB">
      <w:pPr>
        <w:spacing w:line="480" w:lineRule="auto"/>
        <w:ind w:left="720" w:hanging="720"/>
        <w:contextualSpacing/>
      </w:pPr>
      <w:r w:rsidRPr="000347FB">
        <w:t xml:space="preserve">Weber, A. L., Khan, G. F., </w:t>
      </w:r>
      <w:proofErr w:type="spellStart"/>
      <w:r w:rsidRPr="000347FB">
        <w:t>Magwire</w:t>
      </w:r>
      <w:proofErr w:type="spellEnd"/>
      <w:r w:rsidRPr="000347FB">
        <w:t xml:space="preserve">, M. M., Tabor, C. L., Mackay, T. F. C., &amp; </w:t>
      </w:r>
      <w:proofErr w:type="spellStart"/>
      <w:r w:rsidRPr="000347FB">
        <w:t>Anholt</w:t>
      </w:r>
      <w:proofErr w:type="spellEnd"/>
      <w:r w:rsidRPr="000347FB">
        <w:t>, R. R. H. (2012). Genome-wide association analysis of oxidative stress resistance in</w:t>
      </w:r>
      <w:r w:rsidRPr="000347FB">
        <w:rPr>
          <w:rFonts w:eastAsiaTheme="majorEastAsia"/>
        </w:rPr>
        <w:t> </w:t>
      </w:r>
      <w:r w:rsidRPr="000347FB">
        <w:rPr>
          <w:rFonts w:eastAsiaTheme="majorEastAsia"/>
          <w:i/>
          <w:iCs/>
        </w:rPr>
        <w:t>Drosophila melanogaster</w:t>
      </w:r>
      <w:r w:rsidRPr="000347FB">
        <w:t>.</w:t>
      </w:r>
      <w:r w:rsidRPr="000347FB">
        <w:rPr>
          <w:rFonts w:eastAsiaTheme="majorEastAsia"/>
        </w:rPr>
        <w:t> </w:t>
      </w:r>
      <w:r w:rsidRPr="000347FB">
        <w:rPr>
          <w:rFonts w:eastAsiaTheme="majorEastAsia"/>
          <w:i/>
          <w:iCs/>
        </w:rPr>
        <w:t>PLOS ONE, 7</w:t>
      </w:r>
      <w:r w:rsidRPr="000347FB">
        <w:t>(4), e34745.</w:t>
      </w:r>
      <w:r w:rsidRPr="000347FB">
        <w:rPr>
          <w:rFonts w:eastAsiaTheme="majorEastAsia"/>
        </w:rPr>
        <w:t> </w:t>
      </w:r>
      <w:hyperlink r:id="rId4" w:tgtFrame="_new" w:history="1">
        <w:r w:rsidRPr="000347FB">
          <w:rPr>
            <w:rStyle w:val="Hyperlink"/>
            <w:rFonts w:eastAsiaTheme="majorEastAsia"/>
          </w:rPr>
          <w:t>https://doi.org/10.1371/journal.pone.0034745</w:t>
        </w:r>
      </w:hyperlink>
    </w:p>
    <w:p w14:paraId="086E231A" w14:textId="29CBCD6E" w:rsidR="000347FB" w:rsidRPr="000347FB" w:rsidRDefault="000347FB" w:rsidP="000347FB">
      <w:pPr>
        <w:spacing w:line="480" w:lineRule="auto"/>
        <w:ind w:left="720" w:hanging="720"/>
        <w:contextualSpacing/>
      </w:pPr>
      <w:proofErr w:type="spellStart"/>
      <w:r w:rsidRPr="000347FB">
        <w:t>Guio</w:t>
      </w:r>
      <w:proofErr w:type="spellEnd"/>
      <w:r w:rsidRPr="000347FB">
        <w:t>, L. (2018). Stress affects the epigenetic marks added by Bari-</w:t>
      </w:r>
      <w:proofErr w:type="spellStart"/>
      <w:r w:rsidRPr="000347FB">
        <w:t>Jheh</w:t>
      </w:r>
      <w:proofErr w:type="spellEnd"/>
      <w:r w:rsidRPr="000347FB">
        <w:t>: A natural insertion associated with two adaptive phenotypes in</w:t>
      </w:r>
      <w:r w:rsidRPr="000347FB">
        <w:rPr>
          <w:rFonts w:eastAsiaTheme="majorEastAsia"/>
        </w:rPr>
        <w:t> </w:t>
      </w:r>
      <w:r w:rsidRPr="000347FB">
        <w:rPr>
          <w:rFonts w:eastAsiaTheme="majorEastAsia"/>
          <w:i/>
          <w:iCs/>
        </w:rPr>
        <w:t>Drosophila</w:t>
      </w:r>
      <w:r w:rsidRPr="000347FB">
        <w:t>.</w:t>
      </w:r>
      <w:r w:rsidRPr="000347FB">
        <w:rPr>
          <w:rFonts w:eastAsiaTheme="majorEastAsia"/>
        </w:rPr>
        <w:t> </w:t>
      </w:r>
      <w:proofErr w:type="spellStart"/>
      <w:r w:rsidRPr="000347FB">
        <w:rPr>
          <w:rFonts w:eastAsiaTheme="majorEastAsia"/>
          <w:i/>
          <w:iCs/>
        </w:rPr>
        <w:t>bioRxiv</w:t>
      </w:r>
      <w:proofErr w:type="spellEnd"/>
      <w:r w:rsidRPr="000347FB">
        <w:t>.</w:t>
      </w:r>
      <w:r w:rsidRPr="000347FB">
        <w:rPr>
          <w:rFonts w:eastAsiaTheme="majorEastAsia"/>
        </w:rPr>
        <w:t> </w:t>
      </w:r>
      <w:hyperlink r:id="rId5" w:tgtFrame="_new" w:history="1">
        <w:r w:rsidRPr="000347FB">
          <w:rPr>
            <w:rStyle w:val="Hyperlink"/>
            <w:rFonts w:eastAsiaTheme="majorEastAsia"/>
          </w:rPr>
          <w:t>https://doi.org/10.1101/037598</w:t>
        </w:r>
      </w:hyperlink>
    </w:p>
    <w:p w14:paraId="7511A022" w14:textId="0A94BFBE" w:rsidR="000347FB" w:rsidRPr="000347FB" w:rsidRDefault="000347FB" w:rsidP="000347FB">
      <w:pPr>
        <w:spacing w:line="480" w:lineRule="auto"/>
        <w:ind w:left="720" w:hanging="720"/>
        <w:contextualSpacing/>
      </w:pPr>
      <w:r w:rsidRPr="000347FB">
        <w:t>Habib, S., Lwin, Y. Y., &amp; Li, N. (2021). Down-regulation of</w:t>
      </w:r>
      <w:r w:rsidRPr="000347FB">
        <w:rPr>
          <w:rFonts w:eastAsiaTheme="majorEastAsia"/>
        </w:rPr>
        <w:t> </w:t>
      </w:r>
      <w:r w:rsidRPr="000347FB">
        <w:rPr>
          <w:rFonts w:eastAsiaTheme="majorEastAsia"/>
          <w:i/>
          <w:iCs/>
        </w:rPr>
        <w:t>SlGRAS10</w:t>
      </w:r>
      <w:r w:rsidRPr="000347FB">
        <w:rPr>
          <w:rFonts w:eastAsiaTheme="majorEastAsia"/>
        </w:rPr>
        <w:t> </w:t>
      </w:r>
      <w:r w:rsidRPr="000347FB">
        <w:t>in tomato confers abiotic stress tolerance.</w:t>
      </w:r>
      <w:r w:rsidRPr="000347FB">
        <w:rPr>
          <w:rFonts w:eastAsiaTheme="majorEastAsia"/>
        </w:rPr>
        <w:t> </w:t>
      </w:r>
      <w:r w:rsidRPr="000347FB">
        <w:rPr>
          <w:rFonts w:eastAsiaTheme="majorEastAsia"/>
          <w:i/>
          <w:iCs/>
        </w:rPr>
        <w:t>Genes, 12</w:t>
      </w:r>
      <w:r w:rsidRPr="000347FB">
        <w:t>(5), 623.</w:t>
      </w:r>
      <w:r w:rsidRPr="000347FB">
        <w:rPr>
          <w:rFonts w:eastAsiaTheme="majorEastAsia"/>
        </w:rPr>
        <w:t> </w:t>
      </w:r>
      <w:hyperlink r:id="rId6" w:tgtFrame="_new" w:history="1">
        <w:r w:rsidRPr="000347FB">
          <w:rPr>
            <w:rStyle w:val="Hyperlink"/>
            <w:rFonts w:eastAsiaTheme="majorEastAsia"/>
          </w:rPr>
          <w:t>https://doi.org/10.3390/genes12050623</w:t>
        </w:r>
      </w:hyperlink>
    </w:p>
    <w:p w14:paraId="6B7B30F1" w14:textId="2D8C7B38" w:rsidR="000347FB" w:rsidRPr="000347FB" w:rsidRDefault="000347FB" w:rsidP="000347FB">
      <w:pPr>
        <w:spacing w:line="480" w:lineRule="auto"/>
        <w:ind w:left="720" w:hanging="720"/>
        <w:contextualSpacing/>
      </w:pPr>
      <w:r w:rsidRPr="000347FB">
        <w:t>Zhang, B., Peng, Y., Zheng, J., Liang, L., Hoffmann, A. A., &amp; Ma, C.-S. (2016). Response of heat shock protein genes of the oriental fruit moth under diapause and thermal stress reveals multiple patterns dependent on the nature of stress exposure.</w:t>
      </w:r>
      <w:r w:rsidRPr="000347FB">
        <w:rPr>
          <w:rFonts w:eastAsiaTheme="majorEastAsia"/>
        </w:rPr>
        <w:t> </w:t>
      </w:r>
      <w:r w:rsidRPr="000347FB">
        <w:rPr>
          <w:rFonts w:eastAsiaTheme="majorEastAsia"/>
          <w:i/>
          <w:iCs/>
        </w:rPr>
        <w:t>Cell Stress and Chaperones, 21</w:t>
      </w:r>
      <w:r w:rsidRPr="000347FB">
        <w:t>(4), 653–663.</w:t>
      </w:r>
      <w:r w:rsidRPr="000347FB">
        <w:rPr>
          <w:rFonts w:eastAsiaTheme="majorEastAsia"/>
        </w:rPr>
        <w:t> </w:t>
      </w:r>
      <w:hyperlink r:id="rId7" w:tgtFrame="_new" w:history="1">
        <w:r w:rsidRPr="000347FB">
          <w:rPr>
            <w:rStyle w:val="Hyperlink"/>
            <w:rFonts w:eastAsiaTheme="majorEastAsia"/>
          </w:rPr>
          <w:t>https://doi.org/10.1007/s12192-016-0690-8</w:t>
        </w:r>
      </w:hyperlink>
    </w:p>
    <w:p w14:paraId="2E752563" w14:textId="015FD1B0" w:rsidR="007C62F4" w:rsidRDefault="000347FB" w:rsidP="000347FB">
      <w:pPr>
        <w:spacing w:line="480" w:lineRule="auto"/>
        <w:ind w:left="720" w:hanging="720"/>
        <w:contextualSpacing/>
      </w:pPr>
      <w:proofErr w:type="spellStart"/>
      <w:r w:rsidRPr="000347FB">
        <w:t>Hadwan</w:t>
      </w:r>
      <w:proofErr w:type="spellEnd"/>
      <w:r w:rsidRPr="000347FB">
        <w:t>, M. H. (2018). Simple spectrophotometric assay for measuring catalase activity in biological tissues.</w:t>
      </w:r>
      <w:r w:rsidRPr="000347FB">
        <w:rPr>
          <w:rFonts w:eastAsiaTheme="majorEastAsia"/>
        </w:rPr>
        <w:t> </w:t>
      </w:r>
      <w:r w:rsidRPr="000347FB">
        <w:rPr>
          <w:rFonts w:eastAsiaTheme="majorEastAsia"/>
          <w:i/>
          <w:iCs/>
        </w:rPr>
        <w:t>BMC Biochemistry, 19</w:t>
      </w:r>
      <w:r w:rsidRPr="000347FB">
        <w:t>(1), 7.</w:t>
      </w:r>
      <w:r w:rsidRPr="000347FB">
        <w:rPr>
          <w:rFonts w:eastAsiaTheme="majorEastAsia"/>
        </w:rPr>
        <w:t> </w:t>
      </w:r>
      <w:hyperlink r:id="rId8" w:tgtFrame="_new" w:history="1">
        <w:r w:rsidRPr="000347FB">
          <w:rPr>
            <w:rStyle w:val="Hyperlink"/>
            <w:rFonts w:eastAsiaTheme="majorEastAsia"/>
          </w:rPr>
          <w:t>https://doi.org/10.1186/s12858-018-0097-5</w:t>
        </w:r>
      </w:hyperlink>
    </w:p>
    <w:p w14:paraId="0660ABE8" w14:textId="77777777" w:rsidR="000347FB" w:rsidRPr="000347FB" w:rsidRDefault="000347FB" w:rsidP="000347FB">
      <w:pPr>
        <w:spacing w:line="480" w:lineRule="auto"/>
        <w:ind w:left="720" w:hanging="720"/>
        <w:contextualSpacing/>
      </w:pPr>
    </w:p>
    <w:p w14:paraId="6AE24295" w14:textId="23FC4C28" w:rsidR="007C62F4" w:rsidRPr="000347FB" w:rsidRDefault="000347FB" w:rsidP="000347FB">
      <w:pPr>
        <w:spacing w:line="480" w:lineRule="auto"/>
        <w:jc w:val="center"/>
        <w:rPr>
          <w:b/>
          <w:bCs/>
        </w:rPr>
      </w:pPr>
      <w:r w:rsidRPr="000347FB">
        <w:rPr>
          <w:b/>
          <w:bCs/>
        </w:rPr>
        <w:lastRenderedPageBreak/>
        <w:t xml:space="preserve">Supplemental </w:t>
      </w:r>
      <w:r w:rsidR="007C62F4" w:rsidRPr="000347FB">
        <w:rPr>
          <w:b/>
          <w:bCs/>
        </w:rPr>
        <w:t>Figures</w:t>
      </w:r>
    </w:p>
    <w:p w14:paraId="2F9638F8" w14:textId="61FABAEF" w:rsidR="007C62F4" w:rsidRPr="000347FB" w:rsidRDefault="007C62F4" w:rsidP="000347FB">
      <w:pPr>
        <w:spacing w:line="480" w:lineRule="auto"/>
      </w:pPr>
      <w:r w:rsidRPr="000347FB">
        <w:rPr>
          <w:noProof/>
        </w:rPr>
        <w:drawing>
          <wp:anchor distT="0" distB="0" distL="114300" distR="114300" simplePos="0" relativeHeight="251659264" behindDoc="1" locked="0" layoutInCell="1" allowOverlap="1" wp14:anchorId="52B88014" wp14:editId="0B165E21">
            <wp:simplePos x="0" y="0"/>
            <wp:positionH relativeFrom="column">
              <wp:posOffset>-285136</wp:posOffset>
            </wp:positionH>
            <wp:positionV relativeFrom="paragraph">
              <wp:posOffset>209284</wp:posOffset>
            </wp:positionV>
            <wp:extent cx="6469626" cy="4696700"/>
            <wp:effectExtent l="0" t="0" r="0" b="2540"/>
            <wp:wrapTight wrapText="bothSides">
              <wp:wrapPolygon edited="0">
                <wp:start x="0" y="0"/>
                <wp:lineTo x="0" y="21553"/>
                <wp:lineTo x="21541" y="21553"/>
                <wp:lineTo x="21541" y="0"/>
                <wp:lineTo x="0" y="0"/>
              </wp:wrapPolygon>
            </wp:wrapTight>
            <wp:docPr id="56030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05890" name="Picture 560305890"/>
                    <pic:cNvPicPr/>
                  </pic:nvPicPr>
                  <pic:blipFill>
                    <a:blip r:embed="rId9"/>
                    <a:stretch>
                      <a:fillRect/>
                    </a:stretch>
                  </pic:blipFill>
                  <pic:spPr>
                    <a:xfrm>
                      <a:off x="0" y="0"/>
                      <a:ext cx="6469626" cy="4696700"/>
                    </a:xfrm>
                    <a:prstGeom prst="rect">
                      <a:avLst/>
                    </a:prstGeom>
                  </pic:spPr>
                </pic:pic>
              </a:graphicData>
            </a:graphic>
            <wp14:sizeRelH relativeFrom="page">
              <wp14:pctWidth>0</wp14:pctWidth>
            </wp14:sizeRelH>
            <wp14:sizeRelV relativeFrom="page">
              <wp14:pctHeight>0</wp14:pctHeight>
            </wp14:sizeRelV>
          </wp:anchor>
        </w:drawing>
      </w:r>
    </w:p>
    <w:p w14:paraId="1D47578B" w14:textId="05212D38" w:rsidR="007C62F4" w:rsidRPr="000347FB" w:rsidRDefault="007C62F4" w:rsidP="000347FB">
      <w:pPr>
        <w:spacing w:line="480" w:lineRule="auto"/>
        <w:ind w:left="720" w:hanging="720"/>
      </w:pPr>
      <w:r w:rsidRPr="000347FB">
        <w:rPr>
          <w:rFonts w:eastAsiaTheme="majorEastAsia"/>
          <w:i/>
          <w:iCs/>
        </w:rPr>
        <w:t xml:space="preserve">Figure </w:t>
      </w:r>
      <w:r w:rsidRPr="000347FB">
        <w:rPr>
          <w:i/>
          <w:iCs/>
        </w:rPr>
        <w:t>1</w:t>
      </w:r>
      <w:r w:rsidRPr="000347FB">
        <w:rPr>
          <w:rFonts w:eastAsiaTheme="majorEastAsia"/>
          <w:i/>
          <w:iCs/>
        </w:rPr>
        <w:t>: </w:t>
      </w:r>
      <w:r w:rsidRPr="000347FB">
        <w:rPr>
          <w:i/>
          <w:iCs/>
        </w:rPr>
        <w:t xml:space="preserve">Box plots showing catalase activity (I.U./mg) in different experimental groups based on life stage, genotype, and temperature treatments. In the first plot, a significant effect of life stage on catalase activity was observed (p = 0.020), with higher activity in one stage over the other, as indicated by the ANOVA. Genotype and the interaction between life stage and genotype were not significant (p &gt; 0.05). In the second plot, neither temperature treatment nor genotype showed significant effects on catalase activity. </w:t>
      </w:r>
    </w:p>
    <w:p w14:paraId="28AADAD0" w14:textId="77777777" w:rsidR="007C62F4" w:rsidRDefault="007C62F4" w:rsidP="000347FB">
      <w:pPr>
        <w:spacing w:line="480" w:lineRule="auto"/>
        <w:ind w:left="720" w:hanging="720"/>
      </w:pPr>
    </w:p>
    <w:p w14:paraId="54F63C4C" w14:textId="695C977C" w:rsidR="007C62F4" w:rsidRPr="000347FB" w:rsidRDefault="007C62F4" w:rsidP="000347FB">
      <w:pPr>
        <w:spacing w:line="480" w:lineRule="auto"/>
      </w:pPr>
    </w:p>
    <w:tbl>
      <w:tblPr>
        <w:tblStyle w:val="PlainTable1"/>
        <w:tblW w:w="9519" w:type="dxa"/>
        <w:tblLook w:val="04A0" w:firstRow="1" w:lastRow="0" w:firstColumn="1" w:lastColumn="0" w:noHBand="0" w:noVBand="1"/>
      </w:tblPr>
      <w:tblGrid>
        <w:gridCol w:w="2155"/>
        <w:gridCol w:w="1260"/>
        <w:gridCol w:w="1440"/>
        <w:gridCol w:w="1710"/>
        <w:gridCol w:w="1550"/>
        <w:gridCol w:w="1404"/>
      </w:tblGrid>
      <w:tr w:rsidR="007C62F4" w:rsidRPr="000347FB" w14:paraId="53B838F2" w14:textId="77777777" w:rsidTr="0063043A">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0574106C" w14:textId="77777777" w:rsidR="007C62F4" w:rsidRPr="000347FB" w:rsidRDefault="007C62F4" w:rsidP="000347FB">
            <w:pPr>
              <w:spacing w:line="480" w:lineRule="auto"/>
              <w:rPr>
                <w:b w:val="0"/>
                <w:bCs w:val="0"/>
              </w:rPr>
            </w:pPr>
          </w:p>
          <w:p w14:paraId="50A6A66C" w14:textId="77777777" w:rsidR="007C62F4" w:rsidRPr="000347FB" w:rsidRDefault="007C62F4" w:rsidP="000347FB">
            <w:pPr>
              <w:spacing w:line="480" w:lineRule="auto"/>
              <w:jc w:val="center"/>
              <w:rPr>
                <w:b w:val="0"/>
                <w:bCs w:val="0"/>
              </w:rPr>
            </w:pPr>
          </w:p>
          <w:p w14:paraId="244B5700" w14:textId="77777777" w:rsidR="007C62F4" w:rsidRPr="000347FB" w:rsidRDefault="007C62F4" w:rsidP="000347FB">
            <w:pPr>
              <w:spacing w:line="480" w:lineRule="auto"/>
              <w:rPr>
                <w:b w:val="0"/>
                <w:bCs w:val="0"/>
              </w:rPr>
            </w:pPr>
          </w:p>
        </w:tc>
        <w:tc>
          <w:tcPr>
            <w:tcW w:w="1260" w:type="dxa"/>
            <w:hideMark/>
          </w:tcPr>
          <w:p w14:paraId="795565B3" w14:textId="77777777" w:rsidR="007C62F4" w:rsidRPr="000347FB" w:rsidRDefault="007C62F4" w:rsidP="000347FB">
            <w:pPr>
              <w:spacing w:line="480" w:lineRule="auto"/>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0347FB">
              <w:rPr>
                <w:b w:val="0"/>
                <w:bCs w:val="0"/>
              </w:rPr>
              <w:t>Df</w:t>
            </w:r>
            <w:proofErr w:type="spellEnd"/>
          </w:p>
        </w:tc>
        <w:tc>
          <w:tcPr>
            <w:tcW w:w="1440" w:type="dxa"/>
            <w:hideMark/>
          </w:tcPr>
          <w:p w14:paraId="5C2B87E6" w14:textId="77777777" w:rsidR="007C62F4" w:rsidRPr="000347FB" w:rsidRDefault="007C62F4" w:rsidP="000347FB">
            <w:pPr>
              <w:spacing w:line="480" w:lineRule="auto"/>
              <w:cnfStyle w:val="100000000000" w:firstRow="1" w:lastRow="0" w:firstColumn="0" w:lastColumn="0" w:oddVBand="0" w:evenVBand="0" w:oddHBand="0" w:evenHBand="0" w:firstRowFirstColumn="0" w:firstRowLastColumn="0" w:lastRowFirstColumn="0" w:lastRowLastColumn="0"/>
              <w:rPr>
                <w:b w:val="0"/>
                <w:bCs w:val="0"/>
              </w:rPr>
            </w:pPr>
            <w:r w:rsidRPr="000347FB">
              <w:rPr>
                <w:b w:val="0"/>
                <w:bCs w:val="0"/>
              </w:rPr>
              <w:t>Sum Sq</w:t>
            </w:r>
          </w:p>
        </w:tc>
        <w:tc>
          <w:tcPr>
            <w:tcW w:w="1710" w:type="dxa"/>
            <w:hideMark/>
          </w:tcPr>
          <w:p w14:paraId="0D0976C6" w14:textId="77777777" w:rsidR="007C62F4" w:rsidRPr="000347FB" w:rsidRDefault="007C62F4" w:rsidP="000347FB">
            <w:pPr>
              <w:spacing w:line="480" w:lineRule="auto"/>
              <w:cnfStyle w:val="100000000000" w:firstRow="1" w:lastRow="0" w:firstColumn="0" w:lastColumn="0" w:oddVBand="0" w:evenVBand="0" w:oddHBand="0" w:evenHBand="0" w:firstRowFirstColumn="0" w:firstRowLastColumn="0" w:lastRowFirstColumn="0" w:lastRowLastColumn="0"/>
              <w:rPr>
                <w:b w:val="0"/>
                <w:bCs w:val="0"/>
              </w:rPr>
            </w:pPr>
            <w:r w:rsidRPr="000347FB">
              <w:rPr>
                <w:b w:val="0"/>
                <w:bCs w:val="0"/>
              </w:rPr>
              <w:t>Mean Sq</w:t>
            </w:r>
          </w:p>
        </w:tc>
        <w:tc>
          <w:tcPr>
            <w:tcW w:w="1550" w:type="dxa"/>
            <w:hideMark/>
          </w:tcPr>
          <w:p w14:paraId="3F1E32D7" w14:textId="77777777" w:rsidR="007C62F4" w:rsidRPr="000347FB" w:rsidRDefault="007C62F4" w:rsidP="000347FB">
            <w:pPr>
              <w:spacing w:line="480" w:lineRule="auto"/>
              <w:cnfStyle w:val="100000000000" w:firstRow="1" w:lastRow="0" w:firstColumn="0" w:lastColumn="0" w:oddVBand="0" w:evenVBand="0" w:oddHBand="0" w:evenHBand="0" w:firstRowFirstColumn="0" w:firstRowLastColumn="0" w:lastRowFirstColumn="0" w:lastRowLastColumn="0"/>
              <w:rPr>
                <w:b w:val="0"/>
                <w:bCs w:val="0"/>
              </w:rPr>
            </w:pPr>
            <w:r w:rsidRPr="000347FB">
              <w:rPr>
                <w:b w:val="0"/>
                <w:bCs w:val="0"/>
              </w:rPr>
              <w:t>F value</w:t>
            </w:r>
          </w:p>
        </w:tc>
        <w:tc>
          <w:tcPr>
            <w:tcW w:w="1404" w:type="dxa"/>
            <w:hideMark/>
          </w:tcPr>
          <w:p w14:paraId="049142B1" w14:textId="77777777" w:rsidR="007C62F4" w:rsidRPr="000347FB" w:rsidRDefault="007C62F4" w:rsidP="000347FB">
            <w:pPr>
              <w:spacing w:line="480" w:lineRule="auto"/>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0347FB">
              <w:rPr>
                <w:b w:val="0"/>
                <w:bCs w:val="0"/>
              </w:rPr>
              <w:t>Pr</w:t>
            </w:r>
            <w:proofErr w:type="spellEnd"/>
            <w:r w:rsidRPr="000347FB">
              <w:rPr>
                <w:b w:val="0"/>
                <w:bCs w:val="0"/>
              </w:rPr>
              <w:t>(&gt;F)</w:t>
            </w:r>
          </w:p>
        </w:tc>
      </w:tr>
      <w:tr w:rsidR="007C62F4" w:rsidRPr="000347FB" w14:paraId="0DC0716D" w14:textId="77777777" w:rsidTr="0063043A">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155" w:type="dxa"/>
            <w:hideMark/>
          </w:tcPr>
          <w:p w14:paraId="5D6D820A" w14:textId="77777777" w:rsidR="007C62F4" w:rsidRPr="000347FB" w:rsidRDefault="007C62F4" w:rsidP="000347FB">
            <w:pPr>
              <w:spacing w:line="480" w:lineRule="auto"/>
              <w:rPr>
                <w:b w:val="0"/>
                <w:bCs w:val="0"/>
              </w:rPr>
            </w:pPr>
            <w:r w:rsidRPr="000347FB">
              <w:rPr>
                <w:b w:val="0"/>
                <w:bCs w:val="0"/>
              </w:rPr>
              <w:t>Life S.</w:t>
            </w:r>
          </w:p>
        </w:tc>
        <w:tc>
          <w:tcPr>
            <w:tcW w:w="1260" w:type="dxa"/>
            <w:hideMark/>
          </w:tcPr>
          <w:p w14:paraId="4D22A993" w14:textId="77777777" w:rsidR="007C62F4" w:rsidRPr="000347FB" w:rsidRDefault="007C62F4" w:rsidP="000347FB">
            <w:pPr>
              <w:spacing w:line="480" w:lineRule="auto"/>
              <w:cnfStyle w:val="000000100000" w:firstRow="0" w:lastRow="0" w:firstColumn="0" w:lastColumn="0" w:oddVBand="0" w:evenVBand="0" w:oddHBand="1" w:evenHBand="0" w:firstRowFirstColumn="0" w:firstRowLastColumn="0" w:lastRowFirstColumn="0" w:lastRowLastColumn="0"/>
            </w:pPr>
            <w:r w:rsidRPr="000347FB">
              <w:t>1</w:t>
            </w:r>
          </w:p>
        </w:tc>
        <w:tc>
          <w:tcPr>
            <w:tcW w:w="1440" w:type="dxa"/>
            <w:hideMark/>
          </w:tcPr>
          <w:p w14:paraId="45D0547A" w14:textId="77777777" w:rsidR="007C62F4" w:rsidRPr="000347FB" w:rsidRDefault="007C62F4" w:rsidP="000347FB">
            <w:pPr>
              <w:spacing w:line="480" w:lineRule="auto"/>
              <w:cnfStyle w:val="000000100000" w:firstRow="0" w:lastRow="0" w:firstColumn="0" w:lastColumn="0" w:oddVBand="0" w:evenVBand="0" w:oddHBand="1" w:evenHBand="0" w:firstRowFirstColumn="0" w:firstRowLastColumn="0" w:lastRowFirstColumn="0" w:lastRowLastColumn="0"/>
            </w:pPr>
            <w:r w:rsidRPr="000347FB">
              <w:t>1.38</w:t>
            </w:r>
          </w:p>
        </w:tc>
        <w:tc>
          <w:tcPr>
            <w:tcW w:w="1710" w:type="dxa"/>
            <w:hideMark/>
          </w:tcPr>
          <w:p w14:paraId="6445B19F" w14:textId="77777777" w:rsidR="007C62F4" w:rsidRPr="000347FB" w:rsidRDefault="007C62F4" w:rsidP="000347FB">
            <w:pPr>
              <w:spacing w:line="480" w:lineRule="auto"/>
              <w:cnfStyle w:val="000000100000" w:firstRow="0" w:lastRow="0" w:firstColumn="0" w:lastColumn="0" w:oddVBand="0" w:evenVBand="0" w:oddHBand="1" w:evenHBand="0" w:firstRowFirstColumn="0" w:firstRowLastColumn="0" w:lastRowFirstColumn="0" w:lastRowLastColumn="0"/>
            </w:pPr>
            <w:r w:rsidRPr="000347FB">
              <w:t>1.3752</w:t>
            </w:r>
          </w:p>
        </w:tc>
        <w:tc>
          <w:tcPr>
            <w:tcW w:w="1550" w:type="dxa"/>
            <w:hideMark/>
          </w:tcPr>
          <w:p w14:paraId="60BC10C7" w14:textId="77777777" w:rsidR="007C62F4" w:rsidRPr="000347FB" w:rsidRDefault="007C62F4" w:rsidP="000347FB">
            <w:pPr>
              <w:spacing w:line="480" w:lineRule="auto"/>
              <w:cnfStyle w:val="000000100000" w:firstRow="0" w:lastRow="0" w:firstColumn="0" w:lastColumn="0" w:oddVBand="0" w:evenVBand="0" w:oddHBand="1" w:evenHBand="0" w:firstRowFirstColumn="0" w:firstRowLastColumn="0" w:lastRowFirstColumn="0" w:lastRowLastColumn="0"/>
            </w:pPr>
            <w:r w:rsidRPr="000347FB">
              <w:t>5.54</w:t>
            </w:r>
          </w:p>
        </w:tc>
        <w:tc>
          <w:tcPr>
            <w:tcW w:w="1404" w:type="dxa"/>
            <w:hideMark/>
          </w:tcPr>
          <w:p w14:paraId="29DC9157" w14:textId="77777777" w:rsidR="007C62F4" w:rsidRPr="000347FB" w:rsidRDefault="007C62F4" w:rsidP="000347FB">
            <w:pPr>
              <w:spacing w:line="480" w:lineRule="auto"/>
              <w:cnfStyle w:val="000000100000" w:firstRow="0" w:lastRow="0" w:firstColumn="0" w:lastColumn="0" w:oddVBand="0" w:evenVBand="0" w:oddHBand="1" w:evenHBand="0" w:firstRowFirstColumn="0" w:firstRowLastColumn="0" w:lastRowFirstColumn="0" w:lastRowLastColumn="0"/>
            </w:pPr>
            <w:r w:rsidRPr="000347FB">
              <w:t>0.02</w:t>
            </w:r>
          </w:p>
        </w:tc>
      </w:tr>
      <w:tr w:rsidR="007C62F4" w:rsidRPr="000347FB" w14:paraId="7EF58E97" w14:textId="77777777" w:rsidTr="0063043A">
        <w:trPr>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2ACC2CA1" w14:textId="77777777" w:rsidR="007C62F4" w:rsidRPr="000347FB" w:rsidRDefault="007C62F4" w:rsidP="000347FB">
            <w:pPr>
              <w:spacing w:line="480" w:lineRule="auto"/>
              <w:rPr>
                <w:b w:val="0"/>
                <w:bCs w:val="0"/>
              </w:rPr>
            </w:pPr>
            <w:r w:rsidRPr="000347FB">
              <w:rPr>
                <w:b w:val="0"/>
                <w:bCs w:val="0"/>
              </w:rPr>
              <w:t>Genotype</w:t>
            </w:r>
          </w:p>
        </w:tc>
        <w:tc>
          <w:tcPr>
            <w:tcW w:w="1260" w:type="dxa"/>
            <w:hideMark/>
          </w:tcPr>
          <w:p w14:paraId="75D8E1A5" w14:textId="77777777" w:rsidR="007C62F4" w:rsidRPr="000347FB" w:rsidRDefault="007C62F4" w:rsidP="000347FB">
            <w:pPr>
              <w:spacing w:line="480" w:lineRule="auto"/>
              <w:cnfStyle w:val="000000000000" w:firstRow="0" w:lastRow="0" w:firstColumn="0" w:lastColumn="0" w:oddVBand="0" w:evenVBand="0" w:oddHBand="0" w:evenHBand="0" w:firstRowFirstColumn="0" w:firstRowLastColumn="0" w:lastRowFirstColumn="0" w:lastRowLastColumn="0"/>
            </w:pPr>
            <w:r w:rsidRPr="000347FB">
              <w:t>1</w:t>
            </w:r>
          </w:p>
        </w:tc>
        <w:tc>
          <w:tcPr>
            <w:tcW w:w="1440" w:type="dxa"/>
            <w:hideMark/>
          </w:tcPr>
          <w:p w14:paraId="1C5569E2" w14:textId="77777777" w:rsidR="007C62F4" w:rsidRPr="000347FB" w:rsidRDefault="007C62F4" w:rsidP="000347FB">
            <w:pPr>
              <w:spacing w:line="480" w:lineRule="auto"/>
              <w:cnfStyle w:val="000000000000" w:firstRow="0" w:lastRow="0" w:firstColumn="0" w:lastColumn="0" w:oddVBand="0" w:evenVBand="0" w:oddHBand="0" w:evenHBand="0" w:firstRowFirstColumn="0" w:firstRowLastColumn="0" w:lastRowFirstColumn="0" w:lastRowLastColumn="0"/>
            </w:pPr>
            <w:r w:rsidRPr="000347FB">
              <w:t>0.23</w:t>
            </w:r>
          </w:p>
        </w:tc>
        <w:tc>
          <w:tcPr>
            <w:tcW w:w="1710" w:type="dxa"/>
            <w:hideMark/>
          </w:tcPr>
          <w:p w14:paraId="13CBCF02" w14:textId="77777777" w:rsidR="007C62F4" w:rsidRPr="000347FB" w:rsidRDefault="007C62F4" w:rsidP="000347FB">
            <w:pPr>
              <w:spacing w:line="480" w:lineRule="auto"/>
              <w:cnfStyle w:val="000000000000" w:firstRow="0" w:lastRow="0" w:firstColumn="0" w:lastColumn="0" w:oddVBand="0" w:evenVBand="0" w:oddHBand="0" w:evenHBand="0" w:firstRowFirstColumn="0" w:firstRowLastColumn="0" w:lastRowFirstColumn="0" w:lastRowLastColumn="0"/>
            </w:pPr>
            <w:r w:rsidRPr="000347FB">
              <w:t>0.2274</w:t>
            </w:r>
          </w:p>
        </w:tc>
        <w:tc>
          <w:tcPr>
            <w:tcW w:w="1550" w:type="dxa"/>
            <w:hideMark/>
          </w:tcPr>
          <w:p w14:paraId="0CD13348" w14:textId="77777777" w:rsidR="007C62F4" w:rsidRPr="000347FB" w:rsidRDefault="007C62F4" w:rsidP="000347FB">
            <w:pPr>
              <w:spacing w:line="480" w:lineRule="auto"/>
              <w:cnfStyle w:val="000000000000" w:firstRow="0" w:lastRow="0" w:firstColumn="0" w:lastColumn="0" w:oddVBand="0" w:evenVBand="0" w:oddHBand="0" w:evenHBand="0" w:firstRowFirstColumn="0" w:firstRowLastColumn="0" w:lastRowFirstColumn="0" w:lastRowLastColumn="0"/>
            </w:pPr>
            <w:r w:rsidRPr="000347FB">
              <w:t>0.916</w:t>
            </w:r>
          </w:p>
        </w:tc>
        <w:tc>
          <w:tcPr>
            <w:tcW w:w="1404" w:type="dxa"/>
            <w:hideMark/>
          </w:tcPr>
          <w:p w14:paraId="50A9036F" w14:textId="77777777" w:rsidR="007C62F4" w:rsidRPr="000347FB" w:rsidRDefault="007C62F4" w:rsidP="000347FB">
            <w:pPr>
              <w:spacing w:line="480" w:lineRule="auto"/>
              <w:cnfStyle w:val="000000000000" w:firstRow="0" w:lastRow="0" w:firstColumn="0" w:lastColumn="0" w:oddVBand="0" w:evenVBand="0" w:oddHBand="0" w:evenHBand="0" w:firstRowFirstColumn="0" w:firstRowLastColumn="0" w:lastRowFirstColumn="0" w:lastRowLastColumn="0"/>
            </w:pPr>
            <w:r w:rsidRPr="000347FB">
              <w:t>0.34</w:t>
            </w:r>
          </w:p>
        </w:tc>
      </w:tr>
      <w:tr w:rsidR="007C62F4" w:rsidRPr="000347FB" w14:paraId="41294473" w14:textId="77777777" w:rsidTr="0063043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2D6C2BD2" w14:textId="77777777" w:rsidR="007C62F4" w:rsidRPr="000347FB" w:rsidRDefault="007C62F4" w:rsidP="000347FB">
            <w:pPr>
              <w:spacing w:line="480" w:lineRule="auto"/>
              <w:rPr>
                <w:b w:val="0"/>
                <w:bCs w:val="0"/>
              </w:rPr>
            </w:pPr>
            <w:r w:rsidRPr="000347FB">
              <w:rPr>
                <w:b w:val="0"/>
                <w:bCs w:val="0"/>
              </w:rPr>
              <w:t>Life S. ~ Genotype</w:t>
            </w:r>
          </w:p>
        </w:tc>
        <w:tc>
          <w:tcPr>
            <w:tcW w:w="1260" w:type="dxa"/>
            <w:hideMark/>
          </w:tcPr>
          <w:p w14:paraId="29D9DF99" w14:textId="77777777" w:rsidR="007C62F4" w:rsidRPr="000347FB" w:rsidRDefault="007C62F4" w:rsidP="000347FB">
            <w:pPr>
              <w:spacing w:line="480" w:lineRule="auto"/>
              <w:cnfStyle w:val="000000100000" w:firstRow="0" w:lastRow="0" w:firstColumn="0" w:lastColumn="0" w:oddVBand="0" w:evenVBand="0" w:oddHBand="1" w:evenHBand="0" w:firstRowFirstColumn="0" w:firstRowLastColumn="0" w:lastRowFirstColumn="0" w:lastRowLastColumn="0"/>
            </w:pPr>
            <w:r w:rsidRPr="000347FB">
              <w:t>1</w:t>
            </w:r>
          </w:p>
        </w:tc>
        <w:tc>
          <w:tcPr>
            <w:tcW w:w="1440" w:type="dxa"/>
            <w:hideMark/>
          </w:tcPr>
          <w:p w14:paraId="2663AEED" w14:textId="77777777" w:rsidR="007C62F4" w:rsidRPr="000347FB" w:rsidRDefault="007C62F4" w:rsidP="000347FB">
            <w:pPr>
              <w:spacing w:line="480" w:lineRule="auto"/>
              <w:cnfStyle w:val="000000100000" w:firstRow="0" w:lastRow="0" w:firstColumn="0" w:lastColumn="0" w:oddVBand="0" w:evenVBand="0" w:oddHBand="1" w:evenHBand="0" w:firstRowFirstColumn="0" w:firstRowLastColumn="0" w:lastRowFirstColumn="0" w:lastRowLastColumn="0"/>
            </w:pPr>
            <w:r w:rsidRPr="000347FB">
              <w:t>0.42</w:t>
            </w:r>
          </w:p>
        </w:tc>
        <w:tc>
          <w:tcPr>
            <w:tcW w:w="1710" w:type="dxa"/>
            <w:hideMark/>
          </w:tcPr>
          <w:p w14:paraId="593A725E" w14:textId="77777777" w:rsidR="007C62F4" w:rsidRPr="000347FB" w:rsidRDefault="007C62F4" w:rsidP="000347FB">
            <w:pPr>
              <w:spacing w:line="480" w:lineRule="auto"/>
              <w:cnfStyle w:val="000000100000" w:firstRow="0" w:lastRow="0" w:firstColumn="0" w:lastColumn="0" w:oddVBand="0" w:evenVBand="0" w:oddHBand="1" w:evenHBand="0" w:firstRowFirstColumn="0" w:firstRowLastColumn="0" w:lastRowFirstColumn="0" w:lastRowLastColumn="0"/>
            </w:pPr>
            <w:r w:rsidRPr="000347FB">
              <w:t>0.4228</w:t>
            </w:r>
          </w:p>
        </w:tc>
        <w:tc>
          <w:tcPr>
            <w:tcW w:w="1550" w:type="dxa"/>
            <w:hideMark/>
          </w:tcPr>
          <w:p w14:paraId="324269CC" w14:textId="77777777" w:rsidR="007C62F4" w:rsidRPr="000347FB" w:rsidRDefault="007C62F4" w:rsidP="000347FB">
            <w:pPr>
              <w:spacing w:line="480" w:lineRule="auto"/>
              <w:cnfStyle w:val="000000100000" w:firstRow="0" w:lastRow="0" w:firstColumn="0" w:lastColumn="0" w:oddVBand="0" w:evenVBand="0" w:oddHBand="1" w:evenHBand="0" w:firstRowFirstColumn="0" w:firstRowLastColumn="0" w:lastRowFirstColumn="0" w:lastRowLastColumn="0"/>
            </w:pPr>
            <w:r w:rsidRPr="000347FB">
              <w:t>1.703</w:t>
            </w:r>
          </w:p>
        </w:tc>
        <w:tc>
          <w:tcPr>
            <w:tcW w:w="1404" w:type="dxa"/>
            <w:hideMark/>
          </w:tcPr>
          <w:p w14:paraId="38E1954C" w14:textId="77777777" w:rsidR="007C62F4" w:rsidRPr="000347FB" w:rsidRDefault="007C62F4" w:rsidP="000347FB">
            <w:pPr>
              <w:spacing w:line="480" w:lineRule="auto"/>
              <w:cnfStyle w:val="000000100000" w:firstRow="0" w:lastRow="0" w:firstColumn="0" w:lastColumn="0" w:oddVBand="0" w:evenVBand="0" w:oddHBand="1" w:evenHBand="0" w:firstRowFirstColumn="0" w:firstRowLastColumn="0" w:lastRowFirstColumn="0" w:lastRowLastColumn="0"/>
            </w:pPr>
            <w:r w:rsidRPr="000347FB">
              <w:t>0.194</w:t>
            </w:r>
          </w:p>
        </w:tc>
      </w:tr>
      <w:tr w:rsidR="007C62F4" w:rsidRPr="000347FB" w14:paraId="5CBB0585" w14:textId="77777777" w:rsidTr="0063043A">
        <w:trPr>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6733C053" w14:textId="77777777" w:rsidR="007C62F4" w:rsidRPr="000347FB" w:rsidRDefault="007C62F4" w:rsidP="000347FB">
            <w:pPr>
              <w:spacing w:line="480" w:lineRule="auto"/>
              <w:rPr>
                <w:b w:val="0"/>
                <w:bCs w:val="0"/>
              </w:rPr>
            </w:pPr>
            <w:r w:rsidRPr="000347FB">
              <w:rPr>
                <w:b w:val="0"/>
                <w:bCs w:val="0"/>
              </w:rPr>
              <w:t>Residuals</w:t>
            </w:r>
          </w:p>
        </w:tc>
        <w:tc>
          <w:tcPr>
            <w:tcW w:w="1260" w:type="dxa"/>
            <w:hideMark/>
          </w:tcPr>
          <w:p w14:paraId="4766141B" w14:textId="77777777" w:rsidR="007C62F4" w:rsidRPr="000347FB" w:rsidRDefault="007C62F4" w:rsidP="000347FB">
            <w:pPr>
              <w:spacing w:line="480" w:lineRule="auto"/>
              <w:cnfStyle w:val="000000000000" w:firstRow="0" w:lastRow="0" w:firstColumn="0" w:lastColumn="0" w:oddVBand="0" w:evenVBand="0" w:oddHBand="0" w:evenHBand="0" w:firstRowFirstColumn="0" w:firstRowLastColumn="0" w:lastRowFirstColumn="0" w:lastRowLastColumn="0"/>
            </w:pPr>
            <w:r w:rsidRPr="000347FB">
              <w:t>140</w:t>
            </w:r>
          </w:p>
        </w:tc>
        <w:tc>
          <w:tcPr>
            <w:tcW w:w="1440" w:type="dxa"/>
            <w:hideMark/>
          </w:tcPr>
          <w:p w14:paraId="321E357D" w14:textId="77777777" w:rsidR="007C62F4" w:rsidRPr="000347FB" w:rsidRDefault="007C62F4" w:rsidP="000347FB">
            <w:pPr>
              <w:spacing w:line="480" w:lineRule="auto"/>
              <w:cnfStyle w:val="000000000000" w:firstRow="0" w:lastRow="0" w:firstColumn="0" w:lastColumn="0" w:oddVBand="0" w:evenVBand="0" w:oddHBand="0" w:evenHBand="0" w:firstRowFirstColumn="0" w:firstRowLastColumn="0" w:lastRowFirstColumn="0" w:lastRowLastColumn="0"/>
            </w:pPr>
            <w:r w:rsidRPr="000347FB">
              <w:t>34.75</w:t>
            </w:r>
          </w:p>
        </w:tc>
        <w:tc>
          <w:tcPr>
            <w:tcW w:w="1710" w:type="dxa"/>
            <w:hideMark/>
          </w:tcPr>
          <w:p w14:paraId="4BF6C28B" w14:textId="77777777" w:rsidR="007C62F4" w:rsidRPr="000347FB" w:rsidRDefault="007C62F4" w:rsidP="000347FB">
            <w:pPr>
              <w:spacing w:line="480" w:lineRule="auto"/>
              <w:cnfStyle w:val="000000000000" w:firstRow="0" w:lastRow="0" w:firstColumn="0" w:lastColumn="0" w:oddVBand="0" w:evenVBand="0" w:oddHBand="0" w:evenHBand="0" w:firstRowFirstColumn="0" w:firstRowLastColumn="0" w:lastRowFirstColumn="0" w:lastRowLastColumn="0"/>
            </w:pPr>
            <w:r w:rsidRPr="000347FB">
              <w:t>0.2482</w:t>
            </w:r>
          </w:p>
        </w:tc>
        <w:tc>
          <w:tcPr>
            <w:tcW w:w="1550" w:type="dxa"/>
            <w:hideMark/>
          </w:tcPr>
          <w:p w14:paraId="549228EF" w14:textId="77777777" w:rsidR="007C62F4" w:rsidRPr="000347FB" w:rsidRDefault="007C62F4" w:rsidP="000347FB">
            <w:pPr>
              <w:spacing w:line="480" w:lineRule="auto"/>
              <w:cnfStyle w:val="000000000000" w:firstRow="0" w:lastRow="0" w:firstColumn="0" w:lastColumn="0" w:oddVBand="0" w:evenVBand="0" w:oddHBand="0" w:evenHBand="0" w:firstRowFirstColumn="0" w:firstRowLastColumn="0" w:lastRowFirstColumn="0" w:lastRowLastColumn="0"/>
            </w:pPr>
          </w:p>
        </w:tc>
        <w:tc>
          <w:tcPr>
            <w:tcW w:w="1404" w:type="dxa"/>
            <w:hideMark/>
          </w:tcPr>
          <w:p w14:paraId="06393BE2" w14:textId="77777777" w:rsidR="007C62F4" w:rsidRPr="000347FB" w:rsidRDefault="007C62F4" w:rsidP="000347FB">
            <w:pPr>
              <w:spacing w:line="480" w:lineRule="auto"/>
              <w:cnfStyle w:val="000000000000" w:firstRow="0" w:lastRow="0" w:firstColumn="0" w:lastColumn="0" w:oddVBand="0" w:evenVBand="0" w:oddHBand="0" w:evenHBand="0" w:firstRowFirstColumn="0" w:firstRowLastColumn="0" w:lastRowFirstColumn="0" w:lastRowLastColumn="0"/>
            </w:pPr>
          </w:p>
        </w:tc>
      </w:tr>
    </w:tbl>
    <w:p w14:paraId="0DCFB6E8" w14:textId="77777777" w:rsidR="007C62F4" w:rsidRPr="000347FB" w:rsidRDefault="007C62F4" w:rsidP="000347FB">
      <w:pPr>
        <w:spacing w:line="480" w:lineRule="auto"/>
        <w:ind w:left="720" w:hanging="720"/>
        <w:rPr>
          <w:i/>
          <w:iCs/>
        </w:rPr>
      </w:pPr>
      <w:r w:rsidRPr="000347FB">
        <w:rPr>
          <w:rFonts w:eastAsiaTheme="majorEastAsia"/>
          <w:i/>
          <w:iCs/>
        </w:rPr>
        <w:t xml:space="preserve">Table </w:t>
      </w:r>
      <w:r w:rsidRPr="000347FB">
        <w:rPr>
          <w:i/>
          <w:iCs/>
        </w:rPr>
        <w:t>1</w:t>
      </w:r>
      <w:r w:rsidRPr="000347FB">
        <w:rPr>
          <w:rFonts w:eastAsiaTheme="majorEastAsia"/>
          <w:i/>
          <w:iCs/>
        </w:rPr>
        <w:t>: </w:t>
      </w:r>
      <w:r w:rsidRPr="000347FB">
        <w:rPr>
          <w:i/>
          <w:iCs/>
        </w:rPr>
        <w:t>Analysis of Variance (ANOVA) summary for the effects of life stage, genotype, and their interaction on the response variable. Degrees of freedom (</w:t>
      </w:r>
      <w:proofErr w:type="spellStart"/>
      <w:r w:rsidRPr="000347FB">
        <w:rPr>
          <w:i/>
          <w:iCs/>
        </w:rPr>
        <w:t>Df</w:t>
      </w:r>
      <w:proofErr w:type="spellEnd"/>
      <w:r w:rsidRPr="000347FB">
        <w:rPr>
          <w:i/>
          <w:iCs/>
        </w:rPr>
        <w:t>), sum of squares (Sum Sq), mean squares (Mean Sq), F-values, and p-values (</w:t>
      </w:r>
      <w:proofErr w:type="spellStart"/>
      <w:r w:rsidRPr="000347FB">
        <w:rPr>
          <w:i/>
          <w:iCs/>
        </w:rPr>
        <w:t>Pr</w:t>
      </w:r>
      <w:proofErr w:type="spellEnd"/>
      <w:r w:rsidRPr="000347FB">
        <w:rPr>
          <w:i/>
          <w:iCs/>
        </w:rPr>
        <w:t>(&gt;F)) are shown for each factor and interaction term. A statistically significant effect of life stage was observed at the 0.05 significance level, with a p-value of 0.020. No significant effects were found for genotype or the life stage and genotype interaction.</w:t>
      </w:r>
    </w:p>
    <w:p w14:paraId="01F08BE1" w14:textId="1FFDDEE4" w:rsidR="007C62F4" w:rsidRPr="000347FB" w:rsidRDefault="007C62F4" w:rsidP="000347FB">
      <w:pPr>
        <w:spacing w:line="480" w:lineRule="auto"/>
      </w:pPr>
    </w:p>
    <w:tbl>
      <w:tblPr>
        <w:tblStyle w:val="PlainTable1"/>
        <w:tblW w:w="9445" w:type="dxa"/>
        <w:tblLook w:val="04A0" w:firstRow="1" w:lastRow="0" w:firstColumn="1" w:lastColumn="0" w:noHBand="0" w:noVBand="1"/>
      </w:tblPr>
      <w:tblGrid>
        <w:gridCol w:w="2155"/>
        <w:gridCol w:w="1260"/>
        <w:gridCol w:w="1440"/>
        <w:gridCol w:w="1710"/>
        <w:gridCol w:w="1530"/>
        <w:gridCol w:w="1350"/>
      </w:tblGrid>
      <w:tr w:rsidR="007C62F4" w:rsidRPr="000347FB" w14:paraId="2FD9DFBB" w14:textId="77777777" w:rsidTr="0063043A">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0432D9E2" w14:textId="77777777" w:rsidR="007C62F4" w:rsidRPr="000347FB" w:rsidRDefault="007C62F4" w:rsidP="000347FB">
            <w:pPr>
              <w:spacing w:line="480" w:lineRule="auto"/>
            </w:pPr>
          </w:p>
        </w:tc>
        <w:tc>
          <w:tcPr>
            <w:tcW w:w="1260" w:type="dxa"/>
            <w:hideMark/>
          </w:tcPr>
          <w:p w14:paraId="2DDD6DD9" w14:textId="77777777" w:rsidR="007C62F4" w:rsidRPr="000347FB" w:rsidRDefault="007C62F4" w:rsidP="000347FB">
            <w:pPr>
              <w:spacing w:line="480" w:lineRule="auto"/>
              <w:cnfStyle w:val="100000000000" w:firstRow="1" w:lastRow="0" w:firstColumn="0" w:lastColumn="0" w:oddVBand="0" w:evenVBand="0" w:oddHBand="0" w:evenHBand="0" w:firstRowFirstColumn="0" w:firstRowLastColumn="0" w:lastRowFirstColumn="0" w:lastRowLastColumn="0"/>
            </w:pPr>
            <w:proofErr w:type="spellStart"/>
            <w:r w:rsidRPr="000347FB">
              <w:t>Df</w:t>
            </w:r>
            <w:proofErr w:type="spellEnd"/>
          </w:p>
        </w:tc>
        <w:tc>
          <w:tcPr>
            <w:tcW w:w="1440" w:type="dxa"/>
            <w:hideMark/>
          </w:tcPr>
          <w:p w14:paraId="22CBF7E5" w14:textId="77777777" w:rsidR="007C62F4" w:rsidRPr="000347FB" w:rsidRDefault="007C62F4" w:rsidP="000347FB">
            <w:pPr>
              <w:spacing w:line="480" w:lineRule="auto"/>
              <w:cnfStyle w:val="100000000000" w:firstRow="1" w:lastRow="0" w:firstColumn="0" w:lastColumn="0" w:oddVBand="0" w:evenVBand="0" w:oddHBand="0" w:evenHBand="0" w:firstRowFirstColumn="0" w:firstRowLastColumn="0" w:lastRowFirstColumn="0" w:lastRowLastColumn="0"/>
            </w:pPr>
            <w:r w:rsidRPr="000347FB">
              <w:t>Sum Sq</w:t>
            </w:r>
          </w:p>
        </w:tc>
        <w:tc>
          <w:tcPr>
            <w:tcW w:w="1710" w:type="dxa"/>
            <w:hideMark/>
          </w:tcPr>
          <w:p w14:paraId="05F1C4C4" w14:textId="77777777" w:rsidR="007C62F4" w:rsidRPr="000347FB" w:rsidRDefault="007C62F4" w:rsidP="000347FB">
            <w:pPr>
              <w:spacing w:line="480" w:lineRule="auto"/>
              <w:cnfStyle w:val="100000000000" w:firstRow="1" w:lastRow="0" w:firstColumn="0" w:lastColumn="0" w:oddVBand="0" w:evenVBand="0" w:oddHBand="0" w:evenHBand="0" w:firstRowFirstColumn="0" w:firstRowLastColumn="0" w:lastRowFirstColumn="0" w:lastRowLastColumn="0"/>
            </w:pPr>
            <w:r w:rsidRPr="000347FB">
              <w:t>Mean Sq</w:t>
            </w:r>
          </w:p>
        </w:tc>
        <w:tc>
          <w:tcPr>
            <w:tcW w:w="1530" w:type="dxa"/>
            <w:hideMark/>
          </w:tcPr>
          <w:p w14:paraId="27164C00" w14:textId="77777777" w:rsidR="007C62F4" w:rsidRPr="000347FB" w:rsidRDefault="007C62F4" w:rsidP="000347FB">
            <w:pPr>
              <w:spacing w:line="480" w:lineRule="auto"/>
              <w:cnfStyle w:val="100000000000" w:firstRow="1" w:lastRow="0" w:firstColumn="0" w:lastColumn="0" w:oddVBand="0" w:evenVBand="0" w:oddHBand="0" w:evenHBand="0" w:firstRowFirstColumn="0" w:firstRowLastColumn="0" w:lastRowFirstColumn="0" w:lastRowLastColumn="0"/>
            </w:pPr>
            <w:r w:rsidRPr="000347FB">
              <w:t>F value</w:t>
            </w:r>
          </w:p>
        </w:tc>
        <w:tc>
          <w:tcPr>
            <w:tcW w:w="1350" w:type="dxa"/>
            <w:hideMark/>
          </w:tcPr>
          <w:p w14:paraId="1D6E69B4" w14:textId="77777777" w:rsidR="007C62F4" w:rsidRPr="000347FB" w:rsidRDefault="007C62F4" w:rsidP="000347FB">
            <w:pPr>
              <w:spacing w:line="480" w:lineRule="auto"/>
              <w:cnfStyle w:val="100000000000" w:firstRow="1" w:lastRow="0" w:firstColumn="0" w:lastColumn="0" w:oddVBand="0" w:evenVBand="0" w:oddHBand="0" w:evenHBand="0" w:firstRowFirstColumn="0" w:firstRowLastColumn="0" w:lastRowFirstColumn="0" w:lastRowLastColumn="0"/>
            </w:pPr>
            <w:proofErr w:type="spellStart"/>
            <w:r w:rsidRPr="000347FB">
              <w:t>Pr</w:t>
            </w:r>
            <w:proofErr w:type="spellEnd"/>
            <w:r w:rsidRPr="000347FB">
              <w:t xml:space="preserve"> (&gt;F)</w:t>
            </w:r>
          </w:p>
        </w:tc>
      </w:tr>
      <w:tr w:rsidR="007C62F4" w:rsidRPr="000347FB" w14:paraId="39E5DD64" w14:textId="77777777" w:rsidTr="0063043A">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155" w:type="dxa"/>
            <w:hideMark/>
          </w:tcPr>
          <w:p w14:paraId="5468CB65" w14:textId="77777777" w:rsidR="007C62F4" w:rsidRPr="000347FB" w:rsidRDefault="007C62F4" w:rsidP="000347FB">
            <w:pPr>
              <w:spacing w:line="480" w:lineRule="auto"/>
            </w:pPr>
            <w:r w:rsidRPr="000347FB">
              <w:t>Temp</w:t>
            </w:r>
          </w:p>
        </w:tc>
        <w:tc>
          <w:tcPr>
            <w:tcW w:w="1260" w:type="dxa"/>
            <w:hideMark/>
          </w:tcPr>
          <w:p w14:paraId="534FBFF3" w14:textId="77777777" w:rsidR="007C62F4" w:rsidRPr="000347FB" w:rsidRDefault="007C62F4" w:rsidP="000347FB">
            <w:pPr>
              <w:spacing w:line="480" w:lineRule="auto"/>
              <w:cnfStyle w:val="000000100000" w:firstRow="0" w:lastRow="0" w:firstColumn="0" w:lastColumn="0" w:oddVBand="0" w:evenVBand="0" w:oddHBand="1" w:evenHBand="0" w:firstRowFirstColumn="0" w:firstRowLastColumn="0" w:lastRowFirstColumn="0" w:lastRowLastColumn="0"/>
            </w:pPr>
            <w:r w:rsidRPr="000347FB">
              <w:t>1</w:t>
            </w:r>
          </w:p>
        </w:tc>
        <w:tc>
          <w:tcPr>
            <w:tcW w:w="1440" w:type="dxa"/>
            <w:hideMark/>
          </w:tcPr>
          <w:p w14:paraId="3583BA73" w14:textId="77777777" w:rsidR="007C62F4" w:rsidRPr="000347FB" w:rsidRDefault="007C62F4" w:rsidP="000347FB">
            <w:pPr>
              <w:spacing w:line="480" w:lineRule="auto"/>
              <w:cnfStyle w:val="000000100000" w:firstRow="0" w:lastRow="0" w:firstColumn="0" w:lastColumn="0" w:oddVBand="0" w:evenVBand="0" w:oddHBand="1" w:evenHBand="0" w:firstRowFirstColumn="0" w:firstRowLastColumn="0" w:lastRowFirstColumn="0" w:lastRowLastColumn="0"/>
            </w:pPr>
            <w:r w:rsidRPr="000347FB">
              <w:t>0.08</w:t>
            </w:r>
          </w:p>
        </w:tc>
        <w:tc>
          <w:tcPr>
            <w:tcW w:w="1710" w:type="dxa"/>
            <w:hideMark/>
          </w:tcPr>
          <w:p w14:paraId="19949A35" w14:textId="77777777" w:rsidR="007C62F4" w:rsidRPr="000347FB" w:rsidRDefault="007C62F4" w:rsidP="000347FB">
            <w:pPr>
              <w:spacing w:line="480" w:lineRule="auto"/>
              <w:cnfStyle w:val="000000100000" w:firstRow="0" w:lastRow="0" w:firstColumn="0" w:lastColumn="0" w:oddVBand="0" w:evenVBand="0" w:oddHBand="1" w:evenHBand="0" w:firstRowFirstColumn="0" w:firstRowLastColumn="0" w:lastRowFirstColumn="0" w:lastRowLastColumn="0"/>
            </w:pPr>
            <w:r w:rsidRPr="000347FB">
              <w:t>0.07977</w:t>
            </w:r>
          </w:p>
        </w:tc>
        <w:tc>
          <w:tcPr>
            <w:tcW w:w="1530" w:type="dxa"/>
            <w:hideMark/>
          </w:tcPr>
          <w:p w14:paraId="74ECA137" w14:textId="77777777" w:rsidR="007C62F4" w:rsidRPr="000347FB" w:rsidRDefault="007C62F4" w:rsidP="000347FB">
            <w:pPr>
              <w:spacing w:line="480" w:lineRule="auto"/>
              <w:cnfStyle w:val="000000100000" w:firstRow="0" w:lastRow="0" w:firstColumn="0" w:lastColumn="0" w:oddVBand="0" w:evenVBand="0" w:oddHBand="1" w:evenHBand="0" w:firstRowFirstColumn="0" w:firstRowLastColumn="0" w:lastRowFirstColumn="0" w:lastRowLastColumn="0"/>
            </w:pPr>
            <w:r w:rsidRPr="000347FB">
              <w:t>0.307</w:t>
            </w:r>
          </w:p>
        </w:tc>
        <w:tc>
          <w:tcPr>
            <w:tcW w:w="1350" w:type="dxa"/>
            <w:hideMark/>
          </w:tcPr>
          <w:p w14:paraId="34F1C380" w14:textId="77777777" w:rsidR="007C62F4" w:rsidRPr="000347FB" w:rsidRDefault="007C62F4" w:rsidP="000347FB">
            <w:pPr>
              <w:spacing w:line="480" w:lineRule="auto"/>
              <w:cnfStyle w:val="000000100000" w:firstRow="0" w:lastRow="0" w:firstColumn="0" w:lastColumn="0" w:oddVBand="0" w:evenVBand="0" w:oddHBand="1" w:evenHBand="0" w:firstRowFirstColumn="0" w:firstRowLastColumn="0" w:lastRowFirstColumn="0" w:lastRowLastColumn="0"/>
            </w:pPr>
            <w:r w:rsidRPr="000347FB">
              <w:t>0.581</w:t>
            </w:r>
          </w:p>
        </w:tc>
      </w:tr>
      <w:tr w:rsidR="007C62F4" w:rsidRPr="000347FB" w14:paraId="049FC88C" w14:textId="77777777" w:rsidTr="0063043A">
        <w:trPr>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426B21A4" w14:textId="77777777" w:rsidR="007C62F4" w:rsidRPr="000347FB" w:rsidRDefault="007C62F4" w:rsidP="000347FB">
            <w:pPr>
              <w:spacing w:line="480" w:lineRule="auto"/>
            </w:pPr>
            <w:r w:rsidRPr="000347FB">
              <w:t>Genotype</w:t>
            </w:r>
          </w:p>
        </w:tc>
        <w:tc>
          <w:tcPr>
            <w:tcW w:w="1260" w:type="dxa"/>
            <w:hideMark/>
          </w:tcPr>
          <w:p w14:paraId="22F66207" w14:textId="77777777" w:rsidR="007C62F4" w:rsidRPr="000347FB" w:rsidRDefault="007C62F4" w:rsidP="000347FB">
            <w:pPr>
              <w:spacing w:line="480" w:lineRule="auto"/>
              <w:cnfStyle w:val="000000000000" w:firstRow="0" w:lastRow="0" w:firstColumn="0" w:lastColumn="0" w:oddVBand="0" w:evenVBand="0" w:oddHBand="0" w:evenHBand="0" w:firstRowFirstColumn="0" w:firstRowLastColumn="0" w:lastRowFirstColumn="0" w:lastRowLastColumn="0"/>
            </w:pPr>
            <w:r w:rsidRPr="000347FB">
              <w:t>1</w:t>
            </w:r>
          </w:p>
        </w:tc>
        <w:tc>
          <w:tcPr>
            <w:tcW w:w="1440" w:type="dxa"/>
            <w:hideMark/>
          </w:tcPr>
          <w:p w14:paraId="611B6B07" w14:textId="77777777" w:rsidR="007C62F4" w:rsidRPr="000347FB" w:rsidRDefault="007C62F4" w:rsidP="000347FB">
            <w:pPr>
              <w:spacing w:line="480" w:lineRule="auto"/>
              <w:cnfStyle w:val="000000000000" w:firstRow="0" w:lastRow="0" w:firstColumn="0" w:lastColumn="0" w:oddVBand="0" w:evenVBand="0" w:oddHBand="0" w:evenHBand="0" w:firstRowFirstColumn="0" w:firstRowLastColumn="0" w:lastRowFirstColumn="0" w:lastRowLastColumn="0"/>
            </w:pPr>
            <w:r w:rsidRPr="000347FB">
              <w:t>0.23</w:t>
            </w:r>
          </w:p>
        </w:tc>
        <w:tc>
          <w:tcPr>
            <w:tcW w:w="1710" w:type="dxa"/>
            <w:hideMark/>
          </w:tcPr>
          <w:p w14:paraId="73E5C621" w14:textId="77777777" w:rsidR="007C62F4" w:rsidRPr="000347FB" w:rsidRDefault="007C62F4" w:rsidP="000347FB">
            <w:pPr>
              <w:spacing w:line="480" w:lineRule="auto"/>
              <w:cnfStyle w:val="000000000000" w:firstRow="0" w:lastRow="0" w:firstColumn="0" w:lastColumn="0" w:oddVBand="0" w:evenVBand="0" w:oddHBand="0" w:evenHBand="0" w:firstRowFirstColumn="0" w:firstRowLastColumn="0" w:lastRowFirstColumn="0" w:lastRowLastColumn="0"/>
            </w:pPr>
            <w:r w:rsidRPr="000347FB">
              <w:t>0.22745</w:t>
            </w:r>
          </w:p>
        </w:tc>
        <w:tc>
          <w:tcPr>
            <w:tcW w:w="1530" w:type="dxa"/>
            <w:hideMark/>
          </w:tcPr>
          <w:p w14:paraId="50EED0FB" w14:textId="77777777" w:rsidR="007C62F4" w:rsidRPr="000347FB" w:rsidRDefault="007C62F4" w:rsidP="000347FB">
            <w:pPr>
              <w:spacing w:line="480" w:lineRule="auto"/>
              <w:cnfStyle w:val="000000000000" w:firstRow="0" w:lastRow="0" w:firstColumn="0" w:lastColumn="0" w:oddVBand="0" w:evenVBand="0" w:oddHBand="0" w:evenHBand="0" w:firstRowFirstColumn="0" w:firstRowLastColumn="0" w:lastRowFirstColumn="0" w:lastRowLastColumn="0"/>
            </w:pPr>
            <w:r w:rsidRPr="000347FB">
              <w:t>0.874</w:t>
            </w:r>
          </w:p>
        </w:tc>
        <w:tc>
          <w:tcPr>
            <w:tcW w:w="1350" w:type="dxa"/>
            <w:hideMark/>
          </w:tcPr>
          <w:p w14:paraId="74D403B9" w14:textId="77777777" w:rsidR="007C62F4" w:rsidRPr="000347FB" w:rsidRDefault="007C62F4" w:rsidP="000347FB">
            <w:pPr>
              <w:spacing w:line="480" w:lineRule="auto"/>
              <w:cnfStyle w:val="000000000000" w:firstRow="0" w:lastRow="0" w:firstColumn="0" w:lastColumn="0" w:oddVBand="0" w:evenVBand="0" w:oddHBand="0" w:evenHBand="0" w:firstRowFirstColumn="0" w:firstRowLastColumn="0" w:lastRowFirstColumn="0" w:lastRowLastColumn="0"/>
            </w:pPr>
            <w:r w:rsidRPr="000347FB">
              <w:t>0.351</w:t>
            </w:r>
          </w:p>
        </w:tc>
      </w:tr>
      <w:tr w:rsidR="007C62F4" w:rsidRPr="000347FB" w14:paraId="410AAF1E" w14:textId="77777777" w:rsidTr="0063043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00DD4B66" w14:textId="77777777" w:rsidR="007C62F4" w:rsidRPr="000347FB" w:rsidRDefault="007C62F4" w:rsidP="000347FB">
            <w:pPr>
              <w:spacing w:line="480" w:lineRule="auto"/>
            </w:pPr>
            <w:r w:rsidRPr="000347FB">
              <w:t>Temp ~ Genotype</w:t>
            </w:r>
          </w:p>
        </w:tc>
        <w:tc>
          <w:tcPr>
            <w:tcW w:w="1260" w:type="dxa"/>
            <w:hideMark/>
          </w:tcPr>
          <w:p w14:paraId="44A245CC" w14:textId="77777777" w:rsidR="007C62F4" w:rsidRPr="000347FB" w:rsidRDefault="007C62F4" w:rsidP="000347FB">
            <w:pPr>
              <w:spacing w:line="480" w:lineRule="auto"/>
              <w:cnfStyle w:val="000000100000" w:firstRow="0" w:lastRow="0" w:firstColumn="0" w:lastColumn="0" w:oddVBand="0" w:evenVBand="0" w:oddHBand="1" w:evenHBand="0" w:firstRowFirstColumn="0" w:firstRowLastColumn="0" w:lastRowFirstColumn="0" w:lastRowLastColumn="0"/>
            </w:pPr>
            <w:r w:rsidRPr="000347FB">
              <w:t>1</w:t>
            </w:r>
          </w:p>
        </w:tc>
        <w:tc>
          <w:tcPr>
            <w:tcW w:w="1440" w:type="dxa"/>
            <w:hideMark/>
          </w:tcPr>
          <w:p w14:paraId="205C705D" w14:textId="77777777" w:rsidR="007C62F4" w:rsidRPr="000347FB" w:rsidRDefault="007C62F4" w:rsidP="000347FB">
            <w:pPr>
              <w:spacing w:line="480" w:lineRule="auto"/>
              <w:cnfStyle w:val="000000100000" w:firstRow="0" w:lastRow="0" w:firstColumn="0" w:lastColumn="0" w:oddVBand="0" w:evenVBand="0" w:oddHBand="1" w:evenHBand="0" w:firstRowFirstColumn="0" w:firstRowLastColumn="0" w:lastRowFirstColumn="0" w:lastRowLastColumn="0"/>
            </w:pPr>
            <w:r w:rsidRPr="000347FB">
              <w:t>0.05</w:t>
            </w:r>
          </w:p>
        </w:tc>
        <w:tc>
          <w:tcPr>
            <w:tcW w:w="1710" w:type="dxa"/>
            <w:hideMark/>
          </w:tcPr>
          <w:p w14:paraId="154F6925" w14:textId="77777777" w:rsidR="007C62F4" w:rsidRPr="000347FB" w:rsidRDefault="007C62F4" w:rsidP="000347FB">
            <w:pPr>
              <w:spacing w:line="480" w:lineRule="auto"/>
              <w:cnfStyle w:val="000000100000" w:firstRow="0" w:lastRow="0" w:firstColumn="0" w:lastColumn="0" w:oddVBand="0" w:evenVBand="0" w:oddHBand="1" w:evenHBand="0" w:firstRowFirstColumn="0" w:firstRowLastColumn="0" w:lastRowFirstColumn="0" w:lastRowLastColumn="0"/>
            </w:pPr>
            <w:r w:rsidRPr="000347FB">
              <w:t>0.05366</w:t>
            </w:r>
          </w:p>
        </w:tc>
        <w:tc>
          <w:tcPr>
            <w:tcW w:w="1530" w:type="dxa"/>
            <w:hideMark/>
          </w:tcPr>
          <w:p w14:paraId="22815D40" w14:textId="77777777" w:rsidR="007C62F4" w:rsidRPr="000347FB" w:rsidRDefault="007C62F4" w:rsidP="000347FB">
            <w:pPr>
              <w:spacing w:line="480" w:lineRule="auto"/>
              <w:cnfStyle w:val="000000100000" w:firstRow="0" w:lastRow="0" w:firstColumn="0" w:lastColumn="0" w:oddVBand="0" w:evenVBand="0" w:oddHBand="1" w:evenHBand="0" w:firstRowFirstColumn="0" w:firstRowLastColumn="0" w:lastRowFirstColumn="0" w:lastRowLastColumn="0"/>
            </w:pPr>
            <w:r w:rsidRPr="000347FB">
              <w:t>0.206</w:t>
            </w:r>
          </w:p>
        </w:tc>
        <w:tc>
          <w:tcPr>
            <w:tcW w:w="1350" w:type="dxa"/>
            <w:hideMark/>
          </w:tcPr>
          <w:p w14:paraId="57E32B8D" w14:textId="77777777" w:rsidR="007C62F4" w:rsidRPr="000347FB" w:rsidRDefault="007C62F4" w:rsidP="000347FB">
            <w:pPr>
              <w:spacing w:line="480" w:lineRule="auto"/>
              <w:cnfStyle w:val="000000100000" w:firstRow="0" w:lastRow="0" w:firstColumn="0" w:lastColumn="0" w:oddVBand="0" w:evenVBand="0" w:oddHBand="1" w:evenHBand="0" w:firstRowFirstColumn="0" w:firstRowLastColumn="0" w:lastRowFirstColumn="0" w:lastRowLastColumn="0"/>
            </w:pPr>
            <w:r w:rsidRPr="000347FB">
              <w:t>0.65</w:t>
            </w:r>
          </w:p>
        </w:tc>
      </w:tr>
      <w:tr w:rsidR="007C62F4" w:rsidRPr="000347FB" w14:paraId="718E901C" w14:textId="77777777" w:rsidTr="0063043A">
        <w:trPr>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51ECE525" w14:textId="77777777" w:rsidR="007C62F4" w:rsidRPr="000347FB" w:rsidRDefault="007C62F4" w:rsidP="000347FB">
            <w:pPr>
              <w:spacing w:line="480" w:lineRule="auto"/>
            </w:pPr>
            <w:r w:rsidRPr="000347FB">
              <w:t>Residuals</w:t>
            </w:r>
          </w:p>
        </w:tc>
        <w:tc>
          <w:tcPr>
            <w:tcW w:w="1260" w:type="dxa"/>
            <w:hideMark/>
          </w:tcPr>
          <w:p w14:paraId="081F8EB7" w14:textId="77777777" w:rsidR="007C62F4" w:rsidRPr="000347FB" w:rsidRDefault="007C62F4" w:rsidP="000347FB">
            <w:pPr>
              <w:spacing w:line="480" w:lineRule="auto"/>
              <w:cnfStyle w:val="000000000000" w:firstRow="0" w:lastRow="0" w:firstColumn="0" w:lastColumn="0" w:oddVBand="0" w:evenVBand="0" w:oddHBand="0" w:evenHBand="0" w:firstRowFirstColumn="0" w:firstRowLastColumn="0" w:lastRowFirstColumn="0" w:lastRowLastColumn="0"/>
            </w:pPr>
            <w:r w:rsidRPr="000347FB">
              <w:t>140</w:t>
            </w:r>
          </w:p>
        </w:tc>
        <w:tc>
          <w:tcPr>
            <w:tcW w:w="1440" w:type="dxa"/>
            <w:hideMark/>
          </w:tcPr>
          <w:p w14:paraId="3DB2C6E4" w14:textId="77777777" w:rsidR="007C62F4" w:rsidRPr="000347FB" w:rsidRDefault="007C62F4" w:rsidP="000347FB">
            <w:pPr>
              <w:spacing w:line="480" w:lineRule="auto"/>
              <w:cnfStyle w:val="000000000000" w:firstRow="0" w:lastRow="0" w:firstColumn="0" w:lastColumn="0" w:oddVBand="0" w:evenVBand="0" w:oddHBand="0" w:evenHBand="0" w:firstRowFirstColumn="0" w:firstRowLastColumn="0" w:lastRowFirstColumn="0" w:lastRowLastColumn="0"/>
            </w:pPr>
            <w:r w:rsidRPr="000347FB">
              <w:t>36.42</w:t>
            </w:r>
          </w:p>
        </w:tc>
        <w:tc>
          <w:tcPr>
            <w:tcW w:w="1710" w:type="dxa"/>
            <w:hideMark/>
          </w:tcPr>
          <w:p w14:paraId="0E84EC74" w14:textId="77777777" w:rsidR="007C62F4" w:rsidRPr="000347FB" w:rsidRDefault="007C62F4" w:rsidP="000347FB">
            <w:pPr>
              <w:spacing w:line="480" w:lineRule="auto"/>
              <w:cnfStyle w:val="000000000000" w:firstRow="0" w:lastRow="0" w:firstColumn="0" w:lastColumn="0" w:oddVBand="0" w:evenVBand="0" w:oddHBand="0" w:evenHBand="0" w:firstRowFirstColumn="0" w:firstRowLastColumn="0" w:lastRowFirstColumn="0" w:lastRowLastColumn="0"/>
            </w:pPr>
            <w:r w:rsidRPr="000347FB">
              <w:t>0.26013</w:t>
            </w:r>
          </w:p>
        </w:tc>
        <w:tc>
          <w:tcPr>
            <w:tcW w:w="1530" w:type="dxa"/>
            <w:hideMark/>
          </w:tcPr>
          <w:p w14:paraId="1C6FC688" w14:textId="77777777" w:rsidR="007C62F4" w:rsidRPr="000347FB" w:rsidRDefault="007C62F4" w:rsidP="000347FB">
            <w:pPr>
              <w:spacing w:line="480" w:lineRule="auto"/>
              <w:cnfStyle w:val="000000000000" w:firstRow="0" w:lastRow="0" w:firstColumn="0" w:lastColumn="0" w:oddVBand="0" w:evenVBand="0" w:oddHBand="0" w:evenHBand="0" w:firstRowFirstColumn="0" w:firstRowLastColumn="0" w:lastRowFirstColumn="0" w:lastRowLastColumn="0"/>
            </w:pPr>
          </w:p>
        </w:tc>
        <w:tc>
          <w:tcPr>
            <w:tcW w:w="1350" w:type="dxa"/>
            <w:hideMark/>
          </w:tcPr>
          <w:p w14:paraId="071FFF37" w14:textId="77777777" w:rsidR="007C62F4" w:rsidRPr="000347FB" w:rsidRDefault="007C62F4" w:rsidP="000347FB">
            <w:pPr>
              <w:spacing w:line="480" w:lineRule="auto"/>
              <w:cnfStyle w:val="000000000000" w:firstRow="0" w:lastRow="0" w:firstColumn="0" w:lastColumn="0" w:oddVBand="0" w:evenVBand="0" w:oddHBand="0" w:evenHBand="0" w:firstRowFirstColumn="0" w:firstRowLastColumn="0" w:lastRowFirstColumn="0" w:lastRowLastColumn="0"/>
            </w:pPr>
          </w:p>
        </w:tc>
      </w:tr>
    </w:tbl>
    <w:p w14:paraId="5AD5836D" w14:textId="336FADF5" w:rsidR="000347FB" w:rsidRPr="000347FB" w:rsidRDefault="007C62F4" w:rsidP="000347FB">
      <w:pPr>
        <w:spacing w:line="480" w:lineRule="auto"/>
        <w:ind w:left="720" w:hanging="720"/>
        <w:rPr>
          <w:i/>
          <w:iCs/>
        </w:rPr>
      </w:pPr>
      <w:r w:rsidRPr="000347FB">
        <w:rPr>
          <w:rFonts w:eastAsiaTheme="majorEastAsia"/>
          <w:i/>
          <w:iCs/>
        </w:rPr>
        <w:t xml:space="preserve">Table </w:t>
      </w:r>
      <w:r w:rsidRPr="000347FB">
        <w:rPr>
          <w:i/>
          <w:iCs/>
        </w:rPr>
        <w:t>2</w:t>
      </w:r>
      <w:r w:rsidRPr="000347FB">
        <w:rPr>
          <w:rFonts w:eastAsiaTheme="majorEastAsia"/>
          <w:i/>
          <w:iCs/>
        </w:rPr>
        <w:t>: </w:t>
      </w:r>
      <w:r w:rsidRPr="000347FB">
        <w:rPr>
          <w:i/>
          <w:iCs/>
        </w:rPr>
        <w:t>Analysis of Variance (ANOVA) summary for the effects of temperature (temp), genotype, and their interaction on the response variable. Degrees of freedom (</w:t>
      </w:r>
      <w:proofErr w:type="spellStart"/>
      <w:r w:rsidRPr="000347FB">
        <w:rPr>
          <w:i/>
          <w:iCs/>
        </w:rPr>
        <w:t>Df</w:t>
      </w:r>
      <w:proofErr w:type="spellEnd"/>
      <w:r w:rsidRPr="000347FB">
        <w:rPr>
          <w:i/>
          <w:iCs/>
        </w:rPr>
        <w:t>), sum of squares (Sum Sq), mean squares (Mean Sq), F-values, and p-values (</w:t>
      </w:r>
      <w:proofErr w:type="spellStart"/>
      <w:r w:rsidRPr="000347FB">
        <w:rPr>
          <w:i/>
          <w:iCs/>
        </w:rPr>
        <w:t>Pr</w:t>
      </w:r>
      <w:proofErr w:type="spellEnd"/>
      <w:r w:rsidRPr="000347FB">
        <w:rPr>
          <w:i/>
          <w:iCs/>
        </w:rPr>
        <w:t>(&gt;F)) are presented for each factor and interaction term. No statistically significant effects were observed at a 0.05 significance level.</w:t>
      </w:r>
    </w:p>
    <w:sectPr w:rsidR="000347FB" w:rsidRPr="000347FB" w:rsidSect="0077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F4"/>
    <w:rsid w:val="000347FB"/>
    <w:rsid w:val="00070EE2"/>
    <w:rsid w:val="0012624A"/>
    <w:rsid w:val="004D1F30"/>
    <w:rsid w:val="005376ED"/>
    <w:rsid w:val="005D67BF"/>
    <w:rsid w:val="00777731"/>
    <w:rsid w:val="007C62F4"/>
    <w:rsid w:val="008C57EB"/>
    <w:rsid w:val="00936C23"/>
    <w:rsid w:val="00A537C0"/>
    <w:rsid w:val="00AC5E7D"/>
    <w:rsid w:val="00AE425D"/>
    <w:rsid w:val="00B5770F"/>
    <w:rsid w:val="00BA2E04"/>
    <w:rsid w:val="00CD214A"/>
    <w:rsid w:val="00D14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A8C0"/>
  <w15:chartTrackingRefBased/>
  <w15:docId w15:val="{D4CC6DC0-A02C-784C-8E8E-6AD0A3C7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2F4"/>
    <w:pPr>
      <w:spacing w:line="240" w:lineRule="auto"/>
    </w:pPr>
    <w:rPr>
      <w:rFonts w:eastAsia="Times New Roman" w:cs="Times New Roman"/>
    </w:rPr>
  </w:style>
  <w:style w:type="paragraph" w:styleId="Heading1">
    <w:name w:val="heading 1"/>
    <w:basedOn w:val="Normal"/>
    <w:next w:val="Normal"/>
    <w:link w:val="Heading1Char"/>
    <w:uiPriority w:val="9"/>
    <w:qFormat/>
    <w:rsid w:val="007C62F4"/>
    <w:pPr>
      <w:keepNext/>
      <w:keepLines/>
      <w:spacing w:before="360" w:after="80" w:line="36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2F4"/>
    <w:pPr>
      <w:keepNext/>
      <w:keepLines/>
      <w:spacing w:before="160" w:after="80" w:line="36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2F4"/>
    <w:pPr>
      <w:keepNext/>
      <w:keepLines/>
      <w:spacing w:before="160" w:after="80" w:line="360"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2F4"/>
    <w:pPr>
      <w:keepNext/>
      <w:keepLines/>
      <w:spacing w:before="80" w:after="40" w:line="360"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C62F4"/>
    <w:pPr>
      <w:keepNext/>
      <w:keepLines/>
      <w:spacing w:before="80" w:after="40" w:line="360"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C62F4"/>
    <w:pPr>
      <w:keepNext/>
      <w:keepLines/>
      <w:spacing w:before="40" w:line="360"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C62F4"/>
    <w:pPr>
      <w:keepNext/>
      <w:keepLines/>
      <w:spacing w:before="40" w:line="360"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C62F4"/>
    <w:pPr>
      <w:keepNext/>
      <w:keepLines/>
      <w:spacing w:line="360"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C62F4"/>
    <w:pPr>
      <w:keepNext/>
      <w:keepLines/>
      <w:spacing w:line="360"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2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2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2F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2F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C62F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C62F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C62F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C62F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C62F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C62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2F4"/>
    <w:pPr>
      <w:numPr>
        <w:ilvl w:val="1"/>
      </w:numPr>
      <w:spacing w:after="160" w:line="360"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2F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C62F4"/>
    <w:pPr>
      <w:spacing w:before="160" w:after="160" w:line="360" w:lineRule="auto"/>
      <w:jc w:val="center"/>
    </w:pPr>
    <w:rPr>
      <w:rFonts w:eastAsiaTheme="minorHAnsi" w:cs="Times New Roman (Body CS)"/>
      <w:i/>
      <w:iCs/>
      <w:color w:val="404040" w:themeColor="text1" w:themeTint="BF"/>
    </w:rPr>
  </w:style>
  <w:style w:type="character" w:customStyle="1" w:styleId="QuoteChar">
    <w:name w:val="Quote Char"/>
    <w:basedOn w:val="DefaultParagraphFont"/>
    <w:link w:val="Quote"/>
    <w:uiPriority w:val="29"/>
    <w:rsid w:val="007C62F4"/>
    <w:rPr>
      <w:i/>
      <w:iCs/>
      <w:color w:val="404040" w:themeColor="text1" w:themeTint="BF"/>
    </w:rPr>
  </w:style>
  <w:style w:type="paragraph" w:styleId="ListParagraph">
    <w:name w:val="List Paragraph"/>
    <w:basedOn w:val="Normal"/>
    <w:uiPriority w:val="34"/>
    <w:qFormat/>
    <w:rsid w:val="007C62F4"/>
    <w:pPr>
      <w:spacing w:line="360" w:lineRule="auto"/>
      <w:ind w:left="720"/>
      <w:contextualSpacing/>
    </w:pPr>
    <w:rPr>
      <w:rFonts w:eastAsiaTheme="minorHAnsi" w:cs="Times New Roman (Body CS)"/>
    </w:rPr>
  </w:style>
  <w:style w:type="character" w:styleId="IntenseEmphasis">
    <w:name w:val="Intense Emphasis"/>
    <w:basedOn w:val="DefaultParagraphFont"/>
    <w:uiPriority w:val="21"/>
    <w:qFormat/>
    <w:rsid w:val="007C62F4"/>
    <w:rPr>
      <w:i/>
      <w:iCs/>
      <w:color w:val="0F4761" w:themeColor="accent1" w:themeShade="BF"/>
    </w:rPr>
  </w:style>
  <w:style w:type="paragraph" w:styleId="IntenseQuote">
    <w:name w:val="Intense Quote"/>
    <w:basedOn w:val="Normal"/>
    <w:next w:val="Normal"/>
    <w:link w:val="IntenseQuoteChar"/>
    <w:uiPriority w:val="30"/>
    <w:qFormat/>
    <w:rsid w:val="007C62F4"/>
    <w:pPr>
      <w:pBdr>
        <w:top w:val="single" w:sz="4" w:space="10" w:color="0F4761" w:themeColor="accent1" w:themeShade="BF"/>
        <w:bottom w:val="single" w:sz="4" w:space="10" w:color="0F4761" w:themeColor="accent1" w:themeShade="BF"/>
      </w:pBdr>
      <w:spacing w:before="360" w:after="360" w:line="360" w:lineRule="auto"/>
      <w:ind w:left="864" w:right="864"/>
      <w:jc w:val="center"/>
    </w:pPr>
    <w:rPr>
      <w:rFonts w:eastAsiaTheme="minorHAnsi" w:cs="Times New Roman (Body CS)"/>
      <w:i/>
      <w:iCs/>
      <w:color w:val="0F4761" w:themeColor="accent1" w:themeShade="BF"/>
    </w:rPr>
  </w:style>
  <w:style w:type="character" w:customStyle="1" w:styleId="IntenseQuoteChar">
    <w:name w:val="Intense Quote Char"/>
    <w:basedOn w:val="DefaultParagraphFont"/>
    <w:link w:val="IntenseQuote"/>
    <w:uiPriority w:val="30"/>
    <w:rsid w:val="007C62F4"/>
    <w:rPr>
      <w:i/>
      <w:iCs/>
      <w:color w:val="0F4761" w:themeColor="accent1" w:themeShade="BF"/>
    </w:rPr>
  </w:style>
  <w:style w:type="character" w:styleId="IntenseReference">
    <w:name w:val="Intense Reference"/>
    <w:basedOn w:val="DefaultParagraphFont"/>
    <w:uiPriority w:val="32"/>
    <w:qFormat/>
    <w:rsid w:val="007C62F4"/>
    <w:rPr>
      <w:b/>
      <w:bCs/>
      <w:smallCaps/>
      <w:color w:val="0F4761" w:themeColor="accent1" w:themeShade="BF"/>
      <w:spacing w:val="5"/>
    </w:rPr>
  </w:style>
  <w:style w:type="table" w:styleId="PlainTable1">
    <w:name w:val="Plain Table 1"/>
    <w:basedOn w:val="TableNormal"/>
    <w:uiPriority w:val="41"/>
    <w:rsid w:val="007C62F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C62F4"/>
    <w:rPr>
      <w:color w:val="467886" w:themeColor="hyperlink"/>
      <w:u w:val="single"/>
    </w:rPr>
  </w:style>
  <w:style w:type="paragraph" w:styleId="NormalWeb">
    <w:name w:val="Normal (Web)"/>
    <w:basedOn w:val="Normal"/>
    <w:uiPriority w:val="99"/>
    <w:semiHidden/>
    <w:unhideWhenUsed/>
    <w:rsid w:val="007C62F4"/>
    <w:pPr>
      <w:spacing w:before="100" w:beforeAutospacing="1" w:after="100" w:afterAutospacing="1"/>
    </w:pPr>
  </w:style>
  <w:style w:type="character" w:styleId="Strong">
    <w:name w:val="Strong"/>
    <w:basedOn w:val="DefaultParagraphFont"/>
    <w:uiPriority w:val="22"/>
    <w:qFormat/>
    <w:rsid w:val="007C62F4"/>
    <w:rPr>
      <w:b/>
      <w:bCs/>
    </w:rPr>
  </w:style>
  <w:style w:type="character" w:customStyle="1" w:styleId="apple-converted-space">
    <w:name w:val="apple-converted-space"/>
    <w:basedOn w:val="DefaultParagraphFont"/>
    <w:rsid w:val="007C62F4"/>
  </w:style>
  <w:style w:type="character" w:styleId="Emphasis">
    <w:name w:val="Emphasis"/>
    <w:basedOn w:val="DefaultParagraphFont"/>
    <w:uiPriority w:val="20"/>
    <w:qFormat/>
    <w:rsid w:val="007C62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858-018-0097-5" TargetMode="External"/><Relationship Id="rId3" Type="http://schemas.openxmlformats.org/officeDocument/2006/relationships/webSettings" Target="webSettings.xml"/><Relationship Id="rId7" Type="http://schemas.openxmlformats.org/officeDocument/2006/relationships/hyperlink" Target="https://doi.org/10.1007/s12192-016-069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390/genes12050623" TargetMode="External"/><Relationship Id="rId11" Type="http://schemas.openxmlformats.org/officeDocument/2006/relationships/theme" Target="theme/theme1.xml"/><Relationship Id="rId5" Type="http://schemas.openxmlformats.org/officeDocument/2006/relationships/hyperlink" Target="https://doi.org/10.1101/037598" TargetMode="External"/><Relationship Id="rId10" Type="http://schemas.openxmlformats.org/officeDocument/2006/relationships/fontTable" Target="fontTable.xml"/><Relationship Id="rId4" Type="http://schemas.openxmlformats.org/officeDocument/2006/relationships/hyperlink" Target="https://doi.org/10.1371/journal.pone.0034745" TargetMode="Externa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Sularz</dc:creator>
  <cp:keywords/>
  <dc:description/>
  <cp:lastModifiedBy>Sage Sularz</cp:lastModifiedBy>
  <cp:revision>3</cp:revision>
  <dcterms:created xsi:type="dcterms:W3CDTF">2024-11-11T14:45:00Z</dcterms:created>
  <dcterms:modified xsi:type="dcterms:W3CDTF">2024-12-03T17:48:00Z</dcterms:modified>
</cp:coreProperties>
</file>