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F1934" w14:textId="77777777" w:rsidR="007C62F4" w:rsidRPr="007977BA" w:rsidRDefault="007C62F4" w:rsidP="007C62F4">
      <w:pPr>
        <w:rPr>
          <w:sz w:val="22"/>
          <w:szCs w:val="22"/>
        </w:rPr>
      </w:pPr>
      <w:r w:rsidRPr="007977BA">
        <w:rPr>
          <w:sz w:val="22"/>
          <w:szCs w:val="22"/>
        </w:rPr>
        <w:t>Sage Sularz</w:t>
      </w:r>
    </w:p>
    <w:p w14:paraId="725695B0" w14:textId="77777777" w:rsidR="007C62F4" w:rsidRPr="007977BA" w:rsidRDefault="007C62F4" w:rsidP="007C62F4">
      <w:pPr>
        <w:rPr>
          <w:sz w:val="22"/>
          <w:szCs w:val="22"/>
        </w:rPr>
      </w:pPr>
      <w:r w:rsidRPr="007977BA">
        <w:rPr>
          <w:sz w:val="22"/>
          <w:szCs w:val="22"/>
        </w:rPr>
        <w:t xml:space="preserve">Comparative Physiology </w:t>
      </w:r>
    </w:p>
    <w:p w14:paraId="7EB96ACF" w14:textId="77777777" w:rsidR="007C62F4" w:rsidRPr="007977BA" w:rsidRDefault="007C62F4" w:rsidP="007C62F4">
      <w:pPr>
        <w:rPr>
          <w:sz w:val="22"/>
          <w:szCs w:val="22"/>
        </w:rPr>
      </w:pPr>
      <w:r w:rsidRPr="007977BA">
        <w:rPr>
          <w:sz w:val="22"/>
          <w:szCs w:val="22"/>
        </w:rPr>
        <w:t xml:space="preserve">Fall 2024 </w:t>
      </w:r>
    </w:p>
    <w:p w14:paraId="2A437A5E" w14:textId="77777777" w:rsidR="007C62F4" w:rsidRPr="007977BA" w:rsidRDefault="007C62F4" w:rsidP="007C62F4">
      <w:pPr>
        <w:jc w:val="center"/>
        <w:rPr>
          <w:sz w:val="22"/>
          <w:szCs w:val="22"/>
        </w:rPr>
      </w:pPr>
      <w:r w:rsidRPr="007977BA">
        <w:rPr>
          <w:sz w:val="22"/>
          <w:szCs w:val="22"/>
        </w:rPr>
        <w:t>Effect of Genotype, Life-Stage and Temperature on Oxidative Stress</w:t>
      </w:r>
    </w:p>
    <w:p w14:paraId="5153F2CF" w14:textId="77777777" w:rsidR="007C62F4" w:rsidRDefault="007C62F4" w:rsidP="007C62F4">
      <w:pPr>
        <w:rPr>
          <w:i/>
          <w:iCs/>
        </w:rPr>
      </w:pPr>
      <w:r>
        <w:rPr>
          <w:i/>
          <w:iCs/>
        </w:rPr>
        <w:t>Discussion</w:t>
      </w:r>
    </w:p>
    <w:p w14:paraId="6140A411" w14:textId="77777777" w:rsidR="007C62F4" w:rsidRDefault="007C62F4" w:rsidP="007C62F4">
      <w:pPr>
        <w:rPr>
          <w:i/>
          <w:iCs/>
        </w:rPr>
      </w:pPr>
    </w:p>
    <w:p w14:paraId="2E752563" w14:textId="77777777" w:rsidR="007C62F4" w:rsidRDefault="007C62F4" w:rsidP="007C62F4"/>
    <w:p w14:paraId="6AE24295" w14:textId="77777777" w:rsidR="007C62F4" w:rsidRDefault="007C62F4" w:rsidP="007C62F4">
      <w:r>
        <w:t>Figures</w:t>
      </w:r>
    </w:p>
    <w:p w14:paraId="2F9638F8" w14:textId="61FABAEF" w:rsidR="007C62F4" w:rsidRDefault="007C62F4" w:rsidP="007C62F4">
      <w:r>
        <w:rPr>
          <w:noProof/>
        </w:rPr>
        <w:drawing>
          <wp:anchor distT="0" distB="0" distL="114300" distR="114300" simplePos="0" relativeHeight="251659264" behindDoc="1" locked="0" layoutInCell="1" allowOverlap="1" wp14:anchorId="52B88014" wp14:editId="0B165E21">
            <wp:simplePos x="0" y="0"/>
            <wp:positionH relativeFrom="column">
              <wp:posOffset>-285136</wp:posOffset>
            </wp:positionH>
            <wp:positionV relativeFrom="paragraph">
              <wp:posOffset>209284</wp:posOffset>
            </wp:positionV>
            <wp:extent cx="6469626" cy="4696700"/>
            <wp:effectExtent l="0" t="0" r="0" b="2540"/>
            <wp:wrapTight wrapText="bothSides">
              <wp:wrapPolygon edited="0">
                <wp:start x="0" y="0"/>
                <wp:lineTo x="0" y="21553"/>
                <wp:lineTo x="21541" y="21553"/>
                <wp:lineTo x="21541" y="0"/>
                <wp:lineTo x="0" y="0"/>
              </wp:wrapPolygon>
            </wp:wrapTight>
            <wp:docPr id="56030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5890" name="Picture 560305890"/>
                    <pic:cNvPicPr/>
                  </pic:nvPicPr>
                  <pic:blipFill>
                    <a:blip r:embed="rId4"/>
                    <a:stretch>
                      <a:fillRect/>
                    </a:stretch>
                  </pic:blipFill>
                  <pic:spPr>
                    <a:xfrm>
                      <a:off x="0" y="0"/>
                      <a:ext cx="6469626" cy="4696700"/>
                    </a:xfrm>
                    <a:prstGeom prst="rect">
                      <a:avLst/>
                    </a:prstGeom>
                  </pic:spPr>
                </pic:pic>
              </a:graphicData>
            </a:graphic>
            <wp14:sizeRelH relativeFrom="page">
              <wp14:pctWidth>0</wp14:pctWidth>
            </wp14:sizeRelH>
            <wp14:sizeRelV relativeFrom="page">
              <wp14:pctHeight>0</wp14:pctHeight>
            </wp14:sizeRelV>
          </wp:anchor>
        </w:drawing>
      </w:r>
    </w:p>
    <w:p w14:paraId="1D47578B" w14:textId="05212D38" w:rsidR="007C62F4" w:rsidRDefault="007C62F4" w:rsidP="007C62F4">
      <w:pPr>
        <w:ind w:left="720" w:hanging="720"/>
      </w:pPr>
      <w:r w:rsidRPr="0032708A">
        <w:rPr>
          <w:rFonts w:eastAsiaTheme="majorEastAsia"/>
          <w:i/>
          <w:iCs/>
        </w:rPr>
        <w:t xml:space="preserve">Figure </w:t>
      </w:r>
      <w:r w:rsidRPr="0032708A">
        <w:rPr>
          <w:i/>
          <w:iCs/>
        </w:rPr>
        <w:t>1</w:t>
      </w:r>
      <w:r w:rsidRPr="0032708A">
        <w:rPr>
          <w:rFonts w:eastAsiaTheme="majorEastAsia"/>
          <w:i/>
          <w:iCs/>
        </w:rPr>
        <w:t>: </w:t>
      </w:r>
      <w:r w:rsidRPr="0032708A">
        <w:rPr>
          <w:i/>
          <w:iCs/>
        </w:rPr>
        <w:t xml:space="preserve">Box plots showing catalase activity (I.U./mg) in different experimental groups based on life stage, genotype, and temperature treatments. In the first plot, a significant effect of life stage on catalase activity was observed (p = 0.020), with higher activity in one stage over the other, as indicated by the ANOVA. Genotype and the interaction between life stage and genotype were not significant (p &gt; 0.05). In the second plot, neither temperature treatment nor genotype showed significant effects on catalase activity. </w:t>
      </w:r>
    </w:p>
    <w:p w14:paraId="28AADAD0" w14:textId="77777777" w:rsidR="007C62F4" w:rsidRDefault="007C62F4" w:rsidP="007C62F4">
      <w:pPr>
        <w:ind w:left="720" w:hanging="720"/>
      </w:pPr>
    </w:p>
    <w:p w14:paraId="54F63C4C" w14:textId="77777777" w:rsidR="007C62F4" w:rsidRPr="0032708A" w:rsidRDefault="007C62F4" w:rsidP="007C62F4">
      <w:pPr>
        <w:rPr>
          <w:rFonts w:asciiTheme="majorHAnsi" w:hAnsiTheme="majorHAnsi"/>
          <w:sz w:val="28"/>
          <w:szCs w:val="28"/>
        </w:rPr>
      </w:pPr>
      <w:r w:rsidRPr="0032708A">
        <w:rPr>
          <w:rFonts w:asciiTheme="majorHAnsi" w:hAnsiTheme="majorHAnsi"/>
          <w:sz w:val="28"/>
          <w:szCs w:val="28"/>
        </w:rPr>
        <w:t>Life Stage Analysis</w:t>
      </w:r>
    </w:p>
    <w:tbl>
      <w:tblPr>
        <w:tblStyle w:val="PlainTable1"/>
        <w:tblW w:w="9519" w:type="dxa"/>
        <w:tblLook w:val="04A0" w:firstRow="1" w:lastRow="0" w:firstColumn="1" w:lastColumn="0" w:noHBand="0" w:noVBand="1"/>
      </w:tblPr>
      <w:tblGrid>
        <w:gridCol w:w="2155"/>
        <w:gridCol w:w="1260"/>
        <w:gridCol w:w="1440"/>
        <w:gridCol w:w="1710"/>
        <w:gridCol w:w="1550"/>
        <w:gridCol w:w="1404"/>
      </w:tblGrid>
      <w:tr w:rsidR="007C62F4" w:rsidRPr="0032708A" w14:paraId="53B838F2" w14:textId="77777777" w:rsidTr="0063043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574106C" w14:textId="77777777" w:rsidR="007C62F4" w:rsidRPr="0032708A" w:rsidRDefault="007C62F4" w:rsidP="0063043A">
            <w:pPr>
              <w:rPr>
                <w:rFonts w:asciiTheme="minorHAnsi" w:hAnsiTheme="minorHAnsi"/>
                <w:b w:val="0"/>
                <w:bCs w:val="0"/>
              </w:rPr>
            </w:pPr>
          </w:p>
          <w:p w14:paraId="50A6A66C" w14:textId="77777777" w:rsidR="007C62F4" w:rsidRPr="0032708A" w:rsidRDefault="007C62F4" w:rsidP="0063043A">
            <w:pPr>
              <w:jc w:val="center"/>
              <w:rPr>
                <w:rFonts w:asciiTheme="minorHAnsi" w:hAnsiTheme="minorHAnsi"/>
                <w:b w:val="0"/>
                <w:bCs w:val="0"/>
              </w:rPr>
            </w:pPr>
          </w:p>
          <w:p w14:paraId="244B5700" w14:textId="77777777" w:rsidR="007C62F4" w:rsidRPr="005B7D8A" w:rsidRDefault="007C62F4" w:rsidP="0063043A">
            <w:pPr>
              <w:rPr>
                <w:rFonts w:asciiTheme="minorHAnsi" w:hAnsiTheme="minorHAnsi"/>
                <w:b w:val="0"/>
                <w:bCs w:val="0"/>
              </w:rPr>
            </w:pPr>
          </w:p>
        </w:tc>
        <w:tc>
          <w:tcPr>
            <w:tcW w:w="1260" w:type="dxa"/>
            <w:hideMark/>
          </w:tcPr>
          <w:p w14:paraId="795565B3"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roofErr w:type="spellStart"/>
            <w:r w:rsidRPr="005B7D8A">
              <w:rPr>
                <w:rFonts w:asciiTheme="minorHAnsi" w:hAnsiTheme="minorHAnsi"/>
                <w:b w:val="0"/>
                <w:bCs w:val="0"/>
              </w:rPr>
              <w:t>Df</w:t>
            </w:r>
            <w:proofErr w:type="spellEnd"/>
          </w:p>
        </w:tc>
        <w:tc>
          <w:tcPr>
            <w:tcW w:w="1440" w:type="dxa"/>
            <w:hideMark/>
          </w:tcPr>
          <w:p w14:paraId="5C2B87E6"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Sum Sq</w:t>
            </w:r>
          </w:p>
        </w:tc>
        <w:tc>
          <w:tcPr>
            <w:tcW w:w="1710" w:type="dxa"/>
            <w:hideMark/>
          </w:tcPr>
          <w:p w14:paraId="0D0976C6"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Mean Sq</w:t>
            </w:r>
          </w:p>
        </w:tc>
        <w:tc>
          <w:tcPr>
            <w:tcW w:w="1550" w:type="dxa"/>
            <w:hideMark/>
          </w:tcPr>
          <w:p w14:paraId="3F1E32D7"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F value</w:t>
            </w:r>
          </w:p>
        </w:tc>
        <w:tc>
          <w:tcPr>
            <w:tcW w:w="1404" w:type="dxa"/>
            <w:hideMark/>
          </w:tcPr>
          <w:p w14:paraId="049142B1"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roofErr w:type="spellStart"/>
            <w:r w:rsidRPr="005B7D8A">
              <w:rPr>
                <w:rFonts w:asciiTheme="minorHAnsi" w:hAnsiTheme="minorHAnsi"/>
                <w:b w:val="0"/>
                <w:bCs w:val="0"/>
              </w:rPr>
              <w:t>Pr</w:t>
            </w:r>
            <w:proofErr w:type="spellEnd"/>
            <w:r w:rsidRPr="005B7D8A">
              <w:rPr>
                <w:rFonts w:asciiTheme="minorHAnsi" w:hAnsiTheme="minorHAnsi"/>
                <w:b w:val="0"/>
                <w:bCs w:val="0"/>
              </w:rPr>
              <w:t>(&gt;F)</w:t>
            </w:r>
          </w:p>
        </w:tc>
      </w:tr>
      <w:tr w:rsidR="007C62F4" w:rsidRPr="0032708A" w14:paraId="0DC0716D" w14:textId="77777777" w:rsidTr="0063043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5D6D820A" w14:textId="77777777" w:rsidR="007C62F4" w:rsidRPr="005B7D8A" w:rsidRDefault="007C62F4" w:rsidP="0063043A">
            <w:pPr>
              <w:spacing w:line="360" w:lineRule="auto"/>
              <w:rPr>
                <w:rFonts w:asciiTheme="minorHAnsi" w:hAnsiTheme="minorHAnsi"/>
                <w:b w:val="0"/>
                <w:bCs w:val="0"/>
              </w:rPr>
            </w:pPr>
            <w:r w:rsidRPr="0032708A">
              <w:rPr>
                <w:rFonts w:asciiTheme="minorHAnsi" w:hAnsiTheme="minorHAnsi"/>
                <w:b w:val="0"/>
                <w:bCs w:val="0"/>
              </w:rPr>
              <w:lastRenderedPageBreak/>
              <w:t>Life S.</w:t>
            </w:r>
          </w:p>
        </w:tc>
        <w:tc>
          <w:tcPr>
            <w:tcW w:w="1260" w:type="dxa"/>
            <w:hideMark/>
          </w:tcPr>
          <w:p w14:paraId="4D22A993"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45D0547A"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1.38</w:t>
            </w:r>
          </w:p>
        </w:tc>
        <w:tc>
          <w:tcPr>
            <w:tcW w:w="1710" w:type="dxa"/>
            <w:hideMark/>
          </w:tcPr>
          <w:p w14:paraId="6445B19F"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1.3752</w:t>
            </w:r>
          </w:p>
        </w:tc>
        <w:tc>
          <w:tcPr>
            <w:tcW w:w="1550" w:type="dxa"/>
            <w:hideMark/>
          </w:tcPr>
          <w:p w14:paraId="60BC10C7"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5.54</w:t>
            </w:r>
          </w:p>
        </w:tc>
        <w:tc>
          <w:tcPr>
            <w:tcW w:w="1404" w:type="dxa"/>
            <w:hideMark/>
          </w:tcPr>
          <w:p w14:paraId="29DC9157"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0.02</w:t>
            </w:r>
          </w:p>
        </w:tc>
      </w:tr>
      <w:tr w:rsidR="007C62F4" w:rsidRPr="0032708A" w14:paraId="7EF58E97"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2ACC2CA1" w14:textId="77777777" w:rsidR="007C62F4" w:rsidRPr="005B7D8A" w:rsidRDefault="007C62F4" w:rsidP="0063043A">
            <w:pPr>
              <w:spacing w:line="360" w:lineRule="auto"/>
              <w:rPr>
                <w:rFonts w:asciiTheme="minorHAnsi" w:hAnsiTheme="minorHAnsi"/>
                <w:b w:val="0"/>
                <w:bCs w:val="0"/>
              </w:rPr>
            </w:pPr>
            <w:r w:rsidRPr="0032708A">
              <w:rPr>
                <w:rFonts w:asciiTheme="minorHAnsi" w:hAnsiTheme="minorHAnsi"/>
                <w:b w:val="0"/>
                <w:bCs w:val="0"/>
              </w:rPr>
              <w:t>G</w:t>
            </w:r>
            <w:r w:rsidRPr="005B7D8A">
              <w:rPr>
                <w:rFonts w:asciiTheme="minorHAnsi" w:hAnsiTheme="minorHAnsi"/>
                <w:b w:val="0"/>
                <w:bCs w:val="0"/>
              </w:rPr>
              <w:t>enotype</w:t>
            </w:r>
          </w:p>
        </w:tc>
        <w:tc>
          <w:tcPr>
            <w:tcW w:w="1260" w:type="dxa"/>
            <w:hideMark/>
          </w:tcPr>
          <w:p w14:paraId="75D8E1A5"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1C5569E2"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0.23</w:t>
            </w:r>
          </w:p>
        </w:tc>
        <w:tc>
          <w:tcPr>
            <w:tcW w:w="1710" w:type="dxa"/>
            <w:hideMark/>
          </w:tcPr>
          <w:p w14:paraId="13CBCF02"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0.2274</w:t>
            </w:r>
          </w:p>
        </w:tc>
        <w:tc>
          <w:tcPr>
            <w:tcW w:w="1550" w:type="dxa"/>
            <w:hideMark/>
          </w:tcPr>
          <w:p w14:paraId="0CD13348"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0.916</w:t>
            </w:r>
          </w:p>
        </w:tc>
        <w:tc>
          <w:tcPr>
            <w:tcW w:w="1404" w:type="dxa"/>
            <w:hideMark/>
          </w:tcPr>
          <w:p w14:paraId="50A9036F"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0.34</w:t>
            </w:r>
          </w:p>
        </w:tc>
      </w:tr>
      <w:tr w:rsidR="007C62F4" w:rsidRPr="0032708A" w14:paraId="41294473" w14:textId="77777777" w:rsidTr="00630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2D6C2BD2" w14:textId="77777777" w:rsidR="007C62F4" w:rsidRPr="005B7D8A" w:rsidRDefault="007C62F4" w:rsidP="0063043A">
            <w:pPr>
              <w:spacing w:line="360" w:lineRule="auto"/>
              <w:rPr>
                <w:rFonts w:asciiTheme="minorHAnsi" w:hAnsiTheme="minorHAnsi"/>
                <w:b w:val="0"/>
                <w:bCs w:val="0"/>
              </w:rPr>
            </w:pPr>
            <w:r w:rsidRPr="0032708A">
              <w:rPr>
                <w:rFonts w:asciiTheme="minorHAnsi" w:hAnsiTheme="minorHAnsi"/>
                <w:b w:val="0"/>
                <w:bCs w:val="0"/>
              </w:rPr>
              <w:t>Life S. ~ G</w:t>
            </w:r>
            <w:r w:rsidRPr="005B7D8A">
              <w:rPr>
                <w:rFonts w:asciiTheme="minorHAnsi" w:hAnsiTheme="minorHAnsi"/>
                <w:b w:val="0"/>
                <w:bCs w:val="0"/>
              </w:rPr>
              <w:t>enotype</w:t>
            </w:r>
          </w:p>
        </w:tc>
        <w:tc>
          <w:tcPr>
            <w:tcW w:w="1260" w:type="dxa"/>
            <w:hideMark/>
          </w:tcPr>
          <w:p w14:paraId="29D9DF99"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2663AEED"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0.42</w:t>
            </w:r>
          </w:p>
        </w:tc>
        <w:tc>
          <w:tcPr>
            <w:tcW w:w="1710" w:type="dxa"/>
            <w:hideMark/>
          </w:tcPr>
          <w:p w14:paraId="593A725E"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0.4228</w:t>
            </w:r>
          </w:p>
        </w:tc>
        <w:tc>
          <w:tcPr>
            <w:tcW w:w="1550" w:type="dxa"/>
            <w:hideMark/>
          </w:tcPr>
          <w:p w14:paraId="324269CC"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1.703</w:t>
            </w:r>
          </w:p>
        </w:tc>
        <w:tc>
          <w:tcPr>
            <w:tcW w:w="1404" w:type="dxa"/>
            <w:hideMark/>
          </w:tcPr>
          <w:p w14:paraId="38E1954C"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0.194</w:t>
            </w:r>
          </w:p>
        </w:tc>
      </w:tr>
      <w:tr w:rsidR="007C62F4" w:rsidRPr="0032708A" w14:paraId="5CBB0585"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6733C053" w14:textId="77777777" w:rsidR="007C62F4" w:rsidRPr="005B7D8A" w:rsidRDefault="007C62F4" w:rsidP="0063043A">
            <w:pPr>
              <w:spacing w:line="360" w:lineRule="auto"/>
              <w:rPr>
                <w:rFonts w:asciiTheme="minorHAnsi" w:hAnsiTheme="minorHAnsi"/>
                <w:b w:val="0"/>
                <w:bCs w:val="0"/>
              </w:rPr>
            </w:pPr>
            <w:r w:rsidRPr="005B7D8A">
              <w:rPr>
                <w:rFonts w:asciiTheme="minorHAnsi" w:hAnsiTheme="minorHAnsi"/>
                <w:b w:val="0"/>
                <w:bCs w:val="0"/>
              </w:rPr>
              <w:t>Residuals</w:t>
            </w:r>
          </w:p>
        </w:tc>
        <w:tc>
          <w:tcPr>
            <w:tcW w:w="1260" w:type="dxa"/>
            <w:hideMark/>
          </w:tcPr>
          <w:p w14:paraId="4766141B"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140</w:t>
            </w:r>
          </w:p>
        </w:tc>
        <w:tc>
          <w:tcPr>
            <w:tcW w:w="1440" w:type="dxa"/>
            <w:hideMark/>
          </w:tcPr>
          <w:p w14:paraId="321E357D"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34.75</w:t>
            </w:r>
          </w:p>
        </w:tc>
        <w:tc>
          <w:tcPr>
            <w:tcW w:w="1710" w:type="dxa"/>
            <w:hideMark/>
          </w:tcPr>
          <w:p w14:paraId="4BF6C28B"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0.2482</w:t>
            </w:r>
          </w:p>
        </w:tc>
        <w:tc>
          <w:tcPr>
            <w:tcW w:w="1550" w:type="dxa"/>
            <w:hideMark/>
          </w:tcPr>
          <w:p w14:paraId="549228EF"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404" w:type="dxa"/>
            <w:hideMark/>
          </w:tcPr>
          <w:p w14:paraId="06393BE2"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DCFB6E8" w14:textId="77777777" w:rsidR="007C62F4" w:rsidRPr="0032708A" w:rsidRDefault="007C62F4" w:rsidP="007C62F4">
      <w:pPr>
        <w:ind w:left="720" w:hanging="720"/>
        <w:rPr>
          <w:i/>
          <w:iCs/>
        </w:rPr>
      </w:pPr>
      <w:r w:rsidRPr="0032708A">
        <w:rPr>
          <w:rFonts w:eastAsiaTheme="majorEastAsia"/>
          <w:i/>
          <w:iCs/>
        </w:rPr>
        <w:t xml:space="preserve">Table </w:t>
      </w:r>
      <w:r w:rsidRPr="0032708A">
        <w:rPr>
          <w:i/>
          <w:iCs/>
        </w:rPr>
        <w:t>1</w:t>
      </w:r>
      <w:r w:rsidRPr="0032708A">
        <w:rPr>
          <w:rFonts w:eastAsiaTheme="majorEastAsia"/>
          <w:i/>
          <w:iCs/>
        </w:rPr>
        <w:t>: </w:t>
      </w:r>
      <w:r w:rsidRPr="0032708A">
        <w:rPr>
          <w:i/>
          <w:iCs/>
        </w:rPr>
        <w:t>Analysis of Variance (ANOVA) summary for the effects of life stage, genotype, and their interaction on the response variable. Degrees of freedom (</w:t>
      </w:r>
      <w:proofErr w:type="spellStart"/>
      <w:r w:rsidRPr="0032708A">
        <w:rPr>
          <w:i/>
          <w:iCs/>
        </w:rPr>
        <w:t>Df</w:t>
      </w:r>
      <w:proofErr w:type="spellEnd"/>
      <w:r w:rsidRPr="0032708A">
        <w:rPr>
          <w:i/>
          <w:iCs/>
        </w:rPr>
        <w:t>), sum of squares (Sum Sq), mean squares (Mean Sq), F-values, and p-values (</w:t>
      </w:r>
      <w:proofErr w:type="spellStart"/>
      <w:r w:rsidRPr="0032708A">
        <w:rPr>
          <w:i/>
          <w:iCs/>
        </w:rPr>
        <w:t>Pr</w:t>
      </w:r>
      <w:proofErr w:type="spellEnd"/>
      <w:r w:rsidRPr="0032708A">
        <w:rPr>
          <w:i/>
          <w:iCs/>
        </w:rPr>
        <w:t>(&gt;F)) are shown for each factor and interaction term. A statistically significant effect of life stage was observed at the 0.05 significance level, with a p-value of 0.020. No significant effects were found for genotype or the life stage and genotype interaction.</w:t>
      </w:r>
    </w:p>
    <w:p w14:paraId="74A891DC" w14:textId="77777777" w:rsidR="007C62F4" w:rsidRDefault="007C62F4" w:rsidP="007C62F4"/>
    <w:p w14:paraId="01F08BE1" w14:textId="77777777" w:rsidR="007C62F4" w:rsidRPr="0032708A" w:rsidRDefault="007C62F4" w:rsidP="007C62F4">
      <w:pPr>
        <w:rPr>
          <w:rFonts w:asciiTheme="majorHAnsi" w:hAnsiTheme="majorHAnsi"/>
          <w:sz w:val="28"/>
          <w:szCs w:val="28"/>
        </w:rPr>
      </w:pPr>
      <w:r>
        <w:rPr>
          <w:rFonts w:asciiTheme="majorHAnsi" w:hAnsiTheme="majorHAnsi"/>
          <w:sz w:val="28"/>
          <w:szCs w:val="28"/>
        </w:rPr>
        <w:t>Heat Shock</w:t>
      </w:r>
      <w:r w:rsidRPr="0032708A">
        <w:rPr>
          <w:rFonts w:asciiTheme="majorHAnsi" w:hAnsiTheme="majorHAnsi"/>
          <w:sz w:val="28"/>
          <w:szCs w:val="28"/>
        </w:rPr>
        <w:t xml:space="preserve"> Analysis</w:t>
      </w:r>
    </w:p>
    <w:tbl>
      <w:tblPr>
        <w:tblStyle w:val="PlainTable1"/>
        <w:tblW w:w="9445" w:type="dxa"/>
        <w:tblLook w:val="04A0" w:firstRow="1" w:lastRow="0" w:firstColumn="1" w:lastColumn="0" w:noHBand="0" w:noVBand="1"/>
      </w:tblPr>
      <w:tblGrid>
        <w:gridCol w:w="2155"/>
        <w:gridCol w:w="1260"/>
        <w:gridCol w:w="1440"/>
        <w:gridCol w:w="1710"/>
        <w:gridCol w:w="1530"/>
        <w:gridCol w:w="1350"/>
      </w:tblGrid>
      <w:tr w:rsidR="007C62F4" w:rsidRPr="005B7D8A" w14:paraId="2FD9DFBB" w14:textId="77777777" w:rsidTr="0063043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432D9E2" w14:textId="77777777" w:rsidR="007C62F4" w:rsidRPr="005B7D8A" w:rsidRDefault="007C62F4" w:rsidP="0063043A">
            <w:pPr>
              <w:spacing w:line="360" w:lineRule="auto"/>
            </w:pPr>
          </w:p>
        </w:tc>
        <w:tc>
          <w:tcPr>
            <w:tcW w:w="1260" w:type="dxa"/>
            <w:hideMark/>
          </w:tcPr>
          <w:p w14:paraId="2DDD6DD9"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pPr>
            <w:proofErr w:type="spellStart"/>
            <w:r w:rsidRPr="005B7D8A">
              <w:t>Df</w:t>
            </w:r>
            <w:proofErr w:type="spellEnd"/>
          </w:p>
        </w:tc>
        <w:tc>
          <w:tcPr>
            <w:tcW w:w="1440" w:type="dxa"/>
            <w:hideMark/>
          </w:tcPr>
          <w:p w14:paraId="22CBF7E5"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pPr>
            <w:r w:rsidRPr="005B7D8A">
              <w:t>Sum Sq</w:t>
            </w:r>
          </w:p>
        </w:tc>
        <w:tc>
          <w:tcPr>
            <w:tcW w:w="1710" w:type="dxa"/>
            <w:hideMark/>
          </w:tcPr>
          <w:p w14:paraId="05F1C4C4"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pPr>
            <w:r w:rsidRPr="005B7D8A">
              <w:t>Mean Sq</w:t>
            </w:r>
          </w:p>
        </w:tc>
        <w:tc>
          <w:tcPr>
            <w:tcW w:w="1530" w:type="dxa"/>
            <w:hideMark/>
          </w:tcPr>
          <w:p w14:paraId="27164C00"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pPr>
            <w:r w:rsidRPr="005B7D8A">
              <w:t>F value</w:t>
            </w:r>
          </w:p>
        </w:tc>
        <w:tc>
          <w:tcPr>
            <w:tcW w:w="1350" w:type="dxa"/>
            <w:hideMark/>
          </w:tcPr>
          <w:p w14:paraId="1D6E69B4" w14:textId="77777777" w:rsidR="007C62F4" w:rsidRPr="005B7D8A" w:rsidRDefault="007C62F4" w:rsidP="0063043A">
            <w:pPr>
              <w:spacing w:line="360" w:lineRule="auto"/>
              <w:cnfStyle w:val="100000000000" w:firstRow="1" w:lastRow="0" w:firstColumn="0" w:lastColumn="0" w:oddVBand="0" w:evenVBand="0" w:oddHBand="0" w:evenHBand="0" w:firstRowFirstColumn="0" w:firstRowLastColumn="0" w:lastRowFirstColumn="0" w:lastRowLastColumn="0"/>
            </w:pPr>
            <w:proofErr w:type="spellStart"/>
            <w:r w:rsidRPr="005B7D8A">
              <w:t>Pr</w:t>
            </w:r>
            <w:proofErr w:type="spellEnd"/>
            <w:r>
              <w:t xml:space="preserve"> </w:t>
            </w:r>
            <w:r w:rsidRPr="005B7D8A">
              <w:t>(&gt;F)</w:t>
            </w:r>
          </w:p>
        </w:tc>
      </w:tr>
      <w:tr w:rsidR="007C62F4" w:rsidRPr="005B7D8A" w14:paraId="39E5DD64" w14:textId="77777777" w:rsidTr="0063043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5468CB65" w14:textId="77777777" w:rsidR="007C62F4" w:rsidRPr="005B7D8A" w:rsidRDefault="007C62F4" w:rsidP="0063043A">
            <w:pPr>
              <w:spacing w:line="360" w:lineRule="auto"/>
            </w:pPr>
            <w:r>
              <w:t>T</w:t>
            </w:r>
            <w:r w:rsidRPr="005B7D8A">
              <w:t>emp</w:t>
            </w:r>
          </w:p>
        </w:tc>
        <w:tc>
          <w:tcPr>
            <w:tcW w:w="1260" w:type="dxa"/>
            <w:hideMark/>
          </w:tcPr>
          <w:p w14:paraId="534FBFF3"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1</w:t>
            </w:r>
          </w:p>
        </w:tc>
        <w:tc>
          <w:tcPr>
            <w:tcW w:w="1440" w:type="dxa"/>
            <w:hideMark/>
          </w:tcPr>
          <w:p w14:paraId="3583BA73"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0.08</w:t>
            </w:r>
          </w:p>
        </w:tc>
        <w:tc>
          <w:tcPr>
            <w:tcW w:w="1710" w:type="dxa"/>
            <w:hideMark/>
          </w:tcPr>
          <w:p w14:paraId="19949A35"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0.07977</w:t>
            </w:r>
          </w:p>
        </w:tc>
        <w:tc>
          <w:tcPr>
            <w:tcW w:w="1530" w:type="dxa"/>
            <w:hideMark/>
          </w:tcPr>
          <w:p w14:paraId="74ECA137"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0.307</w:t>
            </w:r>
          </w:p>
        </w:tc>
        <w:tc>
          <w:tcPr>
            <w:tcW w:w="1350" w:type="dxa"/>
            <w:hideMark/>
          </w:tcPr>
          <w:p w14:paraId="34F1C380"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0.581</w:t>
            </w:r>
          </w:p>
        </w:tc>
      </w:tr>
      <w:tr w:rsidR="007C62F4" w:rsidRPr="005B7D8A" w14:paraId="049FC88C"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426B21A4" w14:textId="77777777" w:rsidR="007C62F4" w:rsidRPr="005B7D8A" w:rsidRDefault="007C62F4" w:rsidP="0063043A">
            <w:pPr>
              <w:spacing w:line="360" w:lineRule="auto"/>
            </w:pPr>
            <w:r>
              <w:t>G</w:t>
            </w:r>
            <w:r w:rsidRPr="005B7D8A">
              <w:t>enotype</w:t>
            </w:r>
          </w:p>
        </w:tc>
        <w:tc>
          <w:tcPr>
            <w:tcW w:w="1260" w:type="dxa"/>
            <w:hideMark/>
          </w:tcPr>
          <w:p w14:paraId="22F66207"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1</w:t>
            </w:r>
          </w:p>
        </w:tc>
        <w:tc>
          <w:tcPr>
            <w:tcW w:w="1440" w:type="dxa"/>
            <w:hideMark/>
          </w:tcPr>
          <w:p w14:paraId="611B6B07"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0.23</w:t>
            </w:r>
          </w:p>
        </w:tc>
        <w:tc>
          <w:tcPr>
            <w:tcW w:w="1710" w:type="dxa"/>
            <w:hideMark/>
          </w:tcPr>
          <w:p w14:paraId="73E5C621"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0.22745</w:t>
            </w:r>
          </w:p>
        </w:tc>
        <w:tc>
          <w:tcPr>
            <w:tcW w:w="1530" w:type="dxa"/>
            <w:hideMark/>
          </w:tcPr>
          <w:p w14:paraId="50EED0FB"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0.874</w:t>
            </w:r>
          </w:p>
        </w:tc>
        <w:tc>
          <w:tcPr>
            <w:tcW w:w="1350" w:type="dxa"/>
            <w:hideMark/>
          </w:tcPr>
          <w:p w14:paraId="74D403B9"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0.351</w:t>
            </w:r>
          </w:p>
        </w:tc>
      </w:tr>
      <w:tr w:rsidR="007C62F4" w:rsidRPr="005B7D8A" w14:paraId="410AAF1E" w14:textId="77777777" w:rsidTr="00630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0DD4B66" w14:textId="77777777" w:rsidR="007C62F4" w:rsidRPr="005B7D8A" w:rsidRDefault="007C62F4" w:rsidP="0063043A">
            <w:pPr>
              <w:spacing w:line="360" w:lineRule="auto"/>
            </w:pPr>
            <w:r>
              <w:t>T</w:t>
            </w:r>
            <w:r w:rsidRPr="005B7D8A">
              <w:t>emp</w:t>
            </w:r>
            <w:r>
              <w:t xml:space="preserve"> ~ G</w:t>
            </w:r>
            <w:r w:rsidRPr="005B7D8A">
              <w:t>enotype</w:t>
            </w:r>
          </w:p>
        </w:tc>
        <w:tc>
          <w:tcPr>
            <w:tcW w:w="1260" w:type="dxa"/>
            <w:hideMark/>
          </w:tcPr>
          <w:p w14:paraId="44A245CC"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1</w:t>
            </w:r>
          </w:p>
        </w:tc>
        <w:tc>
          <w:tcPr>
            <w:tcW w:w="1440" w:type="dxa"/>
            <w:hideMark/>
          </w:tcPr>
          <w:p w14:paraId="205C705D"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0.05</w:t>
            </w:r>
          </w:p>
        </w:tc>
        <w:tc>
          <w:tcPr>
            <w:tcW w:w="1710" w:type="dxa"/>
            <w:hideMark/>
          </w:tcPr>
          <w:p w14:paraId="154F6925"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0.05366</w:t>
            </w:r>
          </w:p>
        </w:tc>
        <w:tc>
          <w:tcPr>
            <w:tcW w:w="1530" w:type="dxa"/>
            <w:hideMark/>
          </w:tcPr>
          <w:p w14:paraId="22815D40"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0.206</w:t>
            </w:r>
          </w:p>
        </w:tc>
        <w:tc>
          <w:tcPr>
            <w:tcW w:w="1350" w:type="dxa"/>
            <w:hideMark/>
          </w:tcPr>
          <w:p w14:paraId="57E32B8D" w14:textId="77777777" w:rsidR="007C62F4" w:rsidRPr="005B7D8A" w:rsidRDefault="007C62F4" w:rsidP="0063043A">
            <w:pPr>
              <w:spacing w:line="360" w:lineRule="auto"/>
              <w:cnfStyle w:val="000000100000" w:firstRow="0" w:lastRow="0" w:firstColumn="0" w:lastColumn="0" w:oddVBand="0" w:evenVBand="0" w:oddHBand="1" w:evenHBand="0" w:firstRowFirstColumn="0" w:firstRowLastColumn="0" w:lastRowFirstColumn="0" w:lastRowLastColumn="0"/>
            </w:pPr>
            <w:r w:rsidRPr="005B7D8A">
              <w:t>0.65</w:t>
            </w:r>
          </w:p>
        </w:tc>
      </w:tr>
      <w:tr w:rsidR="007C62F4" w:rsidRPr="005B7D8A" w14:paraId="718E901C"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51ECE525" w14:textId="77777777" w:rsidR="007C62F4" w:rsidRPr="005B7D8A" w:rsidRDefault="007C62F4" w:rsidP="0063043A">
            <w:pPr>
              <w:spacing w:line="360" w:lineRule="auto"/>
            </w:pPr>
            <w:r w:rsidRPr="005B7D8A">
              <w:t>Residuals</w:t>
            </w:r>
          </w:p>
        </w:tc>
        <w:tc>
          <w:tcPr>
            <w:tcW w:w="1260" w:type="dxa"/>
            <w:hideMark/>
          </w:tcPr>
          <w:p w14:paraId="081F8EB7"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140</w:t>
            </w:r>
          </w:p>
        </w:tc>
        <w:tc>
          <w:tcPr>
            <w:tcW w:w="1440" w:type="dxa"/>
            <w:hideMark/>
          </w:tcPr>
          <w:p w14:paraId="3DB2C6E4"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36.42</w:t>
            </w:r>
          </w:p>
        </w:tc>
        <w:tc>
          <w:tcPr>
            <w:tcW w:w="1710" w:type="dxa"/>
            <w:hideMark/>
          </w:tcPr>
          <w:p w14:paraId="0E84EC74"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r w:rsidRPr="005B7D8A">
              <w:t>0.26013</w:t>
            </w:r>
          </w:p>
        </w:tc>
        <w:tc>
          <w:tcPr>
            <w:tcW w:w="1530" w:type="dxa"/>
            <w:hideMark/>
          </w:tcPr>
          <w:p w14:paraId="1C6FC688"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p>
        </w:tc>
        <w:tc>
          <w:tcPr>
            <w:tcW w:w="1350" w:type="dxa"/>
            <w:hideMark/>
          </w:tcPr>
          <w:p w14:paraId="071FFF37" w14:textId="77777777" w:rsidR="007C62F4" w:rsidRPr="005B7D8A" w:rsidRDefault="007C62F4" w:rsidP="0063043A">
            <w:pPr>
              <w:spacing w:line="360" w:lineRule="auto"/>
              <w:cnfStyle w:val="000000000000" w:firstRow="0" w:lastRow="0" w:firstColumn="0" w:lastColumn="0" w:oddVBand="0" w:evenVBand="0" w:oddHBand="0" w:evenHBand="0" w:firstRowFirstColumn="0" w:firstRowLastColumn="0" w:lastRowFirstColumn="0" w:lastRowLastColumn="0"/>
            </w:pPr>
          </w:p>
        </w:tc>
      </w:tr>
    </w:tbl>
    <w:p w14:paraId="053B65AE" w14:textId="77777777" w:rsidR="007C62F4" w:rsidRPr="0032708A" w:rsidRDefault="007C62F4" w:rsidP="007C62F4">
      <w:pPr>
        <w:ind w:left="720" w:hanging="720"/>
        <w:rPr>
          <w:i/>
          <w:iCs/>
        </w:rPr>
      </w:pPr>
      <w:r w:rsidRPr="0032708A">
        <w:rPr>
          <w:rFonts w:eastAsiaTheme="majorEastAsia"/>
          <w:i/>
          <w:iCs/>
        </w:rPr>
        <w:t xml:space="preserve">Table </w:t>
      </w:r>
      <w:r w:rsidRPr="0032708A">
        <w:rPr>
          <w:i/>
          <w:iCs/>
        </w:rPr>
        <w:t>2</w:t>
      </w:r>
      <w:r w:rsidRPr="0032708A">
        <w:rPr>
          <w:rFonts w:eastAsiaTheme="majorEastAsia"/>
          <w:i/>
          <w:iCs/>
        </w:rPr>
        <w:t>: </w:t>
      </w:r>
      <w:r w:rsidRPr="0032708A">
        <w:rPr>
          <w:i/>
          <w:iCs/>
        </w:rPr>
        <w:t>Analysis of Variance (ANOVA) summary for the effects of temperature (temp), genotype, and their interaction on the response variable. Degrees of freedom (</w:t>
      </w:r>
      <w:proofErr w:type="spellStart"/>
      <w:r w:rsidRPr="0032708A">
        <w:rPr>
          <w:i/>
          <w:iCs/>
        </w:rPr>
        <w:t>Df</w:t>
      </w:r>
      <w:proofErr w:type="spellEnd"/>
      <w:r w:rsidRPr="0032708A">
        <w:rPr>
          <w:i/>
          <w:iCs/>
        </w:rPr>
        <w:t>), sum of squares (Sum Sq), mean squares (Mean Sq), F-values, and p-values (</w:t>
      </w:r>
      <w:proofErr w:type="spellStart"/>
      <w:r w:rsidRPr="0032708A">
        <w:rPr>
          <w:i/>
          <w:iCs/>
        </w:rPr>
        <w:t>Pr</w:t>
      </w:r>
      <w:proofErr w:type="spellEnd"/>
      <w:r w:rsidRPr="0032708A">
        <w:rPr>
          <w:i/>
          <w:iCs/>
        </w:rPr>
        <w:t>(&gt;F)) are presented for each factor and interaction term. No statistically significant effects were observed at a 0.05 significance level.</w:t>
      </w:r>
    </w:p>
    <w:p w14:paraId="5AE7753F" w14:textId="77777777" w:rsidR="007C62F4" w:rsidRPr="007C62F4" w:rsidRDefault="007C62F4" w:rsidP="007C62F4"/>
    <w:p w14:paraId="1FB64513" w14:textId="77777777" w:rsidR="007C62F4" w:rsidRDefault="007C62F4" w:rsidP="007C62F4">
      <w:pPr>
        <w:rPr>
          <w:i/>
          <w:iCs/>
        </w:rPr>
      </w:pPr>
    </w:p>
    <w:p w14:paraId="6C7939F2" w14:textId="77777777" w:rsidR="007C62F4" w:rsidRPr="007C62F4" w:rsidRDefault="007C62F4" w:rsidP="007C62F4">
      <w:pPr>
        <w:rPr>
          <w:i/>
          <w:iCs/>
        </w:rPr>
      </w:pPr>
    </w:p>
    <w:p w14:paraId="79BA22AA" w14:textId="390823EA" w:rsidR="007C62F4" w:rsidRDefault="007C62F4" w:rsidP="007C62F4">
      <w:r w:rsidRPr="007C62F4">
        <w:t>Literature Cited</w:t>
      </w:r>
      <w:r w:rsidRPr="007C62F4">
        <w:t xml:space="preserve"> </w:t>
      </w:r>
    </w:p>
    <w:p w14:paraId="7B60450D" w14:textId="77777777" w:rsidR="007C62F4" w:rsidRDefault="007C62F4" w:rsidP="007C62F4"/>
    <w:p w14:paraId="2673B224" w14:textId="77777777" w:rsidR="007C62F4" w:rsidRDefault="007C62F4" w:rsidP="007C62F4">
      <w:pPr>
        <w:ind w:left="720" w:hanging="720"/>
        <w:contextualSpacing/>
        <w:rPr>
          <w:sz w:val="22"/>
          <w:szCs w:val="22"/>
        </w:rPr>
      </w:pPr>
      <w:r w:rsidRPr="00F959C6">
        <w:rPr>
          <w:sz w:val="22"/>
          <w:szCs w:val="22"/>
        </w:rPr>
        <w:t xml:space="preserve">Weber, A. L., Khan, G. F., </w:t>
      </w:r>
      <w:proofErr w:type="spellStart"/>
      <w:r w:rsidRPr="00F959C6">
        <w:rPr>
          <w:sz w:val="22"/>
          <w:szCs w:val="22"/>
        </w:rPr>
        <w:t>Magwire</w:t>
      </w:r>
      <w:proofErr w:type="spellEnd"/>
      <w:r w:rsidRPr="00F959C6">
        <w:rPr>
          <w:sz w:val="22"/>
          <w:szCs w:val="22"/>
        </w:rPr>
        <w:t xml:space="preserve">, M. M., Tabor, C. L., Mackay, T. F. C., &amp; </w:t>
      </w:r>
      <w:proofErr w:type="spellStart"/>
      <w:r w:rsidRPr="00F959C6">
        <w:rPr>
          <w:sz w:val="22"/>
          <w:szCs w:val="22"/>
        </w:rPr>
        <w:t>Anholt</w:t>
      </w:r>
      <w:proofErr w:type="spellEnd"/>
      <w:r w:rsidRPr="00F959C6">
        <w:rPr>
          <w:sz w:val="22"/>
          <w:szCs w:val="22"/>
        </w:rPr>
        <w:t>, R. R. H. (2012). Genome-wide association analysis of oxidative stress resistance in</w:t>
      </w:r>
      <w:r w:rsidRPr="00F959C6">
        <w:rPr>
          <w:rFonts w:eastAsiaTheme="majorEastAsia"/>
          <w:sz w:val="22"/>
          <w:szCs w:val="22"/>
        </w:rPr>
        <w:t> </w:t>
      </w:r>
      <w:r w:rsidRPr="00F959C6">
        <w:rPr>
          <w:rFonts w:eastAsiaTheme="majorEastAsia"/>
          <w:i/>
          <w:iCs/>
          <w:sz w:val="22"/>
          <w:szCs w:val="22"/>
        </w:rPr>
        <w:t>Drosophila melanogaster</w:t>
      </w:r>
      <w:r w:rsidRPr="00F959C6">
        <w:rPr>
          <w:sz w:val="22"/>
          <w:szCs w:val="22"/>
        </w:rPr>
        <w:t>.</w:t>
      </w:r>
      <w:r w:rsidRPr="00F959C6">
        <w:rPr>
          <w:rFonts w:eastAsiaTheme="majorEastAsia"/>
          <w:sz w:val="22"/>
          <w:szCs w:val="22"/>
        </w:rPr>
        <w:t> </w:t>
      </w:r>
      <w:r w:rsidRPr="00F959C6">
        <w:rPr>
          <w:rFonts w:eastAsiaTheme="majorEastAsia"/>
          <w:i/>
          <w:iCs/>
          <w:sz w:val="22"/>
          <w:szCs w:val="22"/>
        </w:rPr>
        <w:t>PLOS ONE, 7</w:t>
      </w:r>
      <w:r w:rsidRPr="00F959C6">
        <w:rPr>
          <w:sz w:val="22"/>
          <w:szCs w:val="22"/>
        </w:rPr>
        <w:t>(4), e34745.</w:t>
      </w:r>
      <w:r w:rsidRPr="00F959C6">
        <w:rPr>
          <w:rFonts w:eastAsiaTheme="majorEastAsia"/>
          <w:sz w:val="22"/>
          <w:szCs w:val="22"/>
        </w:rPr>
        <w:t> </w:t>
      </w:r>
      <w:hyperlink r:id="rId5" w:tgtFrame="_new" w:history="1">
        <w:r w:rsidRPr="00F959C6">
          <w:rPr>
            <w:rStyle w:val="Hyperlink"/>
            <w:rFonts w:eastAsiaTheme="majorEastAsia"/>
            <w:sz w:val="22"/>
            <w:szCs w:val="22"/>
          </w:rPr>
          <w:t>https://doi.org/10.1371/journal.pone.0034745</w:t>
        </w:r>
      </w:hyperlink>
    </w:p>
    <w:p w14:paraId="3F85CE9E" w14:textId="77777777" w:rsidR="007C62F4" w:rsidRPr="00F959C6" w:rsidRDefault="007C62F4" w:rsidP="007C62F4">
      <w:pPr>
        <w:ind w:left="720" w:hanging="720"/>
        <w:contextualSpacing/>
        <w:rPr>
          <w:sz w:val="22"/>
          <w:szCs w:val="22"/>
        </w:rPr>
      </w:pPr>
    </w:p>
    <w:p w14:paraId="0B545E71" w14:textId="332F6CC0" w:rsidR="007C62F4" w:rsidRDefault="007C62F4" w:rsidP="007C62F4">
      <w:pPr>
        <w:ind w:left="720" w:hanging="720"/>
        <w:contextualSpacing/>
        <w:rPr>
          <w:sz w:val="22"/>
          <w:szCs w:val="22"/>
        </w:rPr>
      </w:pPr>
      <w:proofErr w:type="spellStart"/>
      <w:r w:rsidRPr="00F959C6">
        <w:rPr>
          <w:sz w:val="22"/>
          <w:szCs w:val="22"/>
        </w:rPr>
        <w:t>Guio</w:t>
      </w:r>
      <w:proofErr w:type="spellEnd"/>
      <w:r w:rsidRPr="00F959C6">
        <w:rPr>
          <w:sz w:val="22"/>
          <w:szCs w:val="22"/>
        </w:rPr>
        <w:t>, L. (201</w:t>
      </w:r>
      <w:r>
        <w:rPr>
          <w:sz w:val="22"/>
          <w:szCs w:val="22"/>
        </w:rPr>
        <w:t>8</w:t>
      </w:r>
      <w:r w:rsidRPr="00F959C6">
        <w:rPr>
          <w:sz w:val="22"/>
          <w:szCs w:val="22"/>
        </w:rPr>
        <w:t>). Stress affects the epigenetic marks added by Bari-</w:t>
      </w:r>
      <w:proofErr w:type="spellStart"/>
      <w:r w:rsidRPr="00F959C6">
        <w:rPr>
          <w:sz w:val="22"/>
          <w:szCs w:val="22"/>
        </w:rPr>
        <w:t>Jheh</w:t>
      </w:r>
      <w:proofErr w:type="spellEnd"/>
      <w:r w:rsidRPr="00F959C6">
        <w:rPr>
          <w:sz w:val="22"/>
          <w:szCs w:val="22"/>
        </w:rPr>
        <w:t>: A natural insertion associated with two adaptive phenotypes in</w:t>
      </w:r>
      <w:r w:rsidRPr="00F959C6">
        <w:rPr>
          <w:rFonts w:eastAsiaTheme="majorEastAsia"/>
          <w:sz w:val="22"/>
          <w:szCs w:val="22"/>
        </w:rPr>
        <w:t> </w:t>
      </w:r>
      <w:r w:rsidRPr="00F959C6">
        <w:rPr>
          <w:rFonts w:eastAsiaTheme="majorEastAsia"/>
          <w:i/>
          <w:iCs/>
          <w:sz w:val="22"/>
          <w:szCs w:val="22"/>
        </w:rPr>
        <w:t>Drosophila</w:t>
      </w:r>
      <w:r w:rsidRPr="00F959C6">
        <w:rPr>
          <w:sz w:val="22"/>
          <w:szCs w:val="22"/>
        </w:rPr>
        <w:t>.</w:t>
      </w:r>
      <w:r w:rsidRPr="00F959C6">
        <w:rPr>
          <w:rFonts w:eastAsiaTheme="majorEastAsia"/>
          <w:sz w:val="22"/>
          <w:szCs w:val="22"/>
        </w:rPr>
        <w:t> </w:t>
      </w:r>
      <w:proofErr w:type="spellStart"/>
      <w:r w:rsidRPr="00F959C6">
        <w:rPr>
          <w:rFonts w:eastAsiaTheme="majorEastAsia"/>
          <w:i/>
          <w:iCs/>
          <w:sz w:val="22"/>
          <w:szCs w:val="22"/>
        </w:rPr>
        <w:t>bioRxiv</w:t>
      </w:r>
      <w:proofErr w:type="spellEnd"/>
      <w:r w:rsidRPr="00F959C6">
        <w:rPr>
          <w:sz w:val="22"/>
          <w:szCs w:val="22"/>
        </w:rPr>
        <w:t>.</w:t>
      </w:r>
      <w:r w:rsidRPr="00F959C6">
        <w:rPr>
          <w:rFonts w:eastAsiaTheme="majorEastAsia"/>
          <w:sz w:val="22"/>
          <w:szCs w:val="22"/>
        </w:rPr>
        <w:t> </w:t>
      </w:r>
      <w:hyperlink r:id="rId6" w:tgtFrame="_new" w:history="1">
        <w:r w:rsidRPr="00F959C6">
          <w:rPr>
            <w:rStyle w:val="Hyperlink"/>
            <w:rFonts w:eastAsiaTheme="majorEastAsia"/>
            <w:sz w:val="22"/>
            <w:szCs w:val="22"/>
          </w:rPr>
          <w:t>https://doi.org/10.1101/037598</w:t>
        </w:r>
      </w:hyperlink>
    </w:p>
    <w:p w14:paraId="3EB7BCC3" w14:textId="77777777" w:rsidR="007C62F4" w:rsidRPr="00F959C6" w:rsidRDefault="007C62F4" w:rsidP="007C62F4">
      <w:pPr>
        <w:spacing w:line="360" w:lineRule="auto"/>
        <w:ind w:left="720" w:hanging="720"/>
        <w:contextualSpacing/>
        <w:rPr>
          <w:sz w:val="22"/>
          <w:szCs w:val="22"/>
        </w:rPr>
      </w:pPr>
    </w:p>
    <w:p w14:paraId="29D16905" w14:textId="77777777" w:rsidR="007C62F4" w:rsidRDefault="007C62F4" w:rsidP="007C62F4">
      <w:pPr>
        <w:ind w:left="720" w:hanging="720"/>
        <w:contextualSpacing/>
        <w:rPr>
          <w:sz w:val="22"/>
          <w:szCs w:val="22"/>
        </w:rPr>
      </w:pPr>
      <w:r w:rsidRPr="00F959C6">
        <w:rPr>
          <w:sz w:val="22"/>
          <w:szCs w:val="22"/>
        </w:rPr>
        <w:t>Habib, S., Lwin, Y. Y., &amp; Li, N. (2021). Down-regulation of</w:t>
      </w:r>
      <w:r w:rsidRPr="00F959C6">
        <w:rPr>
          <w:rFonts w:eastAsiaTheme="majorEastAsia"/>
          <w:sz w:val="22"/>
          <w:szCs w:val="22"/>
        </w:rPr>
        <w:t> </w:t>
      </w:r>
      <w:r w:rsidRPr="00F959C6">
        <w:rPr>
          <w:rFonts w:eastAsiaTheme="majorEastAsia"/>
          <w:i/>
          <w:iCs/>
          <w:sz w:val="22"/>
          <w:szCs w:val="22"/>
        </w:rPr>
        <w:t>SlGRAS10</w:t>
      </w:r>
      <w:r w:rsidRPr="00F959C6">
        <w:rPr>
          <w:rFonts w:eastAsiaTheme="majorEastAsia"/>
          <w:sz w:val="22"/>
          <w:szCs w:val="22"/>
        </w:rPr>
        <w:t> </w:t>
      </w:r>
      <w:r w:rsidRPr="00F959C6">
        <w:rPr>
          <w:sz w:val="22"/>
          <w:szCs w:val="22"/>
        </w:rPr>
        <w:t>in tomato confers abiotic stress tolerance.</w:t>
      </w:r>
      <w:r w:rsidRPr="00F959C6">
        <w:rPr>
          <w:rFonts w:eastAsiaTheme="majorEastAsia"/>
          <w:sz w:val="22"/>
          <w:szCs w:val="22"/>
        </w:rPr>
        <w:t> </w:t>
      </w:r>
      <w:r w:rsidRPr="00F959C6">
        <w:rPr>
          <w:rFonts w:eastAsiaTheme="majorEastAsia"/>
          <w:i/>
          <w:iCs/>
          <w:sz w:val="22"/>
          <w:szCs w:val="22"/>
        </w:rPr>
        <w:t>Genes, 12</w:t>
      </w:r>
      <w:r w:rsidRPr="00F959C6">
        <w:rPr>
          <w:sz w:val="22"/>
          <w:szCs w:val="22"/>
        </w:rPr>
        <w:t>(5), 623.</w:t>
      </w:r>
      <w:r w:rsidRPr="00F959C6">
        <w:rPr>
          <w:rFonts w:eastAsiaTheme="majorEastAsia"/>
          <w:sz w:val="22"/>
          <w:szCs w:val="22"/>
        </w:rPr>
        <w:t> </w:t>
      </w:r>
      <w:hyperlink r:id="rId7" w:tgtFrame="_new" w:history="1">
        <w:r w:rsidRPr="00F959C6">
          <w:rPr>
            <w:rStyle w:val="Hyperlink"/>
            <w:rFonts w:eastAsiaTheme="majorEastAsia"/>
            <w:sz w:val="22"/>
            <w:szCs w:val="22"/>
          </w:rPr>
          <w:t>https://doi.org/10.3390/genes12050623</w:t>
        </w:r>
      </w:hyperlink>
    </w:p>
    <w:p w14:paraId="61B6B909" w14:textId="77777777" w:rsidR="007C62F4" w:rsidRPr="00F959C6" w:rsidRDefault="007C62F4" w:rsidP="007C62F4">
      <w:pPr>
        <w:spacing w:line="360" w:lineRule="auto"/>
        <w:ind w:left="720" w:hanging="720"/>
        <w:contextualSpacing/>
        <w:rPr>
          <w:sz w:val="22"/>
          <w:szCs w:val="22"/>
        </w:rPr>
      </w:pPr>
    </w:p>
    <w:p w14:paraId="39E56E67" w14:textId="77777777" w:rsidR="007C62F4" w:rsidRDefault="007C62F4" w:rsidP="007C62F4">
      <w:pPr>
        <w:ind w:left="720" w:hanging="720"/>
        <w:contextualSpacing/>
        <w:rPr>
          <w:sz w:val="22"/>
          <w:szCs w:val="22"/>
        </w:rPr>
      </w:pPr>
      <w:r w:rsidRPr="00F959C6">
        <w:rPr>
          <w:sz w:val="22"/>
          <w:szCs w:val="22"/>
        </w:rPr>
        <w:t>Zhang, B., Peng, Y., Zheng, J., Liang, L., Hoffmann, A. A., &amp; Ma, C.-S. (2016). Response of heat shock protein genes of the oriental fruit moth under diapause and thermal stress reveals multiple patterns dependent on the nature of stress exposure.</w:t>
      </w:r>
      <w:r w:rsidRPr="00F959C6">
        <w:rPr>
          <w:rFonts w:eastAsiaTheme="majorEastAsia"/>
          <w:sz w:val="22"/>
          <w:szCs w:val="22"/>
        </w:rPr>
        <w:t> </w:t>
      </w:r>
      <w:r w:rsidRPr="00F959C6">
        <w:rPr>
          <w:rFonts w:eastAsiaTheme="majorEastAsia"/>
          <w:i/>
          <w:iCs/>
          <w:sz w:val="22"/>
          <w:szCs w:val="22"/>
        </w:rPr>
        <w:t>Cell Stress and Chaperones, 21</w:t>
      </w:r>
      <w:r w:rsidRPr="00F959C6">
        <w:rPr>
          <w:sz w:val="22"/>
          <w:szCs w:val="22"/>
        </w:rPr>
        <w:t>(4), 653–663.</w:t>
      </w:r>
      <w:r w:rsidRPr="00F959C6">
        <w:rPr>
          <w:rFonts w:eastAsiaTheme="majorEastAsia"/>
          <w:sz w:val="22"/>
          <w:szCs w:val="22"/>
        </w:rPr>
        <w:t> </w:t>
      </w:r>
      <w:hyperlink r:id="rId8" w:tgtFrame="_new" w:history="1">
        <w:r w:rsidRPr="00F959C6">
          <w:rPr>
            <w:rStyle w:val="Hyperlink"/>
            <w:rFonts w:eastAsiaTheme="majorEastAsia"/>
            <w:sz w:val="22"/>
            <w:szCs w:val="22"/>
          </w:rPr>
          <w:t>https://doi.org/10.1007/s12192-016-0690-8</w:t>
        </w:r>
      </w:hyperlink>
    </w:p>
    <w:p w14:paraId="31C940FB" w14:textId="77777777" w:rsidR="007C62F4" w:rsidRPr="00F959C6" w:rsidRDefault="007C62F4" w:rsidP="007C62F4">
      <w:pPr>
        <w:spacing w:line="360" w:lineRule="auto"/>
        <w:ind w:left="720" w:hanging="720"/>
        <w:contextualSpacing/>
        <w:rPr>
          <w:sz w:val="22"/>
          <w:szCs w:val="22"/>
        </w:rPr>
      </w:pPr>
    </w:p>
    <w:p w14:paraId="10CEB5AD" w14:textId="77777777" w:rsidR="007C62F4" w:rsidRPr="00F959C6" w:rsidRDefault="007C62F4" w:rsidP="007C62F4">
      <w:pPr>
        <w:spacing w:line="360" w:lineRule="auto"/>
        <w:ind w:left="720" w:hanging="720"/>
        <w:contextualSpacing/>
        <w:rPr>
          <w:sz w:val="22"/>
          <w:szCs w:val="22"/>
        </w:rPr>
      </w:pPr>
      <w:proofErr w:type="spellStart"/>
      <w:r w:rsidRPr="00F959C6">
        <w:rPr>
          <w:sz w:val="22"/>
          <w:szCs w:val="22"/>
        </w:rPr>
        <w:t>Hadwan</w:t>
      </w:r>
      <w:proofErr w:type="spellEnd"/>
      <w:r w:rsidRPr="00F959C6">
        <w:rPr>
          <w:sz w:val="22"/>
          <w:szCs w:val="22"/>
        </w:rPr>
        <w:t>, M. H. (2018). Simple spectrophotometric assay for measuring catalase activity in biological tissues.</w:t>
      </w:r>
      <w:r w:rsidRPr="00F959C6">
        <w:rPr>
          <w:rFonts w:eastAsiaTheme="majorEastAsia"/>
          <w:sz w:val="22"/>
          <w:szCs w:val="22"/>
        </w:rPr>
        <w:t> </w:t>
      </w:r>
      <w:r w:rsidRPr="00F959C6">
        <w:rPr>
          <w:rFonts w:eastAsiaTheme="majorEastAsia"/>
          <w:i/>
          <w:iCs/>
          <w:sz w:val="22"/>
          <w:szCs w:val="22"/>
        </w:rPr>
        <w:t>BMC Biochemistry, 19</w:t>
      </w:r>
      <w:r w:rsidRPr="00F959C6">
        <w:rPr>
          <w:sz w:val="22"/>
          <w:szCs w:val="22"/>
        </w:rPr>
        <w:t>(1), 7.</w:t>
      </w:r>
      <w:r w:rsidRPr="00F959C6">
        <w:rPr>
          <w:rFonts w:eastAsiaTheme="majorEastAsia"/>
          <w:sz w:val="22"/>
          <w:szCs w:val="22"/>
        </w:rPr>
        <w:t> </w:t>
      </w:r>
      <w:hyperlink r:id="rId9" w:tgtFrame="_new" w:history="1">
        <w:r w:rsidRPr="00F959C6">
          <w:rPr>
            <w:rStyle w:val="Hyperlink"/>
            <w:rFonts w:eastAsiaTheme="majorEastAsia"/>
            <w:sz w:val="22"/>
            <w:szCs w:val="22"/>
          </w:rPr>
          <w:t>https://doi.org/10.1186/s12858-018-0097-5</w:t>
        </w:r>
      </w:hyperlink>
    </w:p>
    <w:p w14:paraId="29E02C11" w14:textId="77777777" w:rsidR="007C62F4" w:rsidRPr="007C62F4" w:rsidRDefault="007C62F4" w:rsidP="007C62F4"/>
    <w:p w14:paraId="2CCDD586" w14:textId="77777777" w:rsidR="004D1F30" w:rsidRDefault="004D1F30"/>
    <w:p w14:paraId="1B14C9C1" w14:textId="77777777" w:rsidR="007C62F4" w:rsidRDefault="007C62F4"/>
    <w:p w14:paraId="3E3BF0DC" w14:textId="1E05C3F5" w:rsidR="007C62F4" w:rsidRDefault="007C62F4">
      <w:r>
        <w:t>Annotations</w:t>
      </w:r>
    </w:p>
    <w:p w14:paraId="01577FF6" w14:textId="77777777" w:rsidR="007C62F4" w:rsidRDefault="007C62F4" w:rsidP="007C62F4">
      <w:pPr>
        <w:pStyle w:val="NormalWeb"/>
        <w:rPr>
          <w:color w:val="000000"/>
        </w:rPr>
      </w:pPr>
      <w:proofErr w:type="spellStart"/>
      <w:r>
        <w:rPr>
          <w:rStyle w:val="Strong"/>
          <w:rFonts w:eastAsiaTheme="majorEastAsia"/>
          <w:color w:val="000000"/>
        </w:rPr>
        <w:t>Guio</w:t>
      </w:r>
      <w:proofErr w:type="spellEnd"/>
      <w:r>
        <w:rPr>
          <w:rStyle w:val="Strong"/>
          <w:rFonts w:eastAsiaTheme="majorEastAsia"/>
          <w:color w:val="000000"/>
        </w:rPr>
        <w:t>, L., Vieira, C., &amp; González, J. (2018).</w:t>
      </w:r>
      <w:r>
        <w:rPr>
          <w:rStyle w:val="apple-converted-space"/>
          <w:rFonts w:eastAsiaTheme="majorEastAsia"/>
          <w:color w:val="000000"/>
        </w:rPr>
        <w:t> </w:t>
      </w:r>
      <w:r>
        <w:rPr>
          <w:rStyle w:val="Emphasis"/>
          <w:rFonts w:eastAsiaTheme="majorEastAsia"/>
          <w:color w:val="000000"/>
        </w:rPr>
        <w:t>Stress affects the epigenetic marks added by natural transposable element insertions in Drosophila melanogaster</w:t>
      </w:r>
      <w:r>
        <w:rPr>
          <w:color w:val="000000"/>
        </w:rPr>
        <w:t>. Scientific Reports, 8(1), 12197. DOI:10.1038/s41598-018-30491-w</w:t>
      </w:r>
      <w:r>
        <w:rPr>
          <w:color w:val="000000"/>
        </w:rPr>
        <w:br/>
        <w:t>This study explores the role of transposable elements, specifically Bari-</w:t>
      </w:r>
      <w:proofErr w:type="spellStart"/>
      <w:r>
        <w:rPr>
          <w:color w:val="000000"/>
        </w:rPr>
        <w:t>Jheh</w:t>
      </w:r>
      <w:proofErr w:type="spellEnd"/>
      <w:r>
        <w:rPr>
          <w:color w:val="000000"/>
        </w:rPr>
        <w:t>, in modulating gene expression and stress responses through epigenetic modifications in</w:t>
      </w:r>
      <w:r>
        <w:rPr>
          <w:rStyle w:val="apple-converted-space"/>
          <w:rFonts w:eastAsiaTheme="majorEastAsia"/>
          <w:color w:val="000000"/>
        </w:rPr>
        <w:t> </w:t>
      </w:r>
      <w:r>
        <w:rPr>
          <w:rStyle w:val="Emphasis"/>
          <w:rFonts w:eastAsiaTheme="majorEastAsia"/>
          <w:color w:val="000000"/>
        </w:rPr>
        <w:t>Drosophila melanogaster</w:t>
      </w:r>
      <w:r>
        <w:rPr>
          <w:color w:val="000000"/>
        </w:rPr>
        <w:t xml:space="preserve">. Under oxidative stress, specific histone modifications spread from transposon sites to nearby genes, influencing stress response. This research is valuable for understanding the epigenetic regulation of genes related to oxidative stress resilience, highlighting potential mechanisms for adaptive responses in genomic </w:t>
      </w:r>
      <w:proofErr w:type="gramStart"/>
      <w:r>
        <w:rPr>
          <w:color w:val="000000"/>
        </w:rPr>
        <w:t>studies​(</w:t>
      </w:r>
      <w:proofErr w:type="spellStart"/>
      <w:proofErr w:type="gramEnd"/>
      <w:r>
        <w:rPr>
          <w:color w:val="000000"/>
        </w:rPr>
        <w:t>Guio</w:t>
      </w:r>
      <w:proofErr w:type="spellEnd"/>
      <w:r>
        <w:rPr>
          <w:color w:val="000000"/>
        </w:rPr>
        <w:t xml:space="preserve"> et al 2018).</w:t>
      </w:r>
    </w:p>
    <w:p w14:paraId="14D4BC3D" w14:textId="77777777" w:rsidR="007C62F4" w:rsidRDefault="00AC5E7D" w:rsidP="007C62F4">
      <w:r>
        <w:rPr>
          <w:noProof/>
        </w:rPr>
        <w:pict w14:anchorId="4B0EBC3B">
          <v:rect id="_x0000_i1028" alt="" style="width:468pt;height:.05pt;mso-width-percent:0;mso-height-percent:0;mso-width-percent:0;mso-height-percent:0" o:hralign="center" o:hrstd="t" o:hr="t" fillcolor="#a0a0a0" stroked="f"/>
        </w:pict>
      </w:r>
    </w:p>
    <w:p w14:paraId="404628A8" w14:textId="77777777" w:rsidR="007C62F4" w:rsidRDefault="007C62F4" w:rsidP="007C62F4">
      <w:pPr>
        <w:pStyle w:val="NormalWeb"/>
        <w:rPr>
          <w:color w:val="000000"/>
        </w:rPr>
      </w:pPr>
      <w:r>
        <w:rPr>
          <w:rStyle w:val="Strong"/>
          <w:rFonts w:eastAsiaTheme="majorEastAsia"/>
          <w:color w:val="000000"/>
        </w:rPr>
        <w:t>Habib, S., Lwin, Y.Y., &amp; Li, N. (2021).</w:t>
      </w:r>
      <w:r>
        <w:rPr>
          <w:rStyle w:val="apple-converted-space"/>
          <w:rFonts w:eastAsiaTheme="majorEastAsia"/>
          <w:color w:val="000000"/>
        </w:rPr>
        <w:t> </w:t>
      </w:r>
      <w:r>
        <w:rPr>
          <w:rStyle w:val="Emphasis"/>
          <w:rFonts w:eastAsiaTheme="majorEastAsia"/>
          <w:color w:val="000000"/>
        </w:rPr>
        <w:t>Down-Regulation of SlGRAS10 in Tomato Confers Abiotic Stress Tolerance</w:t>
      </w:r>
      <w:r>
        <w:rPr>
          <w:color w:val="000000"/>
        </w:rPr>
        <w:t>. Genes, 12(5), 623. DOI:10.3390/genes12050623</w:t>
      </w:r>
      <w:r>
        <w:rPr>
          <w:color w:val="000000"/>
        </w:rPr>
        <w:br/>
        <w:t xml:space="preserve">This paper discusses the </w:t>
      </w:r>
      <w:proofErr w:type="gramStart"/>
      <w:r>
        <w:rPr>
          <w:color w:val="000000"/>
        </w:rPr>
        <w:t>down-regulation</w:t>
      </w:r>
      <w:proofErr w:type="gramEnd"/>
      <w:r>
        <w:rPr>
          <w:color w:val="000000"/>
        </w:rPr>
        <w:t xml:space="preserve"> of the</w:t>
      </w:r>
      <w:r>
        <w:rPr>
          <w:rStyle w:val="apple-converted-space"/>
          <w:rFonts w:eastAsiaTheme="majorEastAsia"/>
          <w:color w:val="000000"/>
        </w:rPr>
        <w:t> </w:t>
      </w:r>
      <w:r>
        <w:rPr>
          <w:rStyle w:val="Emphasis"/>
          <w:rFonts w:eastAsiaTheme="majorEastAsia"/>
          <w:color w:val="000000"/>
        </w:rPr>
        <w:t>SlGRAS10</w:t>
      </w:r>
      <w:r>
        <w:rPr>
          <w:rStyle w:val="apple-converted-space"/>
          <w:rFonts w:eastAsiaTheme="majorEastAsia"/>
          <w:color w:val="000000"/>
        </w:rPr>
        <w:t> </w:t>
      </w:r>
      <w:r>
        <w:rPr>
          <w:color w:val="000000"/>
        </w:rPr>
        <w:t>gene in tomatoes and its effects on stress tolerance. The study found that reduced expression of</w:t>
      </w:r>
      <w:r>
        <w:rPr>
          <w:rStyle w:val="apple-converted-space"/>
          <w:rFonts w:eastAsiaTheme="majorEastAsia"/>
          <w:color w:val="000000"/>
        </w:rPr>
        <w:t> </w:t>
      </w:r>
      <w:r>
        <w:rPr>
          <w:rStyle w:val="Emphasis"/>
          <w:rFonts w:eastAsiaTheme="majorEastAsia"/>
          <w:color w:val="000000"/>
        </w:rPr>
        <w:t>SlGRAS10</w:t>
      </w:r>
      <w:r>
        <w:rPr>
          <w:rStyle w:val="apple-converted-space"/>
          <w:rFonts w:eastAsiaTheme="majorEastAsia"/>
          <w:color w:val="000000"/>
        </w:rPr>
        <w:t> </w:t>
      </w:r>
      <w:r>
        <w:rPr>
          <w:color w:val="000000"/>
        </w:rPr>
        <w:t xml:space="preserve">increased the activity of key antioxidant enzymes, such as catalase and peroxidase, helping the plant cope with salt and drought stress. This research is relevant to your work as it highlights the role of transcription factors in regulating oxidative stress tolerance through ROS-scavenging mechanisms, providing insights into potential genetic targets for enhancing stress </w:t>
      </w:r>
      <w:proofErr w:type="gramStart"/>
      <w:r>
        <w:rPr>
          <w:color w:val="000000"/>
        </w:rPr>
        <w:t>resilience​(</w:t>
      </w:r>
      <w:proofErr w:type="gramEnd"/>
      <w:r>
        <w:rPr>
          <w:color w:val="000000"/>
        </w:rPr>
        <w:t>Habib et al 2021).</w:t>
      </w:r>
    </w:p>
    <w:p w14:paraId="5E9298B9" w14:textId="77777777" w:rsidR="007C62F4" w:rsidRDefault="00AC5E7D" w:rsidP="007C62F4">
      <w:r>
        <w:rPr>
          <w:noProof/>
        </w:rPr>
        <w:pict w14:anchorId="0F57F230">
          <v:rect id="_x0000_i1027" alt="" style="width:468pt;height:.05pt;mso-width-percent:0;mso-height-percent:0;mso-width-percent:0;mso-height-percent:0" o:hralign="center" o:hrstd="t" o:hr="t" fillcolor="#a0a0a0" stroked="f"/>
        </w:pict>
      </w:r>
    </w:p>
    <w:p w14:paraId="38F9D1B7" w14:textId="77777777" w:rsidR="007C62F4" w:rsidRDefault="007C62F4" w:rsidP="007C62F4">
      <w:pPr>
        <w:pStyle w:val="NormalWeb"/>
        <w:rPr>
          <w:color w:val="000000"/>
        </w:rPr>
      </w:pPr>
      <w:proofErr w:type="spellStart"/>
      <w:r>
        <w:rPr>
          <w:rStyle w:val="Strong"/>
          <w:rFonts w:eastAsiaTheme="majorEastAsia"/>
          <w:color w:val="000000"/>
        </w:rPr>
        <w:t>Hadwan</w:t>
      </w:r>
      <w:proofErr w:type="spellEnd"/>
      <w:r>
        <w:rPr>
          <w:rStyle w:val="Strong"/>
          <w:rFonts w:eastAsiaTheme="majorEastAsia"/>
          <w:color w:val="000000"/>
        </w:rPr>
        <w:t>, M.H. (2018).</w:t>
      </w:r>
      <w:r>
        <w:rPr>
          <w:rStyle w:val="apple-converted-space"/>
          <w:rFonts w:eastAsiaTheme="majorEastAsia"/>
          <w:color w:val="000000"/>
        </w:rPr>
        <w:t> </w:t>
      </w:r>
      <w:r>
        <w:rPr>
          <w:rStyle w:val="Emphasis"/>
          <w:rFonts w:eastAsiaTheme="majorEastAsia"/>
          <w:color w:val="000000"/>
        </w:rPr>
        <w:t>Simple spectrophotometric assay for measuring catalase activity in biological tissues</w:t>
      </w:r>
      <w:r>
        <w:rPr>
          <w:color w:val="000000"/>
        </w:rPr>
        <w:t>. BMC Biochemistry, 19(1), 7. DOI:10.1186/s12858-018-0097-5</w:t>
      </w:r>
      <w:r>
        <w:rPr>
          <w:color w:val="000000"/>
        </w:rPr>
        <w:br/>
      </w:r>
      <w:proofErr w:type="spellStart"/>
      <w:r>
        <w:rPr>
          <w:color w:val="000000"/>
        </w:rPr>
        <w:t>Hadwan's</w:t>
      </w:r>
      <w:proofErr w:type="spellEnd"/>
      <w:r>
        <w:rPr>
          <w:color w:val="000000"/>
        </w:rPr>
        <w:t xml:space="preserve"> paper introduces a precise method for measuring catalase activity, a critical enzyme in oxidative stress responses. This method is highly sensitive and can be used in a variety of biological samples, including plant tissues, making it ideal for evaluating antioxidant responses. This work supports the methodological foundation for measuring catalase activity in studies focused on oxidative stress, adding a reliable tool for assessing enzymatic activity relevant to your </w:t>
      </w:r>
      <w:proofErr w:type="gramStart"/>
      <w:r>
        <w:rPr>
          <w:color w:val="000000"/>
        </w:rPr>
        <w:t>research​(</w:t>
      </w:r>
      <w:proofErr w:type="spellStart"/>
      <w:proofErr w:type="gramEnd"/>
      <w:r>
        <w:rPr>
          <w:color w:val="000000"/>
        </w:rPr>
        <w:t>Hadwan</w:t>
      </w:r>
      <w:proofErr w:type="spellEnd"/>
      <w:r>
        <w:rPr>
          <w:color w:val="000000"/>
        </w:rPr>
        <w:t xml:space="preserve"> et al 1018).</w:t>
      </w:r>
    </w:p>
    <w:p w14:paraId="62EF3185" w14:textId="77777777" w:rsidR="007C62F4" w:rsidRDefault="00AC5E7D" w:rsidP="007C62F4">
      <w:r>
        <w:rPr>
          <w:noProof/>
        </w:rPr>
        <w:pict w14:anchorId="3BF2CB3E">
          <v:rect id="_x0000_i1026" alt="" style="width:468pt;height:.05pt;mso-width-percent:0;mso-height-percent:0;mso-width-percent:0;mso-height-percent:0" o:hralign="center" o:hrstd="t" o:hr="t" fillcolor="#a0a0a0" stroked="f"/>
        </w:pict>
      </w:r>
    </w:p>
    <w:p w14:paraId="0D4BA591" w14:textId="77777777" w:rsidR="007C62F4" w:rsidRDefault="007C62F4" w:rsidP="007C62F4">
      <w:pPr>
        <w:pStyle w:val="NormalWeb"/>
        <w:rPr>
          <w:color w:val="000000"/>
        </w:rPr>
      </w:pPr>
      <w:r>
        <w:rPr>
          <w:rStyle w:val="Strong"/>
          <w:rFonts w:eastAsiaTheme="majorEastAsia"/>
          <w:color w:val="000000"/>
        </w:rPr>
        <w:t xml:space="preserve">Weber, A.L., Khan, G.F., </w:t>
      </w:r>
      <w:proofErr w:type="spellStart"/>
      <w:r>
        <w:rPr>
          <w:rStyle w:val="Strong"/>
          <w:rFonts w:eastAsiaTheme="majorEastAsia"/>
          <w:color w:val="000000"/>
        </w:rPr>
        <w:t>Magwire</w:t>
      </w:r>
      <w:proofErr w:type="spellEnd"/>
      <w:r>
        <w:rPr>
          <w:rStyle w:val="Strong"/>
          <w:rFonts w:eastAsiaTheme="majorEastAsia"/>
          <w:color w:val="000000"/>
        </w:rPr>
        <w:t xml:space="preserve">, M.M., Tabor, C.L., Mackay, T.F.C., &amp; </w:t>
      </w:r>
      <w:proofErr w:type="spellStart"/>
      <w:r>
        <w:rPr>
          <w:rStyle w:val="Strong"/>
          <w:rFonts w:eastAsiaTheme="majorEastAsia"/>
          <w:color w:val="000000"/>
        </w:rPr>
        <w:t>Anholt</w:t>
      </w:r>
      <w:proofErr w:type="spellEnd"/>
      <w:r>
        <w:rPr>
          <w:rStyle w:val="Strong"/>
          <w:rFonts w:eastAsiaTheme="majorEastAsia"/>
          <w:color w:val="000000"/>
        </w:rPr>
        <w:t>, R.R.H. (2012).</w:t>
      </w:r>
      <w:r>
        <w:rPr>
          <w:rStyle w:val="apple-converted-space"/>
          <w:rFonts w:eastAsiaTheme="majorEastAsia"/>
          <w:color w:val="000000"/>
        </w:rPr>
        <w:t> </w:t>
      </w:r>
      <w:r>
        <w:rPr>
          <w:rStyle w:val="Emphasis"/>
          <w:rFonts w:eastAsiaTheme="majorEastAsia"/>
          <w:color w:val="000000"/>
        </w:rPr>
        <w:t>Genome-Wide Association Analysis of Oxidative Stress Resistance in Drosophila melanogaster</w:t>
      </w:r>
      <w:r>
        <w:rPr>
          <w:color w:val="000000"/>
        </w:rPr>
        <w:t xml:space="preserve">. </w:t>
      </w:r>
      <w:proofErr w:type="spellStart"/>
      <w:r>
        <w:rPr>
          <w:color w:val="000000"/>
        </w:rPr>
        <w:t>PLoS</w:t>
      </w:r>
      <w:proofErr w:type="spellEnd"/>
      <w:r>
        <w:rPr>
          <w:color w:val="000000"/>
        </w:rPr>
        <w:t xml:space="preserve"> ONE, 7(4), e34745. </w:t>
      </w:r>
      <w:proofErr w:type="gramStart"/>
      <w:r>
        <w:rPr>
          <w:color w:val="000000"/>
        </w:rPr>
        <w:t>DOI:10.1371/journal.pone</w:t>
      </w:r>
      <w:proofErr w:type="gramEnd"/>
      <w:r>
        <w:rPr>
          <w:color w:val="000000"/>
        </w:rPr>
        <w:t>.0034745</w:t>
      </w:r>
      <w:r>
        <w:rPr>
          <w:color w:val="000000"/>
        </w:rPr>
        <w:br/>
      </w:r>
      <w:r>
        <w:rPr>
          <w:color w:val="000000"/>
        </w:rPr>
        <w:lastRenderedPageBreak/>
        <w:t>This study performs a genome-wide association analysis to identify genetic variants associated with oxidative stress resistance in</w:t>
      </w:r>
      <w:r>
        <w:rPr>
          <w:rStyle w:val="apple-converted-space"/>
          <w:rFonts w:eastAsiaTheme="majorEastAsia"/>
          <w:color w:val="000000"/>
        </w:rPr>
        <w:t> </w:t>
      </w:r>
      <w:r>
        <w:rPr>
          <w:rStyle w:val="Emphasis"/>
          <w:rFonts w:eastAsiaTheme="majorEastAsia"/>
          <w:color w:val="000000"/>
        </w:rPr>
        <w:t>Drosophila</w:t>
      </w:r>
      <w:r>
        <w:rPr>
          <w:color w:val="000000"/>
        </w:rPr>
        <w:t xml:space="preserve">. The study found that resistance to oxidative stress is highly heritable and identified candidate genes involved in DNA metabolism and neuronal development. This resource is useful for your research as it provides a comprehensive approach to understanding genetic variations in oxidative stress response, emphasizing the importance of specific genes that may also be conserved in other </w:t>
      </w:r>
      <w:proofErr w:type="gramStart"/>
      <w:r>
        <w:rPr>
          <w:color w:val="000000"/>
        </w:rPr>
        <w:t>species​(</w:t>
      </w:r>
      <w:proofErr w:type="gramEnd"/>
      <w:r>
        <w:rPr>
          <w:color w:val="000000"/>
        </w:rPr>
        <w:t>Weber et al 2012).</w:t>
      </w:r>
    </w:p>
    <w:p w14:paraId="2A1B74E2" w14:textId="77777777" w:rsidR="007C62F4" w:rsidRDefault="00AC5E7D" w:rsidP="007C62F4">
      <w:r>
        <w:rPr>
          <w:noProof/>
        </w:rPr>
        <w:pict w14:anchorId="6C6BDF04">
          <v:rect id="_x0000_i1025" alt="" style="width:468pt;height:.05pt;mso-width-percent:0;mso-height-percent:0;mso-width-percent:0;mso-height-percent:0" o:hralign="center" o:hrstd="t" o:hr="t" fillcolor="#a0a0a0" stroked="f"/>
        </w:pict>
      </w:r>
    </w:p>
    <w:p w14:paraId="7A5FC755" w14:textId="77777777" w:rsidR="007C62F4" w:rsidRDefault="007C62F4" w:rsidP="007C62F4">
      <w:pPr>
        <w:pStyle w:val="NormalWeb"/>
        <w:rPr>
          <w:color w:val="000000"/>
        </w:rPr>
      </w:pPr>
      <w:r>
        <w:rPr>
          <w:rStyle w:val="Strong"/>
          <w:rFonts w:eastAsiaTheme="majorEastAsia"/>
          <w:color w:val="000000"/>
        </w:rPr>
        <w:t>Zhang, B., Peng, Y., Zheng, J., Liang, L., Hoffmann, A.A., &amp; Ma, C.S. (2016).</w:t>
      </w:r>
      <w:r>
        <w:rPr>
          <w:rStyle w:val="apple-converted-space"/>
          <w:rFonts w:eastAsiaTheme="majorEastAsia"/>
          <w:color w:val="000000"/>
        </w:rPr>
        <w:t> </w:t>
      </w:r>
      <w:r>
        <w:rPr>
          <w:rStyle w:val="Emphasis"/>
          <w:rFonts w:eastAsiaTheme="majorEastAsia"/>
          <w:color w:val="000000"/>
        </w:rPr>
        <w:t>Response of heat shock protein genes of the oriental fruit moth under diapause and thermal stress reveals multiple patterns dependent on the nature of stress exposure</w:t>
      </w:r>
      <w:r>
        <w:rPr>
          <w:color w:val="000000"/>
        </w:rPr>
        <w:t>. Cell Stress and Chaperones, 21(4), 653-663. DOI:10.1007/s12192-016-0690-8</w:t>
      </w:r>
      <w:r>
        <w:rPr>
          <w:color w:val="000000"/>
        </w:rPr>
        <w:br/>
        <w:t xml:space="preserve">This paper investigates the expression of heat shock proteins (HSPs) in the oriental fruit moth under diapause and various thermal stresses. The study shows that HSPs exhibit distinct expression patterns depending on the stress type, which may serve as bioindicators of thermal stress resilience. This research is pertinent to understanding how organisms regulate protein stability and protection under stress, which aligns with your focus on stress responses and adaptive molecular </w:t>
      </w:r>
      <w:proofErr w:type="gramStart"/>
      <w:r>
        <w:rPr>
          <w:color w:val="000000"/>
        </w:rPr>
        <w:t>mechanisms​(</w:t>
      </w:r>
      <w:proofErr w:type="gramEnd"/>
      <w:r>
        <w:rPr>
          <w:color w:val="000000"/>
        </w:rPr>
        <w:t>Zhang et al 2016).</w:t>
      </w:r>
    </w:p>
    <w:p w14:paraId="26A16B70" w14:textId="77777777" w:rsidR="007C62F4" w:rsidRDefault="007C62F4"/>
    <w:sectPr w:rsidR="007C62F4"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F4"/>
    <w:rsid w:val="0012624A"/>
    <w:rsid w:val="004D1F30"/>
    <w:rsid w:val="005D67BF"/>
    <w:rsid w:val="00777731"/>
    <w:rsid w:val="007C62F4"/>
    <w:rsid w:val="008C57EB"/>
    <w:rsid w:val="00936C23"/>
    <w:rsid w:val="00A537C0"/>
    <w:rsid w:val="00AC5E7D"/>
    <w:rsid w:val="00B5770F"/>
    <w:rsid w:val="00BA2E04"/>
    <w:rsid w:val="00CD214A"/>
    <w:rsid w:val="00D1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A8C0"/>
  <w15:chartTrackingRefBased/>
  <w15:docId w15:val="{D4CC6DC0-A02C-784C-8E8E-6AD0A3C7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F4"/>
    <w:pPr>
      <w:spacing w:line="240" w:lineRule="auto"/>
    </w:pPr>
    <w:rPr>
      <w:rFonts w:eastAsia="Times New Roman" w:cs="Times New Roman"/>
    </w:rPr>
  </w:style>
  <w:style w:type="paragraph" w:styleId="Heading1">
    <w:name w:val="heading 1"/>
    <w:basedOn w:val="Normal"/>
    <w:next w:val="Normal"/>
    <w:link w:val="Heading1Char"/>
    <w:uiPriority w:val="9"/>
    <w:qFormat/>
    <w:rsid w:val="007C62F4"/>
    <w:pPr>
      <w:keepNext/>
      <w:keepLines/>
      <w:spacing w:before="360" w:after="80" w:line="36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2F4"/>
    <w:pPr>
      <w:keepNext/>
      <w:keepLines/>
      <w:spacing w:before="160" w:after="80" w:line="36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2F4"/>
    <w:pPr>
      <w:keepNext/>
      <w:keepLines/>
      <w:spacing w:before="160" w:after="80" w:line="36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2F4"/>
    <w:pPr>
      <w:keepNext/>
      <w:keepLines/>
      <w:spacing w:before="80" w:after="40" w:line="360"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62F4"/>
    <w:pPr>
      <w:keepNext/>
      <w:keepLines/>
      <w:spacing w:before="80" w:after="40" w:line="360"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62F4"/>
    <w:pPr>
      <w:keepNext/>
      <w:keepLines/>
      <w:spacing w:before="40" w:line="360"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62F4"/>
    <w:pPr>
      <w:keepNext/>
      <w:keepLines/>
      <w:spacing w:before="40" w:line="360"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62F4"/>
    <w:pPr>
      <w:keepNext/>
      <w:keepLines/>
      <w:spacing w:line="360"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62F4"/>
    <w:pPr>
      <w:keepNext/>
      <w:keepLines/>
      <w:spacing w:line="360"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2F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2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62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62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62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62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62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62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2F4"/>
    <w:pPr>
      <w:numPr>
        <w:ilvl w:val="1"/>
      </w:numPr>
      <w:spacing w:after="160" w:line="36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2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62F4"/>
    <w:pPr>
      <w:spacing w:before="160" w:after="160" w:line="360" w:lineRule="auto"/>
      <w:jc w:val="center"/>
    </w:pPr>
    <w:rPr>
      <w:rFonts w:eastAsiaTheme="minorHAnsi" w:cs="Times New Roman (Body CS)"/>
      <w:i/>
      <w:iCs/>
      <w:color w:val="404040" w:themeColor="text1" w:themeTint="BF"/>
    </w:rPr>
  </w:style>
  <w:style w:type="character" w:customStyle="1" w:styleId="QuoteChar">
    <w:name w:val="Quote Char"/>
    <w:basedOn w:val="DefaultParagraphFont"/>
    <w:link w:val="Quote"/>
    <w:uiPriority w:val="29"/>
    <w:rsid w:val="007C62F4"/>
    <w:rPr>
      <w:i/>
      <w:iCs/>
      <w:color w:val="404040" w:themeColor="text1" w:themeTint="BF"/>
    </w:rPr>
  </w:style>
  <w:style w:type="paragraph" w:styleId="ListParagraph">
    <w:name w:val="List Paragraph"/>
    <w:basedOn w:val="Normal"/>
    <w:uiPriority w:val="34"/>
    <w:qFormat/>
    <w:rsid w:val="007C62F4"/>
    <w:pPr>
      <w:spacing w:line="360" w:lineRule="auto"/>
      <w:ind w:left="720"/>
      <w:contextualSpacing/>
    </w:pPr>
    <w:rPr>
      <w:rFonts w:eastAsiaTheme="minorHAnsi" w:cs="Times New Roman (Body CS)"/>
    </w:rPr>
  </w:style>
  <w:style w:type="character" w:styleId="IntenseEmphasis">
    <w:name w:val="Intense Emphasis"/>
    <w:basedOn w:val="DefaultParagraphFont"/>
    <w:uiPriority w:val="21"/>
    <w:qFormat/>
    <w:rsid w:val="007C62F4"/>
    <w:rPr>
      <w:i/>
      <w:iCs/>
      <w:color w:val="0F4761" w:themeColor="accent1" w:themeShade="BF"/>
    </w:rPr>
  </w:style>
  <w:style w:type="paragraph" w:styleId="IntenseQuote">
    <w:name w:val="Intense Quote"/>
    <w:basedOn w:val="Normal"/>
    <w:next w:val="Normal"/>
    <w:link w:val="IntenseQuoteChar"/>
    <w:uiPriority w:val="30"/>
    <w:qFormat/>
    <w:rsid w:val="007C62F4"/>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eastAsiaTheme="minorHAnsi" w:cs="Times New Roman (Body CS)"/>
      <w:i/>
      <w:iCs/>
      <w:color w:val="0F4761" w:themeColor="accent1" w:themeShade="BF"/>
    </w:rPr>
  </w:style>
  <w:style w:type="character" w:customStyle="1" w:styleId="IntenseQuoteChar">
    <w:name w:val="Intense Quote Char"/>
    <w:basedOn w:val="DefaultParagraphFont"/>
    <w:link w:val="IntenseQuote"/>
    <w:uiPriority w:val="30"/>
    <w:rsid w:val="007C62F4"/>
    <w:rPr>
      <w:i/>
      <w:iCs/>
      <w:color w:val="0F4761" w:themeColor="accent1" w:themeShade="BF"/>
    </w:rPr>
  </w:style>
  <w:style w:type="character" w:styleId="IntenseReference">
    <w:name w:val="Intense Reference"/>
    <w:basedOn w:val="DefaultParagraphFont"/>
    <w:uiPriority w:val="32"/>
    <w:qFormat/>
    <w:rsid w:val="007C62F4"/>
    <w:rPr>
      <w:b/>
      <w:bCs/>
      <w:smallCaps/>
      <w:color w:val="0F4761" w:themeColor="accent1" w:themeShade="BF"/>
      <w:spacing w:val="5"/>
    </w:rPr>
  </w:style>
  <w:style w:type="table" w:styleId="PlainTable1">
    <w:name w:val="Plain Table 1"/>
    <w:basedOn w:val="TableNormal"/>
    <w:uiPriority w:val="41"/>
    <w:rsid w:val="007C62F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C62F4"/>
    <w:rPr>
      <w:color w:val="467886" w:themeColor="hyperlink"/>
      <w:u w:val="single"/>
    </w:rPr>
  </w:style>
  <w:style w:type="paragraph" w:styleId="NormalWeb">
    <w:name w:val="Normal (Web)"/>
    <w:basedOn w:val="Normal"/>
    <w:uiPriority w:val="99"/>
    <w:semiHidden/>
    <w:unhideWhenUsed/>
    <w:rsid w:val="007C62F4"/>
    <w:pPr>
      <w:spacing w:before="100" w:beforeAutospacing="1" w:after="100" w:afterAutospacing="1"/>
    </w:pPr>
  </w:style>
  <w:style w:type="character" w:styleId="Strong">
    <w:name w:val="Strong"/>
    <w:basedOn w:val="DefaultParagraphFont"/>
    <w:uiPriority w:val="22"/>
    <w:qFormat/>
    <w:rsid w:val="007C62F4"/>
    <w:rPr>
      <w:b/>
      <w:bCs/>
    </w:rPr>
  </w:style>
  <w:style w:type="character" w:customStyle="1" w:styleId="apple-converted-space">
    <w:name w:val="apple-converted-space"/>
    <w:basedOn w:val="DefaultParagraphFont"/>
    <w:rsid w:val="007C62F4"/>
  </w:style>
  <w:style w:type="character" w:styleId="Emphasis">
    <w:name w:val="Emphasis"/>
    <w:basedOn w:val="DefaultParagraphFont"/>
    <w:uiPriority w:val="20"/>
    <w:qFormat/>
    <w:rsid w:val="007C6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92-016-0690-8" TargetMode="External"/><Relationship Id="rId3" Type="http://schemas.openxmlformats.org/officeDocument/2006/relationships/webSettings" Target="webSettings.xml"/><Relationship Id="rId7" Type="http://schemas.openxmlformats.org/officeDocument/2006/relationships/hyperlink" Target="https://doi.org/10.3390/genes120506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037598" TargetMode="External"/><Relationship Id="rId11" Type="http://schemas.openxmlformats.org/officeDocument/2006/relationships/theme" Target="theme/theme1.xml"/><Relationship Id="rId5" Type="http://schemas.openxmlformats.org/officeDocument/2006/relationships/hyperlink" Target="https://doi.org/10.1371/journal.pone.0034745" TargetMode="External"/><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hyperlink" Target="https://doi.org/10.1186/s12858-018-00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1</cp:revision>
  <dcterms:created xsi:type="dcterms:W3CDTF">2024-11-11T14:45:00Z</dcterms:created>
  <dcterms:modified xsi:type="dcterms:W3CDTF">2024-11-11T14:56:00Z</dcterms:modified>
</cp:coreProperties>
</file>