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4D5" w:rsidRDefault="00E954D5" w:rsidP="00E954D5">
      <w:pPr>
        <w:pStyle w:val="NormalWeb"/>
        <w:rPr>
          <w:rFonts w:ascii="Century Gothic" w:hAnsi="Century Gothic"/>
          <w:sz w:val="28"/>
          <w:szCs w:val="28"/>
          <w:highlight w:val="red"/>
        </w:rPr>
      </w:pPr>
      <w:bookmarkStart w:id="0" w:name="_GoBack"/>
      <w:bookmarkEnd w:id="0"/>
      <w:r>
        <w:rPr>
          <w:rStyle w:val="Strong"/>
          <w:rFonts w:ascii="Century Gothic" w:hAnsi="Century Gothic"/>
          <w:sz w:val="28"/>
          <w:szCs w:val="28"/>
          <w:highlight w:val="red"/>
        </w:rPr>
        <w:t>R/HCM/IR &amp; WE/LOS/GO/15600</w:t>
      </w:r>
    </w:p>
    <w:p w:rsidR="00E954D5" w:rsidRDefault="00E954D5" w:rsidP="00E954D5">
      <w:pPr>
        <w:pStyle w:val="NormalWeb"/>
        <w:rPr>
          <w:rFonts w:ascii="Century Gothic" w:hAnsi="Century Gothic"/>
          <w:sz w:val="28"/>
          <w:szCs w:val="28"/>
          <w:highlight w:val="red"/>
        </w:rPr>
      </w:pPr>
      <w:r>
        <w:rPr>
          <w:rFonts w:ascii="Century Gothic" w:hAnsi="Century Gothic"/>
          <w:sz w:val="28"/>
          <w:szCs w:val="28"/>
          <w:highlight w:val="red"/>
        </w:rPr>
        <w:br/>
        <w:t>22-Aug-2017</w:t>
      </w:r>
    </w:p>
    <w:p w:rsidR="00E954D5" w:rsidRDefault="00E954D5" w:rsidP="00E954D5">
      <w:pPr>
        <w:pStyle w:val="NormalWeb"/>
        <w:rPr>
          <w:rFonts w:ascii="Century Gothic" w:hAnsi="Century Gothic"/>
          <w:sz w:val="28"/>
          <w:szCs w:val="28"/>
          <w:highlight w:val="red"/>
        </w:rPr>
      </w:pPr>
      <w:r>
        <w:rPr>
          <w:rFonts w:ascii="Century Gothic" w:hAnsi="Century Gothic"/>
          <w:sz w:val="28"/>
          <w:szCs w:val="28"/>
          <w:highlight w:val="red"/>
        </w:rPr>
        <w:br/>
      </w:r>
      <w:r>
        <w:rPr>
          <w:rFonts w:ascii="Century Gothic" w:hAnsi="Century Gothic"/>
          <w:caps/>
          <w:sz w:val="28"/>
          <w:szCs w:val="28"/>
          <w:highlight w:val="red"/>
        </w:rPr>
        <w:t>To:   Idowu Olowoseunre(EMP NO A18958) BANKING TRAINEE 2</w:t>
      </w:r>
      <w:r>
        <w:rPr>
          <w:rFonts w:ascii="Century Gothic" w:hAnsi="Century Gothic"/>
          <w:caps/>
          <w:sz w:val="28"/>
          <w:szCs w:val="28"/>
          <w:highlight w:val="red"/>
        </w:rPr>
        <w:br/>
        <w:t>          56 Kud Abiola Way Oregun Ikeja</w:t>
      </w:r>
    </w:p>
    <w:p w:rsidR="00E954D5" w:rsidRDefault="00E954D5" w:rsidP="00E954D5">
      <w:pPr>
        <w:pStyle w:val="NormalWeb"/>
        <w:rPr>
          <w:rFonts w:ascii="Century Gothic" w:hAnsi="Century Gothic"/>
          <w:sz w:val="28"/>
          <w:szCs w:val="28"/>
        </w:rPr>
      </w:pPr>
      <w:r>
        <w:rPr>
          <w:rStyle w:val="Strong"/>
          <w:rFonts w:ascii="Century Gothic" w:hAnsi="Century Gothic"/>
          <w:sz w:val="28"/>
          <w:szCs w:val="28"/>
          <w:highlight w:val="red"/>
          <w:u w:val="single"/>
        </w:rPr>
        <w:t>LETTER OF SUSPENSION</w:t>
      </w:r>
      <w:r>
        <w:rPr>
          <w:rStyle w:val="Strong"/>
          <w:rFonts w:ascii="Century Gothic" w:hAnsi="Century Gothic"/>
          <w:sz w:val="28"/>
          <w:szCs w:val="28"/>
          <w:u w:val="single"/>
        </w:rPr>
        <w:t xml:space="preserve"> </w:t>
      </w:r>
    </w:p>
    <w:p w:rsidR="00E954D5" w:rsidRDefault="00E954D5" w:rsidP="00E954D5">
      <w:pPr>
        <w:pStyle w:val="NormalWeb"/>
        <w:rPr>
          <w:rFonts w:ascii="Century Gothic" w:hAnsi="Century Gothic"/>
          <w:sz w:val="28"/>
          <w:szCs w:val="28"/>
        </w:rPr>
      </w:pPr>
      <w:r>
        <w:rPr>
          <w:rFonts w:ascii="Century Gothic" w:hAnsi="Century Gothic"/>
          <w:sz w:val="28"/>
          <w:szCs w:val="28"/>
        </w:rPr>
        <w:br/>
      </w:r>
      <w:r>
        <w:rPr>
          <w:rStyle w:val="Strong"/>
          <w:rFonts w:ascii="Century Gothic" w:hAnsi="Century Gothic"/>
          <w:sz w:val="28"/>
          <w:szCs w:val="28"/>
          <w:u w:val="single"/>
        </w:rPr>
        <w:t>ALLEGED COLLUSION WITH THIRD PARTIES TO DEFRAUD ON LASG PLATE REGISTRATION</w:t>
      </w:r>
    </w:p>
    <w:p w:rsidR="00E954D5" w:rsidRDefault="00E954D5" w:rsidP="00E954D5">
      <w:pPr>
        <w:pStyle w:val="style1"/>
      </w:pPr>
      <w:r>
        <w:t>Following the recommendation from the Investigations Unit and Management's subsequent approval, you are being placed on suspension with immediate effect for your involvement in the above subject, pending full determination of the case.</w:t>
      </w:r>
    </w:p>
    <w:p w:rsidR="00E954D5" w:rsidRDefault="00E954D5" w:rsidP="00E954D5">
      <w:pPr>
        <w:pStyle w:val="style1"/>
        <w:rPr>
          <w:highlight w:val="red"/>
        </w:rPr>
      </w:pPr>
      <w:r>
        <w:rPr>
          <w:highlight w:val="red"/>
        </w:rPr>
        <w:t>Please note that you are expected to be reporting to Investigations/Internal Control Unit every week to sign an attendance register. Failure to report after two weeks shall be construed as abandonment of duty which warrants dismissal in line with the Bank's policy.</w:t>
      </w:r>
    </w:p>
    <w:p w:rsidR="00E954D5" w:rsidRDefault="00E954D5" w:rsidP="00E954D5">
      <w:pPr>
        <w:pStyle w:val="style1"/>
        <w:rPr>
          <w:highlight w:val="red"/>
        </w:rPr>
      </w:pPr>
      <w:r>
        <w:rPr>
          <w:highlight w:val="red"/>
        </w:rPr>
        <w:t>During the period of the suspension, you shall be entitled to only 50% of full monthly salary subject to maximum period of (3) months.  In the event the suspension extends beyond 3 months, you shall be placed on zero pay.</w:t>
      </w:r>
    </w:p>
    <w:p w:rsidR="00E954D5" w:rsidRDefault="00E954D5" w:rsidP="00E954D5">
      <w:pPr>
        <w:pStyle w:val="NormalWeb"/>
        <w:rPr>
          <w:rFonts w:ascii="Century Gothic" w:hAnsi="Century Gothic"/>
          <w:sz w:val="28"/>
          <w:szCs w:val="28"/>
        </w:rPr>
      </w:pPr>
      <w:r>
        <w:rPr>
          <w:rFonts w:ascii="Century Gothic" w:hAnsi="Century Gothic"/>
          <w:sz w:val="28"/>
          <w:szCs w:val="28"/>
          <w:highlight w:val="red"/>
        </w:rPr>
        <w:t>We advise that you prepare a comprehensive handover of your assignments and submit it along with your identity card to your supervisor for a smooth take over.</w:t>
      </w:r>
    </w:p>
    <w:p w:rsidR="00E954D5" w:rsidRDefault="00E954D5" w:rsidP="00E954D5">
      <w:pPr>
        <w:pStyle w:val="NormalWeb"/>
        <w:rPr>
          <w:rFonts w:ascii="Century Gothic" w:hAnsi="Century Gothic"/>
          <w:sz w:val="28"/>
          <w:szCs w:val="28"/>
        </w:rPr>
      </w:pPr>
      <w:r>
        <w:rPr>
          <w:rFonts w:ascii="Century Gothic" w:hAnsi="Century Gothic"/>
          <w:sz w:val="28"/>
          <w:szCs w:val="28"/>
        </w:rPr>
        <w:t> </w:t>
      </w:r>
    </w:p>
    <w:p w:rsidR="00E954D5" w:rsidRDefault="00E954D5" w:rsidP="00E954D5">
      <w:pPr>
        <w:pStyle w:val="NormalWeb"/>
        <w:rPr>
          <w:rFonts w:ascii="Century Gothic" w:hAnsi="Century Gothic"/>
          <w:sz w:val="28"/>
          <w:szCs w:val="28"/>
          <w:highlight w:val="red"/>
        </w:rPr>
      </w:pPr>
      <w:r>
        <w:rPr>
          <w:rFonts w:ascii="Century Gothic" w:hAnsi="Century Gothic"/>
          <w:sz w:val="28"/>
          <w:szCs w:val="28"/>
          <w:highlight w:val="red"/>
        </w:rPr>
        <w:t>Thank you.</w:t>
      </w:r>
    </w:p>
    <w:p w:rsidR="00E954D5" w:rsidRDefault="00E954D5" w:rsidP="00E954D5">
      <w:pPr>
        <w:pStyle w:val="NormalWeb"/>
        <w:rPr>
          <w:rFonts w:ascii="Century Gothic" w:hAnsi="Century Gothic"/>
          <w:sz w:val="28"/>
          <w:szCs w:val="28"/>
          <w:highlight w:val="red"/>
        </w:rPr>
      </w:pPr>
      <w:r>
        <w:rPr>
          <w:rFonts w:ascii="Century Gothic" w:hAnsi="Century Gothic"/>
          <w:sz w:val="28"/>
          <w:szCs w:val="28"/>
          <w:highlight w:val="red"/>
        </w:rPr>
        <w:lastRenderedPageBreak/>
        <w:br/>
        <w:t>Yours Faithfully,</w:t>
      </w:r>
      <w:r>
        <w:rPr>
          <w:rFonts w:ascii="Century Gothic" w:hAnsi="Century Gothic"/>
          <w:sz w:val="28"/>
          <w:szCs w:val="28"/>
          <w:highlight w:val="red"/>
        </w:rPr>
        <w:br/>
        <w:t xml:space="preserve">Per Pro: </w:t>
      </w:r>
      <w:r>
        <w:rPr>
          <w:rStyle w:val="Strong"/>
          <w:rFonts w:ascii="Century Gothic" w:hAnsi="Century Gothic"/>
          <w:sz w:val="28"/>
          <w:szCs w:val="28"/>
          <w:highlight w:val="red"/>
        </w:rPr>
        <w:t>UNITED BANK FOR AFRICA PLC.</w:t>
      </w:r>
    </w:p>
    <w:p w:rsidR="00E954D5" w:rsidRDefault="00E954D5" w:rsidP="00E954D5">
      <w:pPr>
        <w:pStyle w:val="NormalWeb"/>
        <w:rPr>
          <w:rFonts w:ascii="Century Gothic" w:hAnsi="Century Gothic"/>
          <w:sz w:val="28"/>
          <w:szCs w:val="28"/>
          <w:highlight w:val="red"/>
        </w:rPr>
      </w:pPr>
      <w:r>
        <w:rPr>
          <w:rFonts w:ascii="Century Gothic" w:hAnsi="Century Gothic"/>
          <w:sz w:val="28"/>
          <w:szCs w:val="28"/>
          <w:highlight w:val="red"/>
        </w:rPr>
        <w:t> </w:t>
      </w:r>
    </w:p>
    <w:tbl>
      <w:tblPr>
        <w:tblW w:w="5000" w:type="pct"/>
        <w:tblCellSpacing w:w="0" w:type="dxa"/>
        <w:tblCellMar>
          <w:left w:w="0" w:type="dxa"/>
          <w:right w:w="0" w:type="dxa"/>
        </w:tblCellMar>
        <w:tblLook w:val="04A0" w:firstRow="1" w:lastRow="0" w:firstColumn="1" w:lastColumn="0" w:noHBand="0" w:noVBand="1"/>
      </w:tblPr>
      <w:tblGrid>
        <w:gridCol w:w="4844"/>
        <w:gridCol w:w="4516"/>
      </w:tblGrid>
      <w:tr w:rsidR="00E954D5" w:rsidTr="00E954D5">
        <w:trPr>
          <w:tblCellSpacing w:w="0" w:type="dxa"/>
        </w:trPr>
        <w:tc>
          <w:tcPr>
            <w:tcW w:w="0" w:type="auto"/>
            <w:vAlign w:val="center"/>
            <w:hideMark/>
          </w:tcPr>
          <w:p w:rsidR="00E954D5" w:rsidRDefault="00E954D5">
            <w:pPr>
              <w:pStyle w:val="style1"/>
              <w:rPr>
                <w:b/>
                <w:bCs/>
                <w:highlight w:val="red"/>
              </w:rPr>
            </w:pPr>
            <w:r>
              <w:rPr>
                <w:b/>
                <w:bCs/>
                <w:highlight w:val="red"/>
              </w:rPr>
              <w:t>ENOBONG EGERE</w:t>
            </w:r>
          </w:p>
        </w:tc>
        <w:tc>
          <w:tcPr>
            <w:tcW w:w="0" w:type="auto"/>
            <w:vAlign w:val="center"/>
            <w:hideMark/>
          </w:tcPr>
          <w:p w:rsidR="00E954D5" w:rsidRDefault="00E954D5">
            <w:pPr>
              <w:pStyle w:val="style1"/>
              <w:rPr>
                <w:b/>
                <w:bCs/>
                <w:highlight w:val="red"/>
              </w:rPr>
            </w:pPr>
            <w:r>
              <w:rPr>
                <w:b/>
                <w:bCs/>
                <w:highlight w:val="red"/>
              </w:rPr>
              <w:t>BAYO ODEYALE</w:t>
            </w:r>
          </w:p>
        </w:tc>
      </w:tr>
      <w:tr w:rsidR="00E954D5" w:rsidTr="00E954D5">
        <w:trPr>
          <w:tblCellSpacing w:w="0" w:type="dxa"/>
        </w:trPr>
        <w:tc>
          <w:tcPr>
            <w:tcW w:w="0" w:type="auto"/>
            <w:vAlign w:val="center"/>
            <w:hideMark/>
          </w:tcPr>
          <w:p w:rsidR="00E954D5" w:rsidRDefault="00E954D5">
            <w:pPr>
              <w:pStyle w:val="style1"/>
              <w:rPr>
                <w:highlight w:val="red"/>
              </w:rPr>
            </w:pPr>
            <w:r>
              <w:rPr>
                <w:highlight w:val="red"/>
              </w:rPr>
              <w:t>Industrial Relations &amp; Work Ethics</w:t>
            </w:r>
          </w:p>
        </w:tc>
        <w:tc>
          <w:tcPr>
            <w:tcW w:w="0" w:type="auto"/>
            <w:vAlign w:val="center"/>
            <w:hideMark/>
          </w:tcPr>
          <w:p w:rsidR="00E954D5" w:rsidRDefault="00E954D5">
            <w:pPr>
              <w:pStyle w:val="style1"/>
              <w:rPr>
                <w:highlight w:val="red"/>
              </w:rPr>
            </w:pPr>
            <w:r>
              <w:rPr>
                <w:highlight w:val="red"/>
              </w:rPr>
              <w:t xml:space="preserve">GH, HR Ops &amp; Shared Services </w:t>
            </w:r>
          </w:p>
        </w:tc>
      </w:tr>
    </w:tbl>
    <w:p w:rsidR="00E954D5" w:rsidRDefault="00E954D5" w:rsidP="00E954D5">
      <w:pPr>
        <w:pStyle w:val="NormalWeb"/>
        <w:rPr>
          <w:rFonts w:ascii="Century Gothic" w:hAnsi="Century Gothic"/>
          <w:sz w:val="28"/>
          <w:szCs w:val="28"/>
        </w:rPr>
      </w:pPr>
      <w:r>
        <w:rPr>
          <w:rFonts w:ascii="Century Gothic" w:hAnsi="Century Gothic"/>
          <w:sz w:val="28"/>
          <w:szCs w:val="28"/>
          <w:highlight w:val="red"/>
        </w:rPr>
        <w:br/>
      </w:r>
      <w:r>
        <w:rPr>
          <w:rStyle w:val="style11"/>
          <w:sz w:val="28"/>
          <w:szCs w:val="28"/>
          <w:highlight w:val="red"/>
        </w:rPr>
        <w:t>Appraisal impact – 5 marks</w:t>
      </w:r>
    </w:p>
    <w:p w:rsidR="001D30F3" w:rsidRDefault="001D30F3"/>
    <w:sectPr w:rsidR="001D3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4D5"/>
    <w:rsid w:val="001D30F3"/>
    <w:rsid w:val="00CA6C57"/>
    <w:rsid w:val="00E95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16C82B-49BD-4696-8301-0813D2E4D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54D5"/>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54D5"/>
    <w:pPr>
      <w:spacing w:before="100" w:beforeAutospacing="1" w:after="100" w:afterAutospacing="1"/>
    </w:pPr>
  </w:style>
  <w:style w:type="paragraph" w:customStyle="1" w:styleId="style1">
    <w:name w:val="style1"/>
    <w:basedOn w:val="Normal"/>
    <w:uiPriority w:val="99"/>
    <w:semiHidden/>
    <w:rsid w:val="00E954D5"/>
    <w:pPr>
      <w:spacing w:before="100" w:beforeAutospacing="1" w:after="100" w:afterAutospacing="1"/>
    </w:pPr>
    <w:rPr>
      <w:rFonts w:ascii="Century Gothic" w:hAnsi="Century Gothic"/>
      <w:sz w:val="28"/>
      <w:szCs w:val="28"/>
    </w:rPr>
  </w:style>
  <w:style w:type="character" w:customStyle="1" w:styleId="style11">
    <w:name w:val="style11"/>
    <w:basedOn w:val="DefaultParagraphFont"/>
    <w:rsid w:val="00E954D5"/>
    <w:rPr>
      <w:rFonts w:ascii="Century Gothic" w:hAnsi="Century Gothic" w:hint="default"/>
    </w:rPr>
  </w:style>
  <w:style w:type="character" w:styleId="Strong">
    <w:name w:val="Strong"/>
    <w:basedOn w:val="DefaultParagraphFont"/>
    <w:uiPriority w:val="22"/>
    <w:qFormat/>
    <w:rsid w:val="00E954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176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Imoyo, Adebukola</dc:creator>
  <cp:keywords/>
  <dc:description/>
  <cp:lastModifiedBy>van Biljon, Tertius</cp:lastModifiedBy>
  <cp:revision>2</cp:revision>
  <dcterms:created xsi:type="dcterms:W3CDTF">2017-09-12T09:15:00Z</dcterms:created>
  <dcterms:modified xsi:type="dcterms:W3CDTF">2017-09-12T09:15:00Z</dcterms:modified>
</cp:coreProperties>
</file>