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Calibri" w:hAnsi="Calibri"/>
          <w:b/>
          <w:color w:val="1F4E78"/>
          <w:sz w:val="44"/>
        </w:rPr>
        <w:t>DEFENSE PRESENTATION SLIDE OUTLINE</w:t>
      </w:r>
    </w:p>
    <w:p>
      <w:pPr>
        <w:spacing w:after="480"/>
        <w:jc w:val="center"/>
      </w:pPr>
      <w:r>
        <w:rPr>
          <w:rFonts w:ascii="Calibri" w:hAnsi="Calibri"/>
          <w:i/>
          <w:color w:val="595959"/>
          <w:sz w:val="24"/>
        </w:rPr>
        <w:t>Design and Implementation of an Intelligent Document Analysis and Learning Assistant System (AuraQA)</w:t>
        <w:br/>
        <w:t>Bachelor of Science in Computer Science Graduation Project Defense</w:t>
      </w:r>
    </w:p>
    <w:p>
      <w:pPr>
        <w:spacing w:line="276" w:lineRule="auto" w:after="480" w:before="0"/>
      </w:pPr>
      <w:r>
        <w:t>This guide outlines the slides structured for your final supervisor/panel defense. It maps the academic core of Chapters 1 to 5, listing visual layouts, bullet points, and speaker notes to ensure a high-impact graduation presentation.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1: </w:t>
      </w:r>
      <w:r>
        <w:rPr>
          <w:rFonts w:ascii="Calibri" w:hAnsi="Calibri"/>
          <w:b/>
          <w:color w:val="2E74B5"/>
          <w:sz w:val="28"/>
        </w:rPr>
        <w:t>Title Slide</w:t>
      </w:r>
    </w:p>
    <w:p>
      <w:pPr>
        <w:pStyle w:val="ListBullet"/>
        <w:spacing w:line="276" w:lineRule="auto" w:after="80" w:before="0"/>
        <w:ind w:left="576"/>
      </w:pPr>
      <w:r>
        <w:rPr>
          <w:b/>
        </w:rPr>
        <w:t xml:space="preserve">Project Title: </w:t>
      </w:r>
      <w:r>
        <w:t>Design and Implementation of an Intelligent Document Analysis and Learning Assistant System</w:t>
      </w:r>
    </w:p>
    <w:p>
      <w:pPr>
        <w:pStyle w:val="ListBullet"/>
        <w:spacing w:line="276" w:lineRule="auto" w:after="80" w:before="0"/>
        <w:ind w:left="576"/>
      </w:pPr>
      <w:r>
        <w:rPr>
          <w:b/>
        </w:rPr>
        <w:t xml:space="preserve">Presented By: </w:t>
      </w:r>
      <w:r>
        <w:t>Muhammad Sagir Auwal (B.Sc. Candidate)</w:t>
      </w:r>
    </w:p>
    <w:p>
      <w:pPr>
        <w:pStyle w:val="ListBullet"/>
        <w:spacing w:line="276" w:lineRule="auto" w:after="80" w:before="0"/>
        <w:ind w:left="576"/>
      </w:pPr>
      <w:r>
        <w:rPr>
          <w:b/>
        </w:rPr>
        <w:t xml:space="preserve">Department: </w:t>
      </w:r>
      <w:r>
        <w:t>Department of Computer Science</w:t>
      </w:r>
    </w:p>
    <w:p>
      <w:pPr>
        <w:pStyle w:val="ListBullet"/>
        <w:spacing w:line="276" w:lineRule="auto" w:after="80" w:before="0"/>
        <w:ind w:left="576"/>
      </w:pPr>
      <w:r>
        <w:rPr>
          <w:b/>
        </w:rPr>
        <w:t xml:space="preserve">Date: </w:t>
      </w:r>
      <w:r>
        <w:t>June, 2026</w:t>
      </w:r>
    </w:p>
    <w:p>
      <w:pPr>
        <w:spacing w:line="276" w:lineRule="auto" w:after="120" w:before="120"/>
      </w:pPr>
      <w:r>
        <w:t>Speaker Notes: Welcome the panel, introduce yourself and the project topic. Highlight that AuraQA is a fully offline, private document analysis and active-study workspace built using local LLM architectures.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2: </w:t>
      </w:r>
      <w:r>
        <w:rPr>
          <w:rFonts w:ascii="Calibri" w:hAnsi="Calibri"/>
          <w:b/>
          <w:color w:val="2E74B5"/>
          <w:sz w:val="28"/>
        </w:rPr>
        <w:t>Presentation Outline</w:t>
      </w:r>
    </w:p>
    <w:p>
      <w:pPr>
        <w:pStyle w:val="ListBullet"/>
        <w:spacing w:line="276" w:lineRule="auto" w:after="80" w:before="0"/>
        <w:ind w:left="576"/>
      </w:pPr>
      <w:r>
        <w:t>Chapter 1: Project Background, Problem Statement, Aim &amp; Objectives</w:t>
      </w:r>
    </w:p>
    <w:p>
      <w:pPr>
        <w:pStyle w:val="ListBullet"/>
        <w:spacing w:line="276" w:lineRule="auto" w:after="80" w:before="0"/>
        <w:ind w:left="576"/>
      </w:pPr>
      <w:r>
        <w:t>Chapter 2: Conceptual Review, Theoretical Framework &amp; Empirical Gaps</w:t>
      </w:r>
    </w:p>
    <w:p>
      <w:pPr>
        <w:pStyle w:val="ListBullet"/>
        <w:spacing w:line="276" w:lineRule="auto" w:after="80" w:before="0"/>
        <w:ind w:left="576"/>
      </w:pPr>
      <w:r>
        <w:t>Chapter 3: Research Methodology &amp; System Development Life Cycle (SDLC)</w:t>
      </w:r>
    </w:p>
    <w:p>
      <w:pPr>
        <w:pStyle w:val="ListBullet"/>
        <w:spacing w:line="276" w:lineRule="auto" w:after="80" w:before="0"/>
        <w:ind w:left="576"/>
      </w:pPr>
      <w:r>
        <w:t>Chapter 4: System Architecture, Database Design &amp; Performance Benchmarks</w:t>
      </w:r>
    </w:p>
    <w:p>
      <w:pPr>
        <w:pStyle w:val="ListBullet"/>
        <w:spacing w:line="276" w:lineRule="auto" w:after="80" w:before="0"/>
        <w:ind w:left="576"/>
      </w:pPr>
      <w:r>
        <w:t>Chapter 5: Summary of Findings, Conclusion &amp; Future Recommendations</w:t>
      </w:r>
    </w:p>
    <w:p>
      <w:pPr>
        <w:spacing w:line="276" w:lineRule="auto" w:after="120" w:before="120"/>
      </w:pPr>
      <w:r>
        <w:t>Speaker Notes: Provide a brief roadmap of the presentation, letting the panel know we will discuss the research context, theoretical foundations, prototyping SDLC, implementation schemas, and evaluation results.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3: </w:t>
      </w:r>
      <w:r>
        <w:rPr>
          <w:rFonts w:ascii="Calibri" w:hAnsi="Calibri"/>
          <w:b/>
          <w:color w:val="2E74B5"/>
          <w:sz w:val="28"/>
        </w:rPr>
        <w:t>Introduction &amp; Background (Chapter 1)</w:t>
      </w:r>
    </w:p>
    <w:p>
      <w:pPr>
        <w:pStyle w:val="ListBullet"/>
        <w:spacing w:line="276" w:lineRule="auto" w:after="80" w:before="0"/>
        <w:ind w:left="576"/>
      </w:pPr>
      <w:r>
        <w:t>The rise of Large Language Models (LLMs) and context retrieval requirements.</w:t>
      </w:r>
    </w:p>
    <w:p>
      <w:pPr>
        <w:pStyle w:val="ListBullet"/>
        <w:spacing w:line="276" w:lineRule="auto" w:after="80" w:before="0"/>
        <w:ind w:left="576"/>
      </w:pPr>
      <w:r>
        <w:t>Data Privacy Violations: Cloud transmissions expose sensitive institutional data to third-party servers.</w:t>
      </w:r>
    </w:p>
    <w:p>
      <w:pPr>
        <w:pStyle w:val="ListBullet"/>
        <w:spacing w:line="276" w:lineRule="auto" w:after="80" w:before="0"/>
        <w:ind w:left="576"/>
      </w:pPr>
      <w:r>
        <w:t>Regulatory Compliance: Mandates such as GDPR and HIPAA require secure local hosting of private datasets.</w:t>
      </w:r>
    </w:p>
    <w:p>
      <w:pPr>
        <w:pStyle w:val="ListBullet"/>
        <w:spacing w:line="276" w:lineRule="auto" w:after="80" w:before="0"/>
        <w:ind w:left="576"/>
      </w:pPr>
      <w:r>
        <w:t>Retrieval-Augmented Generation (RAG): Grounding LLM responses strictly in local document facts (Lewis et al., 2020).</w:t>
      </w:r>
    </w:p>
    <w:p>
      <w:pPr>
        <w:spacing w:line="276" w:lineRule="auto" w:after="120" w:before="120"/>
      </w:pPr>
      <w:r>
        <w:t>Speaker Notes: Explain that while cloud LLMs are useful, organizations cannot transmit private documents due to security risks. Local RAG addresses this, but running models offline introduces resource constraints.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4: </w:t>
      </w:r>
      <w:r>
        <w:rPr>
          <w:rFonts w:ascii="Calibri" w:hAnsi="Calibri"/>
          <w:b/>
          <w:color w:val="2E74B5"/>
          <w:sz w:val="28"/>
        </w:rPr>
        <w:t>Problem Statement (Chapter 1)</w:t>
      </w:r>
    </w:p>
    <w:p>
      <w:pPr>
        <w:pStyle w:val="ListBullet"/>
        <w:spacing w:line="276" w:lineRule="auto" w:after="80" w:before="0"/>
        <w:ind w:left="576"/>
      </w:pPr>
      <w:r>
        <w:t>CPU Latency Bottleneck: Local prompt context evaluation (prefill) on CPUs frequently exceeds 60-120 seconds.</w:t>
      </w:r>
    </w:p>
    <w:p>
      <w:pPr>
        <w:pStyle w:val="ListBullet"/>
        <w:spacing w:line="276" w:lineRule="auto" w:after="80" w:before="0"/>
        <w:ind w:left="576"/>
      </w:pPr>
      <w:r>
        <w:t>Semantic Vector Truncation: Standard multilingual embeddings (MiniLM) limit inputs to 128/256 tokens, ignoring text in large chunks.</w:t>
      </w:r>
    </w:p>
    <w:p>
      <w:pPr>
        <w:pStyle w:val="ListBullet"/>
        <w:spacing w:line="276" w:lineRule="auto" w:after="80" w:before="0"/>
        <w:ind w:left="576"/>
      </w:pPr>
      <w:r>
        <w:t>Out-of-Scope Hallucinations: Models attempt to answer off-topic queries, generating incorrect data and wasting CPU cycles.</w:t>
      </w:r>
    </w:p>
    <w:p>
      <w:pPr>
        <w:pStyle w:val="ListBullet"/>
        <w:spacing w:line="276" w:lineRule="auto" w:after="80" w:before="0"/>
        <w:ind w:left="576"/>
      </w:pPr>
      <w:r>
        <w:t>Multilingual Constraints: Ingestion and QA must support regional (Hausa) and international languages locally.</w:t>
      </w:r>
    </w:p>
    <w:p>
      <w:pPr>
        <w:spacing w:line="276" w:lineRule="auto" w:after="120" w:before="120"/>
      </w:pPr>
      <w:r>
        <w:t>Speaker Notes: Focus on the three main engineering challenges this study resolves: prefill CPU delay, chunk alignment truncation, and out-of-scope model hallucinations.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5: </w:t>
      </w:r>
      <w:r>
        <w:rPr>
          <w:rFonts w:ascii="Calibri" w:hAnsi="Calibri"/>
          <w:b/>
          <w:color w:val="2E74B5"/>
          <w:sz w:val="28"/>
        </w:rPr>
        <w:t>Research Aim and Objectives (Chapter 1)</w:t>
      </w:r>
    </w:p>
    <w:p>
      <w:pPr>
        <w:pStyle w:val="ListBullet"/>
        <w:spacing w:line="276" w:lineRule="auto" w:after="80" w:before="0"/>
        <w:ind w:left="576"/>
      </w:pPr>
      <w:r>
        <w:t>Aim: Build a secure, low-latency offline document QA and learning assistant on commodity client CPUs.</w:t>
      </w:r>
    </w:p>
    <w:p>
      <w:pPr>
        <w:pStyle w:val="ListBullet"/>
        <w:spacing w:line="276" w:lineRule="auto" w:after="80" w:before="0"/>
        <w:ind w:left="1152"/>
      </w:pPr>
      <w:r>
        <w:t>Objective 1: Multi-format parsing (PDF, DOCX, TXT, CSV) preserving tabular structures.</w:t>
      </w:r>
    </w:p>
    <w:p>
      <w:pPr>
        <w:pStyle w:val="ListBullet"/>
        <w:spacing w:line="276" w:lineRule="auto" w:after="80" w:before="0"/>
        <w:ind w:left="1152"/>
      </w:pPr>
      <w:r>
        <w:t>Objective 2: Length-aligned chunking (1000-character segments) to match embedding context ceilings.</w:t>
      </w:r>
    </w:p>
    <w:p>
      <w:pPr>
        <w:pStyle w:val="ListBullet"/>
        <w:spacing w:line="276" w:lineRule="auto" w:after="80" w:before="0"/>
        <w:ind w:left="1152"/>
      </w:pPr>
      <w:r>
        <w:t>Objective 3: FAISS local semantic indexing for fast, grounded cosine similarity searches.</w:t>
      </w:r>
    </w:p>
    <w:p>
      <w:pPr>
        <w:pStyle w:val="ListBullet"/>
        <w:spacing w:line="276" w:lineRule="auto" w:after="80" w:before="0"/>
        <w:ind w:left="1152"/>
      </w:pPr>
      <w:r>
        <w:t>Objective 4: Deterministic query routing (greetings, summaries) bypassing slow model calls.</w:t>
      </w:r>
    </w:p>
    <w:p>
      <w:pPr>
        <w:pStyle w:val="ListBullet"/>
        <w:spacing w:line="276" w:lineRule="auto" w:after="80" w:before="0"/>
        <w:ind w:left="1152"/>
      </w:pPr>
      <w:r>
        <w:t>Objective 5: Secure web stack (FastAPI, Next.js) with JWT session authentication.</w:t>
      </w:r>
    </w:p>
    <w:p>
      <w:pPr>
        <w:spacing w:line="276" w:lineRule="auto" w:after="120" w:before="120"/>
      </w:pPr>
      <w:r>
        <w:t>Speaker Notes: Detail the project aim and the six specific software engineering objectives met to achieve it, focusing on parsing, chunking, vector indexing, routing, web hosting, and benchmarking.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6: </w:t>
      </w:r>
      <w:r>
        <w:rPr>
          <w:rFonts w:ascii="Calibri" w:hAnsi="Calibri"/>
          <w:b/>
          <w:color w:val="2E74B5"/>
          <w:sz w:val="28"/>
        </w:rPr>
        <w:t>Research Questions (Chapter 1)</w:t>
      </w:r>
    </w:p>
    <w:p>
      <w:pPr>
        <w:pStyle w:val="ListBullet"/>
        <w:spacing w:line="276" w:lineRule="auto" w:after="80" w:before="0"/>
        <w:ind w:left="576"/>
      </w:pPr>
      <w:r>
        <w:t>Q1: How does chunk-size reduction (1000 chars) impact TTFT and LLM prefill latency on CPU hardware?</w:t>
      </w:r>
    </w:p>
    <w:p>
      <w:pPr>
        <w:pStyle w:val="ListBullet"/>
        <w:spacing w:line="276" w:lineRule="auto" w:after="80" w:before="0"/>
        <w:ind w:left="576"/>
      </w:pPr>
      <w:r>
        <w:t>Q2: What margin of latency reduction is achieved by adopting a deterministic query classifier?</w:t>
      </w:r>
    </w:p>
    <w:p>
      <w:pPr>
        <w:pStyle w:val="ListBullet"/>
        <w:spacing w:line="276" w:lineRule="auto" w:after="80" w:before="0"/>
        <w:ind w:left="576"/>
      </w:pPr>
      <w:r>
        <w:t>Q3: How effective is a cosine similarity threshold of 0.40 at filtering out-of-scope queries?</w:t>
      </w:r>
    </w:p>
    <w:p>
      <w:pPr>
        <w:pStyle w:val="ListBullet"/>
        <w:spacing w:line="276" w:lineRule="auto" w:after="80" w:before="0"/>
        <w:ind w:left="576"/>
      </w:pPr>
      <w:r>
        <w:t>Q4: Can a local offline embedding model support cross-lingual queries in Hausa?</w:t>
      </w:r>
    </w:p>
    <w:p>
      <w:pPr>
        <w:spacing w:line="276" w:lineRule="auto" w:after="120" w:before="120"/>
      </w:pPr>
      <w:r>
        <w:t>Speaker Notes: Present the core research questions. These questions serve as the metric basis for the system evaluations in Chapter 4.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7: </w:t>
      </w:r>
      <w:r>
        <w:rPr>
          <w:rFonts w:ascii="Calibri" w:hAnsi="Calibri"/>
          <w:b/>
          <w:color w:val="2E74B5"/>
          <w:sz w:val="28"/>
        </w:rPr>
        <w:t>Significance of the Study (Chapter 1)</w:t>
      </w:r>
    </w:p>
    <w:p>
      <w:pPr>
        <w:pStyle w:val="ListBullet"/>
        <w:spacing w:line="276" w:lineRule="auto" w:after="80" w:before="0"/>
        <w:ind w:left="576"/>
      </w:pPr>
      <w:r>
        <w:t>Private Data Sovereignty: 100% offline data storage guarantees confidentiality for legal, medical, and private research.</w:t>
      </w:r>
    </w:p>
    <w:p>
      <w:pPr>
        <w:pStyle w:val="ListBullet"/>
        <w:spacing w:line="276" w:lineRule="auto" w:after="80" w:before="0"/>
        <w:ind w:left="576"/>
      </w:pPr>
      <w:r>
        <w:t>Resource Democratization: Proves local RAG is viable on standard client laptops, avoiding expensive GPU cloud servers.</w:t>
      </w:r>
    </w:p>
    <w:p>
      <w:pPr>
        <w:pStyle w:val="ListBullet"/>
        <w:spacing w:line="276" w:lineRule="auto" w:after="80" w:before="0"/>
        <w:ind w:left="576"/>
      </w:pPr>
      <w:r>
        <w:t>Academic Tutoring: Provides active cognitive scaffolds (flashcards, auto-quizzes) to improve student comprehension.</w:t>
      </w:r>
    </w:p>
    <w:p>
      <w:pPr>
        <w:spacing w:line="276" w:lineRule="auto" w:after="120" w:before="120"/>
      </w:pPr>
      <w:r>
        <w:t>Speaker Notes: Explain the value of this work. It protects intellectual property while enabling cost-efficient AI deployment on ordinary, non-GPU office hardware.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8: </w:t>
      </w:r>
      <w:r>
        <w:rPr>
          <w:rFonts w:ascii="Calibri" w:hAnsi="Calibri"/>
          <w:b/>
          <w:color w:val="2E74B5"/>
          <w:sz w:val="28"/>
        </w:rPr>
        <w:t>Literature Review: Conceptual Review (Chapter 2)</w:t>
      </w:r>
    </w:p>
    <w:p>
      <w:pPr>
        <w:pStyle w:val="ListBullet"/>
        <w:spacing w:line="276" w:lineRule="auto" w:after="80" w:before="0"/>
        <w:ind w:left="576"/>
      </w:pPr>
      <w:r>
        <w:t>Document Content Parsing: Converting unstructured text into logical metadata and page structures.</w:t>
      </w:r>
    </w:p>
    <w:p>
      <w:pPr>
        <w:pStyle w:val="ListBullet"/>
        <w:spacing w:line="276" w:lineRule="auto" w:after="80" w:before="0"/>
        <w:ind w:left="576"/>
      </w:pPr>
      <w:r>
        <w:t>Dense Vector Embeddings: Semantic text representation using multilingual models (MiniLM) mapped in vector space.</w:t>
      </w:r>
    </w:p>
    <w:p>
      <w:pPr>
        <w:pStyle w:val="ListBullet"/>
        <w:spacing w:line="276" w:lineRule="auto" w:after="80" w:before="0"/>
        <w:ind w:left="576"/>
      </w:pPr>
      <w:r>
        <w:t>Retrieval-Augmented Generation: Grounding generation outputs by injecting query-relevant document context.</w:t>
      </w:r>
    </w:p>
    <w:p>
      <w:pPr>
        <w:pStyle w:val="ListBullet"/>
        <w:spacing w:line="276" w:lineRule="auto" w:after="80" w:before="0"/>
        <w:ind w:left="576"/>
      </w:pPr>
      <w:r>
        <w:t>Active recall study modules: Automating summary, quiz, and card decks to support memory retention.</w:t>
      </w:r>
    </w:p>
    <w:p>
      <w:pPr>
        <w:spacing w:line="276" w:lineRule="auto" w:after="120" w:before="120"/>
      </w:pPr>
      <w:r>
        <w:t>Speaker Notes: Review the conceptual components mapped in Chapter 2, showing the pipeline sequence from raw ingestion to active recall generation.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9: </w:t>
      </w:r>
      <w:r>
        <w:rPr>
          <w:rFonts w:ascii="Calibri" w:hAnsi="Calibri"/>
          <w:b/>
          <w:color w:val="2E74B5"/>
          <w:sz w:val="28"/>
        </w:rPr>
        <w:t>Theoretical Framework (Chapter 2)</w:t>
      </w:r>
    </w:p>
    <w:p>
      <w:pPr>
        <w:pStyle w:val="ListBullet"/>
        <w:spacing w:line="276" w:lineRule="auto" w:after="80" w:before="0"/>
        <w:ind w:left="576"/>
      </w:pPr>
      <w:r>
        <w:t>Vector Space Model (VSM) (Salton et al., 1975): Proximity of dense embedding vectors represents semantic similarity.</w:t>
      </w:r>
    </w:p>
    <w:p>
      <w:pPr>
        <w:pStyle w:val="ListBullet"/>
        <w:spacing w:line="276" w:lineRule="auto" w:after="80" w:before="0"/>
        <w:ind w:left="576"/>
      </w:pPr>
      <w:r>
        <w:t>Cognitive Load Theory (CLT) (Sweller, 1988): Cognitive scaffolding (auto-summaries/quizzes) reduces extraneous working memory load.</w:t>
      </w:r>
    </w:p>
    <w:p>
      <w:pPr>
        <w:pStyle w:val="ListBullet"/>
        <w:spacing w:line="276" w:lineRule="auto" w:after="80" w:before="0"/>
        <w:ind w:left="576"/>
      </w:pPr>
      <w:r>
        <w:t>Information Foraging Theory (IFT) (Pirolli &amp; Card, 1999): Local RAG acts as a high-yield path, maximizing information scent value.</w:t>
      </w:r>
    </w:p>
    <w:p>
      <w:pPr>
        <w:spacing w:line="276" w:lineRule="auto" w:after="120" w:before="120"/>
      </w:pPr>
      <w:r>
        <w:t>Speaker Notes: Connect the project to foundational academic theories. VSM justifies the mathematics of vector search, while CLT and IFT guide the user interface structure for active learning.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10: </w:t>
      </w:r>
      <w:r>
        <w:rPr>
          <w:rFonts w:ascii="Calibri" w:hAnsi="Calibri"/>
          <w:b/>
          <w:color w:val="2E74B5"/>
          <w:sz w:val="28"/>
        </w:rPr>
        <w:t>Empirical Review &amp; Research Gap (Chapter 2)</w:t>
      </w:r>
    </w:p>
    <w:p>
      <w:pPr>
        <w:pStyle w:val="ListBullet"/>
        <w:spacing w:line="276" w:lineRule="auto" w:after="80" w:before="0"/>
        <w:ind w:left="576"/>
      </w:pPr>
      <w:r>
        <w:t>Survey of 20 recent academic papers (e.g. Sentence-BERT, ColBERT, Llama 2, MobileRAG).</w:t>
      </w:r>
    </w:p>
    <w:p>
      <w:pPr>
        <w:pStyle w:val="ListBullet"/>
        <w:spacing w:line="276" w:lineRule="auto" w:after="80" w:before="0"/>
        <w:ind w:left="576"/>
      </w:pPr>
      <w:r>
        <w:t>The Gap: Previous edge systems optimize vector lookup or model parameter scaling separately.</w:t>
      </w:r>
    </w:p>
    <w:p>
      <w:pPr>
        <w:pStyle w:val="ListBullet"/>
        <w:spacing w:line="276" w:lineRule="auto" w:after="80" w:before="0"/>
        <w:ind w:left="576"/>
      </w:pPr>
      <w:r>
        <w:t>The Gap: Previous local tools lack combined prefill latency optimizations, document isolation, or chunk alignment.</w:t>
      </w:r>
    </w:p>
    <w:p>
      <w:pPr>
        <w:pStyle w:val="ListBullet"/>
        <w:spacing w:line="276" w:lineRule="auto" w:after="80" w:before="0"/>
        <w:ind w:left="576"/>
      </w:pPr>
      <w:r>
        <w:t>Resolution: AuraQA aligns chunk margins, uses deterministic routing, and filters FAISS searches by document IDs.</w:t>
      </w:r>
    </w:p>
    <w:p>
      <w:pPr>
        <w:spacing w:line="276" w:lineRule="auto" w:after="120" w:before="120"/>
      </w:pPr>
      <w:r>
        <w:t>Speaker Notes: Highlight the specific gap identified in prior research: the lack of a combined, secure, document-isolated, and prefill-optimized local RAG stack. Explain that our system directly bridges this gap.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11: </w:t>
      </w:r>
      <w:r>
        <w:rPr>
          <w:rFonts w:ascii="Calibri" w:hAnsi="Calibri"/>
          <w:b/>
          <w:color w:val="2E74B5"/>
          <w:sz w:val="28"/>
        </w:rPr>
        <w:t>Research Methodology (Chapter 3)</w:t>
      </w:r>
    </w:p>
    <w:p>
      <w:pPr>
        <w:pStyle w:val="ListBullet"/>
        <w:spacing w:line="276" w:lineRule="auto" w:after="80" w:before="0"/>
        <w:ind w:left="576"/>
      </w:pPr>
      <w:r>
        <w:t>Project Methodology: Design and Implementation Project.</w:t>
      </w:r>
    </w:p>
    <w:p>
      <w:pPr>
        <w:pStyle w:val="ListBullet"/>
        <w:spacing w:line="276" w:lineRule="auto" w:after="80" w:before="0"/>
        <w:ind w:left="576"/>
      </w:pPr>
      <w:r>
        <w:t>Frontend Language Stack: Next.js, TypeScript, React, HTML5, CSS3, TailwindCSS.</w:t>
      </w:r>
    </w:p>
    <w:p>
      <w:pPr>
        <w:pStyle w:val="ListBullet"/>
        <w:spacing w:line="276" w:lineRule="auto" w:after="80" w:before="0"/>
        <w:ind w:left="576"/>
      </w:pPr>
      <w:r>
        <w:t>Backend Language Stack: FastAPI, Python (SentenceTransformers, FAISS, PyTorch).</w:t>
      </w:r>
    </w:p>
    <w:p>
      <w:pPr>
        <w:pStyle w:val="ListBullet"/>
        <w:spacing w:line="276" w:lineRule="auto" w:after="80" w:before="0"/>
        <w:ind w:left="576"/>
      </w:pPr>
      <w:r>
        <w:t>Software Stack: SQLite Database, local Ollama engine, VS Code, Git.</w:t>
      </w:r>
    </w:p>
    <w:p>
      <w:pPr>
        <w:pStyle w:val="ListBullet"/>
        <w:spacing w:line="276" w:lineRule="auto" w:after="80" w:before="0"/>
        <w:ind w:left="576"/>
      </w:pPr>
      <w:r>
        <w:t>Hardware Bounds: Consumer CPUs (Core i5/Ryzen 5, 8–16GB RAM, SSD), GPU optional.</w:t>
      </w:r>
    </w:p>
    <w:p>
      <w:pPr>
        <w:spacing w:line="276" w:lineRule="auto" w:after="120" w:before="120"/>
      </w:pPr>
      <w:r>
        <w:t>Speaker Notes: Detail the technical environment. Explain why Python was selected for backend machine learning tasks, and Next.js/TypeScript was selected for type-safe responsive frontends.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12: </w:t>
      </w:r>
      <w:r>
        <w:rPr>
          <w:rFonts w:ascii="Calibri" w:hAnsi="Calibri"/>
          <w:b/>
          <w:color w:val="2E74B5"/>
          <w:sz w:val="28"/>
        </w:rPr>
        <w:t>System Development Life Cycle (Chapter 3)</w:t>
      </w:r>
    </w:p>
    <w:p>
      <w:pPr>
        <w:pStyle w:val="ListBullet"/>
        <w:spacing w:line="276" w:lineRule="auto" w:after="80" w:before="0"/>
        <w:ind w:left="576"/>
      </w:pPr>
      <w:r>
        <w:t>Model Used: The Prototyping SDLC Model.</w:t>
      </w:r>
    </w:p>
    <w:p>
      <w:pPr>
        <w:pStyle w:val="ListBullet"/>
        <w:spacing w:line="276" w:lineRule="auto" w:after="80" w:before="0"/>
        <w:ind w:left="1152"/>
      </w:pPr>
      <w:r>
        <w:t>Stages: Planning -&gt; Design -&gt; Build Prototype -&gt; Latency Evaluation -&gt; Optimization Loop -&gt; Integration -&gt; Deployment.</w:t>
      </w:r>
    </w:p>
    <w:p>
      <w:pPr>
        <w:pStyle w:val="ListBullet"/>
        <w:spacing w:line="276" w:lineRule="auto" w:after="80" w:before="0"/>
        <w:ind w:left="576"/>
      </w:pPr>
      <w:r>
        <w:t>Justification: Rigid models like Waterfall do not allow developers to pivot if benchmark latencies exceed limits.</w:t>
      </w:r>
    </w:p>
    <w:p>
      <w:pPr>
        <w:pStyle w:val="ListBullet"/>
        <w:spacing w:line="276" w:lineRule="auto" w:after="80" w:before="0"/>
        <w:ind w:left="576"/>
      </w:pPr>
      <w:r>
        <w:t>Justification: Prototyping enabled us to profile initial 71s RAG delays and immediately implement the chunk/routing optimizations.</w:t>
      </w:r>
    </w:p>
    <w:p>
      <w:pPr>
        <w:spacing w:line="276" w:lineRule="auto" w:after="120" w:before="120"/>
      </w:pPr>
      <w:r>
        <w:t>Speaker Notes: Justify the prototyping model. In local AI engineering, CPU-bound neural network performance is unpredictable. Prototyping let us benchmark initial code, identify bottlenecks, and refine the design iteratively.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13: </w:t>
      </w:r>
      <w:r>
        <w:rPr>
          <w:rFonts w:ascii="Calibri" w:hAnsi="Calibri"/>
          <w:b/>
          <w:color w:val="2E74B5"/>
          <w:sz w:val="28"/>
        </w:rPr>
        <w:t>Proposed System Architecture (Chapter 4)</w:t>
      </w:r>
    </w:p>
    <w:p>
      <w:pPr>
        <w:pStyle w:val="ListBullet"/>
        <w:spacing w:line="276" w:lineRule="auto" w:after="80" w:before="0"/>
        <w:ind w:left="576"/>
      </w:pPr>
      <w:r>
        <w:t>Three-tier architecture designed for offline speed and local isolation:</w:t>
      </w:r>
    </w:p>
    <w:p>
      <w:pPr>
        <w:pStyle w:val="ListBullet"/>
        <w:spacing w:line="276" w:lineRule="auto" w:after="80" w:before="0"/>
        <w:ind w:left="1152"/>
      </w:pPr>
      <w:r>
        <w:t>Presentation: Next.js responsive panels and glassmorphic emerald styling.</w:t>
      </w:r>
    </w:p>
    <w:p>
      <w:pPr>
        <w:pStyle w:val="ListBullet"/>
        <w:spacing w:line="276" w:lineRule="auto" w:after="80" w:before="0"/>
        <w:ind w:left="1152"/>
      </w:pPr>
      <w:r>
        <w:t>Application Logic: FastAPI router, token security middleware, and active-model managers.</w:t>
      </w:r>
    </w:p>
    <w:p>
      <w:pPr>
        <w:pStyle w:val="ListBullet"/>
        <w:spacing w:line="276" w:lineRule="auto" w:after="80" w:before="0"/>
        <w:ind w:left="1152"/>
      </w:pPr>
      <w:r>
        <w:t>Data Storage: SQLite relational DB and FAISS index stores running fully locally.</w:t>
      </w:r>
    </w:p>
    <w:p>
      <w:pPr>
        <w:spacing w:line="276" w:lineRule="auto" w:after="120" w:before="120"/>
      </w:pPr>
      <w:r>
        <w:t>Speaker Notes: Present the architectural tiers of the application, emphasizing that no network transmission leaves the physical host machine.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14: </w:t>
      </w:r>
      <w:r>
        <w:rPr>
          <w:rFonts w:ascii="Calibri" w:hAnsi="Calibri"/>
          <w:b/>
          <w:color w:val="2E74B5"/>
          <w:sz w:val="28"/>
        </w:rPr>
        <w:t>System Design Diagrams (Chapter 4)</w:t>
      </w:r>
    </w:p>
    <w:p>
      <w:pPr>
        <w:pStyle w:val="ListBullet"/>
        <w:spacing w:line="276" w:lineRule="auto" w:after="80" w:before="0"/>
        <w:ind w:left="576"/>
      </w:pPr>
      <w:r>
        <w:t>UML Activity Diagram: Maps query paths. Routes greetings (0s) and summary database requests directly.</w:t>
      </w:r>
    </w:p>
    <w:p>
      <w:pPr>
        <w:pStyle w:val="ListBullet"/>
        <w:spacing w:line="276" w:lineRule="auto" w:after="80" w:before="0"/>
        <w:ind w:left="576"/>
      </w:pPr>
      <w:r>
        <w:t>Entity Relationship Diagram: Mapped User, Document, Chunk, Chat, Message, and Study modules.</w:t>
      </w:r>
    </w:p>
    <w:p>
      <w:pPr>
        <w:pStyle w:val="ListBullet"/>
        <w:spacing w:line="276" w:lineRule="auto" w:after="80" w:before="0"/>
        <w:ind w:left="576"/>
      </w:pPr>
      <w:r>
        <w:t>Relational Schema: Defines table properties, UNIQUE parameters, and foreign keys.</w:t>
      </w:r>
    </w:p>
    <w:p>
      <w:pPr>
        <w:pStyle w:val="ListBullet"/>
        <w:spacing w:line="276" w:lineRule="auto" w:after="80" w:before="0"/>
        <w:ind w:left="576"/>
      </w:pPr>
      <w:r>
        <w:t>Dataflow Diagram (Level 1): Traces ingestion write flows and query retrieval read flows.</w:t>
      </w:r>
    </w:p>
    <w:p>
      <w:pPr>
        <w:spacing w:line="276" w:lineRule="auto" w:after="120" w:before="120"/>
      </w:pPr>
      <w:r>
        <w:t>Speaker Notes: Walk the panel through the design diagrams in Chapter 4, highlighting the operational flow of a query and the database tables mapping user sessions.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15: </w:t>
      </w:r>
      <w:r>
        <w:rPr>
          <w:rFonts w:ascii="Calibri" w:hAnsi="Calibri"/>
          <w:b/>
          <w:color w:val="2E74B5"/>
          <w:sz w:val="28"/>
        </w:rPr>
        <w:t>User Interface Design (Chapter 4)</w:t>
      </w:r>
    </w:p>
    <w:p>
      <w:pPr>
        <w:pStyle w:val="ListBullet"/>
        <w:spacing w:line="276" w:lineRule="auto" w:after="80" w:before="0"/>
        <w:ind w:left="576"/>
      </w:pPr>
      <w:r>
        <w:t>Study Mode Dashboard: Consists of three interactive sub-pages:</w:t>
      </w:r>
    </w:p>
    <w:p>
      <w:pPr>
        <w:pStyle w:val="ListBullet"/>
        <w:spacing w:line="276" w:lineRule="auto" w:after="80" w:before="0"/>
        <w:ind w:left="1152"/>
      </w:pPr>
      <w:r>
        <w:t>Summaries: Displays auto-detected document chapters and key concepts.</w:t>
      </w:r>
    </w:p>
    <w:p>
      <w:pPr>
        <w:pStyle w:val="ListBullet"/>
        <w:spacing w:line="276" w:lineRule="auto" w:after="80" w:before="0"/>
        <w:ind w:left="1152"/>
      </w:pPr>
      <w:r>
        <w:t>Interactive Quiz: Generates multiple-choice self-assessments locally.</w:t>
      </w:r>
    </w:p>
    <w:p>
      <w:pPr>
        <w:pStyle w:val="ListBullet"/>
        <w:spacing w:line="276" w:lineRule="auto" w:after="80" w:before="0"/>
        <w:ind w:left="1152"/>
      </w:pPr>
      <w:r>
        <w:t>Flashcards: Enables active recall drills with animated card flipping.</w:t>
      </w:r>
    </w:p>
    <w:p>
      <w:pPr>
        <w:pStyle w:val="ListBullet"/>
        <w:spacing w:line="276" w:lineRule="auto" w:after="80" w:before="0"/>
        <w:ind w:left="576"/>
      </w:pPr>
      <w:r>
        <w:t>Conversational RAG Chat Room: Features side-by-side RAG chats with source page badges.</w:t>
      </w:r>
    </w:p>
    <w:p>
      <w:pPr>
        <w:spacing w:line="276" w:lineRule="auto" w:after="120" w:before="120"/>
      </w:pPr>
      <w:r>
        <w:t>Speaker Notes: Walk the panel through the screenshots of the actual running application. Point out the summaries tab, quiz interface, flashcard screen, and RAG chat page.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16: </w:t>
      </w:r>
      <w:r>
        <w:rPr>
          <w:rFonts w:ascii="Calibri" w:hAnsi="Calibri"/>
          <w:b/>
          <w:color w:val="2E74B5"/>
          <w:sz w:val="28"/>
        </w:rPr>
        <w:t>Performance &amp; Latency Benchmarks (Chapter 4)</w:t>
      </w:r>
    </w:p>
    <w:p>
      <w:pPr>
        <w:pStyle w:val="ListBullet"/>
        <w:spacing w:line="276" w:lineRule="auto" w:after="80" w:before="0"/>
        <w:ind w:left="576"/>
      </w:pPr>
      <w:r>
        <w:t>Intent Classification: 15.22s (LLM-based) -&gt; 0.00s (Deterministic Routing) [100% speedup]</w:t>
      </w:r>
    </w:p>
    <w:p>
      <w:pPr>
        <w:pStyle w:val="ListBullet"/>
        <w:spacing w:line="276" w:lineRule="auto" w:after="80" w:before="0"/>
        <w:ind w:left="576"/>
      </w:pPr>
      <w:r>
        <w:t>LLM Response Gen (Prefill): 47.40s (1500 chars) -&gt; 28.14s (1000 chars) [40.63% speedup]</w:t>
      </w:r>
    </w:p>
    <w:p>
      <w:pPr>
        <w:pStyle w:val="ListBullet"/>
        <w:spacing w:line="276" w:lineRule="auto" w:after="80" w:before="0"/>
        <w:ind w:left="576"/>
      </w:pPr>
      <w:r>
        <w:t>Total Query Latency: 71.69s -&gt; 36.87s [48.57% total query speedup]</w:t>
      </w:r>
    </w:p>
    <w:p>
      <w:pPr>
        <w:pStyle w:val="ListBullet"/>
        <w:spacing w:line="276" w:lineRule="auto" w:after="80" w:before="0"/>
        <w:ind w:left="576"/>
      </w:pPr>
      <w:r>
        <w:t>Ollama tags confirm direct Qwen 2.5 0.5b latency is ~3.99s, gemma2:2b is ~19.76s.</w:t>
      </w:r>
    </w:p>
    <w:p>
      <w:pPr>
        <w:spacing w:line="276" w:lineRule="auto" w:after="120" w:before="120"/>
      </w:pPr>
      <w:r>
        <w:t>Speaker Notes: Present the core empirical contribution of the thesis. By bypassing LLM classification and shortening chunk sizes, the query delay was cut in half, making CPU execution interactive.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17: </w:t>
      </w:r>
      <w:r>
        <w:rPr>
          <w:rFonts w:ascii="Calibri" w:hAnsi="Calibri"/>
          <w:b/>
          <w:color w:val="2E74B5"/>
          <w:sz w:val="28"/>
        </w:rPr>
        <w:t>System Evaluation (Chapter 4)</w:t>
      </w:r>
    </w:p>
    <w:p>
      <w:pPr>
        <w:pStyle w:val="ListBullet"/>
        <w:spacing w:line="276" w:lineRule="auto" w:after="80" w:before="0"/>
        <w:ind w:left="576"/>
      </w:pPr>
      <w:r>
        <w:t>Grounding Verification: Restricting context to the top two FAISS chunks ensures factual compliance.</w:t>
      </w:r>
    </w:p>
    <w:p>
      <w:pPr>
        <w:pStyle w:val="ListBullet"/>
        <w:spacing w:line="276" w:lineRule="auto" w:after="80" w:before="0"/>
        <w:ind w:left="576"/>
      </w:pPr>
      <w:r>
        <w:t>Out-of-Scope Shield: Blocks queries falling below the 0.40 threshold, avoiding hallucinations.</w:t>
      </w:r>
    </w:p>
    <w:p>
      <w:pPr>
        <w:pStyle w:val="ListBullet"/>
        <w:spacing w:line="276" w:lineRule="auto" w:after="80" w:before="0"/>
        <w:ind w:left="576"/>
      </w:pPr>
      <w:r>
        <w:t>Document Isolation: Enforces document_id filters on SQL, preventing leakage between documents.</w:t>
      </w:r>
    </w:p>
    <w:p>
      <w:pPr>
        <w:pStyle w:val="ListBullet"/>
        <w:spacing w:line="276" w:lineRule="auto" w:after="80" w:before="0"/>
        <w:ind w:left="576"/>
      </w:pPr>
      <w:r>
        <w:t>Cross-lingual Performance: Resolves Spanish/French queries against English texts; handles Hausa heuristics.</w:t>
      </w:r>
    </w:p>
    <w:p>
      <w:pPr>
        <w:spacing w:line="276" w:lineRule="auto" w:after="120" w:before="120"/>
      </w:pPr>
      <w:r>
        <w:t>Speaker Notes: Explain how the system evaluates correctness. The Out-of-Scope shield blocks off-topic queries, and database queries are isolated by document ID to assure zero data leakage.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18: </w:t>
      </w:r>
      <w:r>
        <w:rPr>
          <w:rFonts w:ascii="Calibri" w:hAnsi="Calibri"/>
          <w:b/>
          <w:color w:val="2E74B5"/>
          <w:sz w:val="28"/>
        </w:rPr>
        <w:t>Summary &amp; Conclusions (Chapter 5)</w:t>
      </w:r>
    </w:p>
    <w:p>
      <w:pPr>
        <w:pStyle w:val="ListBullet"/>
        <w:spacing w:line="276" w:lineRule="auto" w:after="80" w:before="0"/>
        <w:ind w:left="576"/>
      </w:pPr>
      <w:r>
        <w:t>Summary: AuraQA achieves private, offline document QA and learning support.</w:t>
      </w:r>
    </w:p>
    <w:p>
      <w:pPr>
        <w:pStyle w:val="ListBullet"/>
        <w:spacing w:line="276" w:lineRule="auto" w:after="80" w:before="0"/>
        <w:ind w:left="576"/>
      </w:pPr>
      <w:r>
        <w:t>Conclusion: Deterministic query routing and aligned chunk sizes make CPU RAG highly viable.</w:t>
      </w:r>
    </w:p>
    <w:p>
      <w:pPr>
        <w:pStyle w:val="ListBullet"/>
        <w:spacing w:line="276" w:lineRule="auto" w:after="80" w:before="0"/>
        <w:ind w:left="576"/>
      </w:pPr>
      <w:r>
        <w:t>Conclusion: The system successfully integrates VSM, CLT, and IFT theoretical frameworks.</w:t>
      </w:r>
    </w:p>
    <w:p>
      <w:pPr>
        <w:pStyle w:val="ListBullet"/>
        <w:spacing w:line="276" w:lineRule="auto" w:after="80" w:before="0"/>
        <w:ind w:left="576"/>
      </w:pPr>
      <w:r>
        <w:t>Conclusion: The architecture complies fully with data sovereignty and confidentiality mandates.</w:t>
      </w:r>
    </w:p>
    <w:p>
      <w:pPr>
        <w:spacing w:line="276" w:lineRule="auto" w:after="120" w:before="120"/>
      </w:pPr>
      <w:r>
        <w:t>Speaker Notes: Conclude the presentation. Summarize that local, sequence-aligned RAG structures allow client laptops to serve as highly responsive, private document workspaces.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19: </w:t>
      </w:r>
      <w:r>
        <w:rPr>
          <w:rFonts w:ascii="Calibri" w:hAnsi="Calibri"/>
          <w:b/>
          <w:color w:val="2E74B5"/>
          <w:sz w:val="28"/>
        </w:rPr>
        <w:t>Recommendations for Future Work (Chapter 5)</w:t>
      </w:r>
    </w:p>
    <w:p>
      <w:pPr>
        <w:pStyle w:val="ListBullet"/>
        <w:spacing w:line="276" w:lineRule="auto" w:after="80" w:before="0"/>
        <w:ind w:left="576"/>
      </w:pPr>
      <w:r>
        <w:t>Hybrid Ingestion Retrieval: Combine dense similarity search (FAISS) with sparse indexing (BM25).</w:t>
      </w:r>
    </w:p>
    <w:p>
      <w:pPr>
        <w:pStyle w:val="ListBullet"/>
        <w:spacing w:line="276" w:lineRule="auto" w:after="80" w:before="0"/>
        <w:ind w:left="576"/>
      </w:pPr>
      <w:r>
        <w:t>Advanced Quantization Formats: Evaluate lower-bit GGUF models (e.g. Q2_K/Q3_K) to reduce CPU loads.</w:t>
      </w:r>
    </w:p>
    <w:p>
      <w:pPr>
        <w:pStyle w:val="ListBullet"/>
        <w:spacing w:line="276" w:lineRule="auto" w:after="80" w:before="0"/>
        <w:ind w:left="576"/>
      </w:pPr>
      <w:r>
        <w:t>Knowledge Graph Mappings: Support cross-document query routing and comparisons.</w:t>
      </w:r>
    </w:p>
    <w:p>
      <w:pPr>
        <w:pStyle w:val="ListBullet"/>
        <w:spacing w:line="276" w:lineRule="auto" w:after="80" w:before="0"/>
        <w:ind w:left="576"/>
      </w:pPr>
      <w:r>
        <w:t>Local Embedding Fine-Tuning: Introduce contrastive learning loops to tune embeddings on local files.</w:t>
      </w:r>
    </w:p>
    <w:p>
      <w:pPr>
        <w:spacing w:line="276" w:lineRule="auto" w:after="120" w:before="120"/>
      </w:pPr>
      <w:r>
        <w:t>Speaker Notes: Propose future research paths. Specifically highlight hybrid search to improve technical keyword matches and GGUF quantizations to further decrease edge latency.</w:t>
      </w:r>
    </w:p>
    <w:p>
      <w:pPr>
        <w:keepNext/>
        <w:spacing w:before="360" w:after="160"/>
        <w:pBrd>
          <w:bottom w:val="single" w:sz="6" w:space="4" w:color="2E74B5"/>
        </w:pBrd>
      </w:pPr>
      <w:r>
        <w:rPr>
          <w:rFonts w:ascii="Calibri" w:hAnsi="Calibri"/>
          <w:b/>
          <w:color w:val="1F4E78"/>
          <w:sz w:val="28"/>
        </w:rPr>
        <w:t xml:space="preserve">Slide 20: </w:t>
      </w:r>
      <w:r>
        <w:rPr>
          <w:rFonts w:ascii="Calibri" w:hAnsi="Calibri"/>
          <w:b/>
          <w:color w:val="2E74B5"/>
          <w:sz w:val="28"/>
        </w:rPr>
        <w:t>Q&amp;A Session - Thank You!</w:t>
      </w:r>
    </w:p>
    <w:p>
      <w:pPr>
        <w:pStyle w:val="ListBullet"/>
        <w:spacing w:line="276" w:lineRule="auto" w:after="80" w:before="0"/>
        <w:ind w:left="576"/>
      </w:pPr>
      <w:r>
        <w:t>Muhammad Sagir Auwal (B.Sc. Computer Science Candidate)</w:t>
      </w:r>
    </w:p>
    <w:p>
      <w:pPr>
        <w:pStyle w:val="ListBullet"/>
        <w:spacing w:line="276" w:lineRule="auto" w:after="80" w:before="0"/>
        <w:ind w:left="576"/>
      </w:pPr>
      <w:r>
        <w:t>Design and Implementation of an Intelligent Document Analysis and Learning Assistant System</w:t>
      </w:r>
    </w:p>
    <w:p>
      <w:pPr>
        <w:pStyle w:val="ListBullet"/>
        <w:spacing w:line="276" w:lineRule="auto" w:after="80" w:before="0"/>
        <w:ind w:left="576"/>
      </w:pPr>
      <w:r>
        <w:t>Open for Questions from the Panel</w:t>
      </w:r>
    </w:p>
    <w:p>
      <w:pPr>
        <w:spacing w:line="276" w:lineRule="auto" w:after="120" w:before="120"/>
      </w:pPr>
      <w:r>
        <w:t>Speaker Notes: Thank the panel for their time and open the floor to questions about your system architecture, database design, or RAG optimizations.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