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line="480" w:lineRule="auto"/>
        <w:jc w:val="center"/>
      </w:pPr>
      <w:r>
        <w:rPr>
          <w:b/>
        </w:rPr>
        <w:t>DESIGN AND IMPLEMENTATION OF AN INTELLIGENT DOCUMENT ANALYSIS AND LEARNING ASSISTANT SYSTEM</w:t>
        <w:br/>
        <w:br/>
        <w:br/>
        <w:br/>
      </w:r>
      <w:r>
        <w:t>By</w:t>
        <w:br/>
        <w:br/>
        <w:t>Muhammad Sagir Auwal</w:t>
        <w:br/>
        <w:br/>
        <w:br/>
        <w:br/>
      </w:r>
      <w:r>
        <w:t>A Graduation Project Proposal Submitted to the Department of Computer Science in Partial Fulfillment of the Requirements for the Award of Bachelor of Science Degree in Computer Science</w:t>
        <w:br/>
        <w:br/>
        <w:br/>
        <w:br/>
      </w:r>
      <w:r>
        <w:t>June, 2026</w:t>
      </w:r>
    </w:p>
    <w:p>
      <w:r>
        <w:br w:type="page"/>
      </w:r>
    </w:p>
    <w:p>
      <w:pPr>
        <w:keepNext/>
        <w:spacing w:line="480" w:lineRule="auto" w:before="240" w:after="120"/>
        <w:jc w:val="center"/>
      </w:pPr>
      <w:r>
        <w:rPr>
          <w:rFonts w:ascii="Times New Roman" w:hAnsi="Times New Roman"/>
          <w:b/>
          <w:color w:val="000000"/>
          <w:sz w:val="24"/>
        </w:rPr>
        <w:t>CHAPTER ONE</w:t>
      </w:r>
    </w:p>
    <w:p>
      <w:pPr>
        <w:keepNext/>
        <w:spacing w:line="480" w:lineRule="auto" w:before="240" w:after="120"/>
        <w:jc w:val="center"/>
      </w:pPr>
      <w:r>
        <w:rPr>
          <w:rFonts w:ascii="Times New Roman" w:hAnsi="Times New Roman"/>
          <w:b/>
          <w:color w:val="000000"/>
          <w:sz w:val="24"/>
        </w:rPr>
        <w:t>INTRODUCTION AND BACKGROUND OF THE STUDY</w:t>
      </w:r>
    </w:p>
    <w:p>
      <w:pPr>
        <w:keepNext/>
        <w:spacing w:line="480" w:lineRule="auto" w:before="240" w:after="120"/>
        <w:jc w:val="left"/>
      </w:pPr>
      <w:r>
        <w:rPr>
          <w:rFonts w:ascii="Times New Roman" w:hAnsi="Times New Roman"/>
          <w:b/>
          <w:color w:val="000000"/>
          <w:sz w:val="24"/>
        </w:rPr>
        <w:t>1.1 Introduction</w:t>
      </w:r>
    </w:p>
    <w:p>
      <w:pPr>
        <w:spacing w:line="480" w:lineRule="auto" w:before="0" w:after="240"/>
        <w:ind w:firstLine="0"/>
      </w:pPr>
      <w:r>
        <w:t>In the contemporary era of artificial intelligence and natural language processing, Large Language Models (LLMs) have emerged as highly capable interfaces for text generation, translation, and contextual analysis (Vaswani et al., 2017). Due to their training on massive corpora, these architectures demonstrate an intuitive understanding of syntax and conceptual relationships. However, in institutional settings such as healthcare, legal services, and private research, utilizing cloud-hosted LLM endpoints (e.g., OpenAI, Google Cloud) introduces insurmountable challenges. Foremost among these are data sovereignty violations, intellectual property risks, and compliance breaches under strict regional regulations like the General Data Protection Regulation (GDPR) and the Health Insurance Portability and Accountability Act (HIPAA).</w:t>
      </w:r>
    </w:p>
    <w:p>
      <w:pPr>
        <w:spacing w:line="480" w:lineRule="auto" w:before="0" w:after="240"/>
        <w:ind w:firstLine="0"/>
      </w:pPr>
      <w:r>
        <w:t>To bypass public cloud transmission, local offline deployment of open-weight LLMs has become highly active. Yet, standalone local models suffer from fundamental limitations. They are prone to cognitive hallucinations, lacking temporal awareness of events beyond their static training cutoff, and they are incapable of accessing proprietary or private documents unless fine-tuned at substantial computational cost (Lewis et al., 2020). Retrieval-Augmented Generation (RAG) has emerged as the standard paradigm to address these limits by retrieving relevant context chunks from private source files and prepending them to the user's prompt (Lewis et al., 2020). Nonetheless, deploying local RAG systems on commodity hardware (such as mid-range laptops lacking dedicated GPUs) uncovers severe performance bottlenecks, including long token prefill latency during prompt evaluation and context truncation in embedding models.</w:t>
      </w:r>
    </w:p>
    <w:p>
      <w:pPr>
        <w:spacing w:line="480" w:lineRule="auto" w:before="0" w:after="240"/>
        <w:ind w:firstLine="0"/>
      </w:pPr>
      <w:r>
        <w:t>This research explores and implements an optimized local RAG architecture. By incorporating deterministic query classification, whitelisted multilingual token filters, and sequence-aligned text chunking, this system drastically reduces CPU evaluation overhead and prevents semantic truncation. The resulting application, AuraQA, provides an offline, private, and rapid question-answering workspace supporting regional and international languages, including English, French, Spanish, German, Arabic, and Hausa.</w:t>
      </w:r>
    </w:p>
    <w:p>
      <w:pPr>
        <w:keepNext/>
        <w:spacing w:line="480" w:lineRule="auto" w:before="240" w:after="120"/>
        <w:jc w:val="left"/>
      </w:pPr>
      <w:r>
        <w:rPr>
          <w:rFonts w:ascii="Times New Roman" w:hAnsi="Times New Roman"/>
          <w:b/>
          <w:color w:val="000000"/>
          <w:sz w:val="24"/>
        </w:rPr>
        <w:t>1.2 Problem Statement</w:t>
      </w:r>
    </w:p>
    <w:p>
      <w:pPr>
        <w:spacing w:line="480" w:lineRule="auto" w:before="0" w:after="240"/>
        <w:ind w:firstLine="0"/>
      </w:pPr>
      <w:r>
        <w:t>Deploying local RAG workflows on resource-constrained commodity CPUs introduces significant engineering bottlenecks that severely degrade user experience and retrieval accuracy. The primary challenges are documented as follows:</w:t>
      </w:r>
    </w:p>
    <w:p>
      <w:pPr>
        <w:spacing w:line="480" w:lineRule="auto" w:before="0" w:after="240"/>
        <w:ind w:firstLine="0"/>
      </w:pPr>
      <w:r>
        <w:t>First, Context Prefill Latency represents the single largest bottleneck on CPU-bound local LLM execution. When standard RAG systems ingest query-matched document text, they construct long prompts containing thousands of tokens. On local CPU threads, evaluating these tokens (prefilling) before generating the answer can take 60 to 120 seconds. This makes real-time conversational interfaces practically unusable for end-users.</w:t>
      </w:r>
    </w:p>
    <w:p>
      <w:pPr>
        <w:spacing w:line="480" w:lineRule="auto" w:before="0" w:after="240"/>
        <w:ind w:firstLine="0"/>
      </w:pPr>
      <w:r>
        <w:t>Second, Semantic Vector Truncation degrades search relevance. Popular multilingual embedding transformers (such as paraphrase-multilingual-MiniLM-L12-v2) enforce a strict token limit of 128 or 256 tokens (~500–1000 characters). Standard ingestion pipelines that divide documents into large arbitrary chunks (e.g., 1500+ characters) cause any text past the model's sequence limit to be completely ignored by the FAISS vector index, leading to lost context.</w:t>
      </w:r>
    </w:p>
    <w:p>
      <w:pPr>
        <w:spacing w:line="480" w:lineRule="auto" w:before="0" w:after="240"/>
        <w:ind w:firstLine="0"/>
      </w:pPr>
      <w:r>
        <w:t>Third, Hallucinations on Out-of-Scope Queries compromise trust. Standalone RAG systems often attempt to synthesize responses to questions that cannot be answered using the provided document. Without a low-resource safety shield to validate similarity scores and classify incoming query intents (such as greetings or global summary requests) before calling the LLM, the system generates inaccurate answers and wastes CPU compute cycles.</w:t>
      </w:r>
    </w:p>
    <w:p>
      <w:pPr>
        <w:keepNext/>
        <w:spacing w:line="480" w:lineRule="auto" w:before="240" w:after="120"/>
        <w:jc w:val="left"/>
      </w:pPr>
      <w:r>
        <w:rPr>
          <w:rFonts w:ascii="Times New Roman" w:hAnsi="Times New Roman"/>
          <w:b/>
          <w:color w:val="000000"/>
          <w:sz w:val="24"/>
        </w:rPr>
        <w:t>1.3 Objectives of the Study</w:t>
      </w:r>
    </w:p>
    <w:p>
      <w:pPr>
        <w:spacing w:line="480" w:lineRule="auto" w:before="0" w:after="240"/>
        <w:ind w:firstLine="0"/>
      </w:pPr>
      <w:r>
        <w:t>The overall aim of this project is to design, develop, and optimize a secure, fully offline RAG system for private document question-answering, minimizing CPU execution latency and preventing context truncation on consumer-grade hardware.</w:t>
      </w:r>
    </w:p>
    <w:p>
      <w:pPr>
        <w:spacing w:line="480" w:lineRule="auto" w:before="0" w:after="240"/>
        <w:ind w:firstLine="0"/>
      </w:pPr>
      <w:r>
        <w:t>The specific objectives required to achieve this aim are to:</w:t>
      </w:r>
    </w:p>
    <w:p>
      <w:pPr>
        <w:pStyle w:val="ListBullet"/>
        <w:spacing w:line="480" w:lineRule="auto" w:after="0" w:before="0"/>
        <w:ind w:left="720"/>
      </w:pPr>
      <w:r>
        <w:rPr>
          <w:b/>
        </w:rPr>
        <w:t xml:space="preserve">1. </w:t>
      </w:r>
      <w:r>
        <w:t xml:space="preserve"> Develop a local multi-format document parser capable of ingesting PDF, DOCX, TXT, and CSV file formats, extracting page-level text, and preserving tabular row relationships.</w:t>
      </w:r>
    </w:p>
    <w:p>
      <w:pPr>
        <w:pStyle w:val="ListBullet"/>
        <w:spacing w:line="480" w:lineRule="auto" w:after="0" w:before="0"/>
        <w:ind w:left="720"/>
      </w:pPr>
      <w:r>
        <w:rPr>
          <w:b/>
        </w:rPr>
        <w:t xml:space="preserve">2. </w:t>
      </w:r>
      <w:r>
        <w:t xml:space="preserve"> Implement an optimized text chunking algorithm that splits documents into 1000-character segments with a 150-character overlap to match the embedding model limits and reduce downstream LLM context sizes.</w:t>
      </w:r>
    </w:p>
    <w:p>
      <w:pPr>
        <w:pStyle w:val="ListBullet"/>
        <w:spacing w:line="480" w:lineRule="auto" w:after="0" w:before="0"/>
        <w:ind w:left="720"/>
      </w:pPr>
      <w:r>
        <w:rPr>
          <w:b/>
        </w:rPr>
        <w:t xml:space="preserve">3. </w:t>
      </w:r>
      <w:r>
        <w:t xml:space="preserve"> Construct an offline vector database index utilizing FAISS (Facebook AI Similarity Search) and the 'paraphrase-multilingual-MiniLM-L12-v2' transformer to compute and query cosine similarity values locally.</w:t>
      </w:r>
    </w:p>
    <w:p>
      <w:pPr>
        <w:pStyle w:val="ListBullet"/>
        <w:spacing w:line="480" w:lineRule="auto" w:after="0" w:before="0"/>
        <w:ind w:left="720"/>
      </w:pPr>
      <w:r>
        <w:rPr>
          <w:b/>
        </w:rPr>
        <w:t xml:space="preserve">4. </w:t>
      </w:r>
      <w:r>
        <w:t xml:space="preserve"> Design a deterministic, rule-based query classifier to handle greetings, global summaries, and out-of-scope validation without invoking resource-heavy local LLM inference.</w:t>
      </w:r>
    </w:p>
    <w:p>
      <w:pPr>
        <w:pStyle w:val="ListBullet"/>
        <w:spacing w:line="480" w:lineRule="auto" w:after="0" w:before="0"/>
        <w:ind w:left="720"/>
      </w:pPr>
      <w:r>
        <w:rPr>
          <w:b/>
        </w:rPr>
        <w:t xml:space="preserve">5. </w:t>
      </w:r>
      <w:r>
        <w:t xml:space="preserve"> Develop a secure web application stack featuring a FastAPI backend and Next.js frontend with secure JWT authentication and CORS controls to prevent data leakage.</w:t>
      </w:r>
    </w:p>
    <w:p>
      <w:pPr>
        <w:pStyle w:val="ListBullet"/>
        <w:spacing w:line="480" w:lineRule="auto" w:after="0" w:before="0"/>
        <w:ind w:left="720"/>
      </w:pPr>
      <w:r>
        <w:rPr>
          <w:b/>
        </w:rPr>
        <w:t xml:space="preserve">6. </w:t>
      </w:r>
      <w:r>
        <w:t xml:space="preserve"> Evaluate the latency, memory usage, and grounding accuracy of the optimized system using lightweight models (e.g. Qwen 2.5 0.5B and Gemma 2 2B) running locally on CPU hardware.</w:t>
      </w:r>
    </w:p>
    <w:p>
      <w:pPr>
        <w:keepNext/>
        <w:spacing w:line="480" w:lineRule="auto" w:before="240" w:after="120"/>
        <w:jc w:val="left"/>
      </w:pPr>
      <w:r>
        <w:rPr>
          <w:rFonts w:ascii="Times New Roman" w:hAnsi="Times New Roman"/>
          <w:b/>
          <w:color w:val="000000"/>
          <w:sz w:val="24"/>
        </w:rPr>
        <w:t>1.4 Research Questions</w:t>
      </w:r>
    </w:p>
    <w:p>
      <w:pPr>
        <w:spacing w:line="480" w:lineRule="auto" w:before="0" w:after="240"/>
        <w:ind w:firstLine="0"/>
      </w:pPr>
      <w:r>
        <w:t>To guide the investigation and system evaluation, this study addresses the following questions:</w:t>
      </w:r>
    </w:p>
    <w:p>
      <w:pPr>
        <w:pStyle w:val="ListBullet"/>
        <w:spacing w:line="480" w:lineRule="auto" w:after="0" w:before="0"/>
        <w:ind w:left="720"/>
      </w:pPr>
      <w:r>
        <w:rPr>
          <w:b/>
        </w:rPr>
        <w:t xml:space="preserve">1. </w:t>
      </w:r>
      <w:r>
        <w:t xml:space="preserve"> How does reducing the chunk size to 1000 characters affect the time-to-first-token (TTFT) and total generation latency of local LLMs on CPU-only hardware?</w:t>
      </w:r>
    </w:p>
    <w:p>
      <w:pPr>
        <w:pStyle w:val="ListBullet"/>
        <w:spacing w:line="480" w:lineRule="auto" w:after="0" w:before="0"/>
        <w:ind w:left="720"/>
      </w:pPr>
      <w:r>
        <w:rPr>
          <w:b/>
        </w:rPr>
        <w:t xml:space="preserve">2. </w:t>
      </w:r>
      <w:r>
        <w:t xml:space="preserve"> To what extent does the integration of a deterministic keyword-based classifier reduce latency compared to LLM-based query classification?</w:t>
      </w:r>
    </w:p>
    <w:p>
      <w:pPr>
        <w:pStyle w:val="ListBullet"/>
        <w:spacing w:line="480" w:lineRule="auto" w:after="0" w:before="0"/>
        <w:ind w:left="720"/>
      </w:pPr>
      <w:r>
        <w:rPr>
          <w:b/>
        </w:rPr>
        <w:t xml:space="preserve">3. </w:t>
      </w:r>
      <w:r>
        <w:t xml:space="preserve"> How effective is a cosine similarity threshold of 0.40 at filtering out-of-scope queries across multiple languages?</w:t>
      </w:r>
    </w:p>
    <w:p>
      <w:pPr>
        <w:pStyle w:val="ListBullet"/>
        <w:spacing w:line="480" w:lineRule="auto" w:after="0" w:before="0"/>
        <w:ind w:left="720"/>
      </w:pPr>
      <w:r>
        <w:rPr>
          <w:b/>
        </w:rPr>
        <w:t xml:space="preserve">4. </w:t>
      </w:r>
      <w:r>
        <w:t xml:space="preserve"> Can a local, offline embedding pipeline maintain retrieval accuracy when processing cross-lingual queries in regional languages such as Hausa?</w:t>
      </w:r>
    </w:p>
    <w:p>
      <w:pPr>
        <w:keepNext/>
        <w:spacing w:line="480" w:lineRule="auto" w:before="240" w:after="120"/>
        <w:jc w:val="left"/>
      </w:pPr>
      <w:r>
        <w:rPr>
          <w:rFonts w:ascii="Times New Roman" w:hAnsi="Times New Roman"/>
          <w:b/>
          <w:color w:val="000000"/>
          <w:sz w:val="24"/>
        </w:rPr>
        <w:t>1.5 Significance of the Study</w:t>
      </w:r>
    </w:p>
    <w:p>
      <w:pPr>
        <w:spacing w:line="480" w:lineRule="auto" w:before="0" w:after="240"/>
        <w:ind w:firstLine="0"/>
      </w:pPr>
      <w:r>
        <w:t>This study provides significant contributions to both the academic research community and industry practitioners. From a security standpoint, the research demonstrates a viable pathway for corporate entities, legal firms, and medical researchers to harness conversational AI without compromising patient confidentiality or corporate intellectual property. By maintaining a 100% offline data flow, organizations remain compliant with strict regulatory frameworks.</w:t>
      </w:r>
    </w:p>
    <w:p>
      <w:pPr>
        <w:spacing w:line="480" w:lineRule="auto" w:before="0" w:after="240"/>
        <w:ind w:firstLine="0"/>
      </w:pPr>
      <w:r>
        <w:t>From a software engineering perspective, this work offers an optimized architectural blueprint for executing RAG pipelines on low-resource environments. By showcasing that sequence-aligned chunking and deterministic query routing can cut execution times in half, this project proves that expensive GPU servers are not always mandatory for running local NLP tasks, democratizing access to secure AI tools.</w:t>
      </w:r>
    </w:p>
    <w:p>
      <w:pPr>
        <w:keepNext/>
        <w:spacing w:line="480" w:lineRule="auto" w:before="240" w:after="120"/>
        <w:jc w:val="left"/>
      </w:pPr>
      <w:r>
        <w:rPr>
          <w:rFonts w:ascii="Times New Roman" w:hAnsi="Times New Roman"/>
          <w:b/>
          <w:color w:val="000000"/>
          <w:sz w:val="24"/>
        </w:rPr>
        <w:t>1.6 Scope of the Study</w:t>
      </w:r>
    </w:p>
    <w:p>
      <w:pPr>
        <w:spacing w:line="480" w:lineRule="auto" w:before="0" w:after="240"/>
        <w:ind w:firstLine="0"/>
      </w:pPr>
      <w:r>
        <w:t>The boundaries of this study are defined as follows. The system is restricted to document parsing and indexing of four primary extensions: PDF, DOCX, TXT, and CSV. The embedding engine is isolated to the 'paraphrase-multilingual-MiniLM-L12-v2' model, and the local LLM generation is restricted to open-weight models executable through Ollama (specifically whitelisting Qwen 2.5 0.5B and Gemma 2 2B). The multilingual scope is strictly limited to the six whitelisted languages: English, French, Spanish, German, Arabic, and Hausa. Finally, all performance benchmarks are evaluated on consumer-grade CPU hardware representing typical client laptops.</w:t>
      </w:r>
    </w:p>
    <w:p>
      <w:pPr>
        <w:keepNext/>
        <w:spacing w:line="480" w:lineRule="auto" w:before="240" w:after="120"/>
        <w:jc w:val="left"/>
      </w:pPr>
      <w:r>
        <w:rPr>
          <w:rFonts w:ascii="Times New Roman" w:hAnsi="Times New Roman"/>
          <w:b/>
          <w:color w:val="000000"/>
          <w:sz w:val="24"/>
        </w:rPr>
        <w:t>1.7 Operational Definition of Terms</w:t>
      </w:r>
    </w:p>
    <w:p>
      <w:pPr>
        <w:spacing w:line="480" w:lineRule="auto" w:after="0" w:before="0"/>
        <w:ind w:firstLine="720"/>
      </w:pPr>
      <w:r>
        <w:rPr>
          <w:b/>
        </w:rPr>
        <w:t xml:space="preserve">Retrieval-Augmented Generation (RAG): </w:t>
      </w:r>
      <w:r>
        <w:t>A technical framework that searches external documents to retrieve relevant passages, prepending them to the user's prompt to ground the LLM's response.</w:t>
      </w:r>
    </w:p>
    <w:p>
      <w:pPr>
        <w:spacing w:line="480" w:lineRule="auto" w:after="0" w:before="0"/>
        <w:ind w:firstLine="720"/>
      </w:pPr>
      <w:r>
        <w:rPr>
          <w:b/>
        </w:rPr>
        <w:t xml:space="preserve">Facebook AI Similarity Search (FAISS): </w:t>
      </w:r>
      <w:r>
        <w:t>An open-source library optimized for high-speed, dense vector similarity search, used here to index and match document embeddings.</w:t>
      </w:r>
    </w:p>
    <w:p>
      <w:pPr>
        <w:spacing w:line="480" w:lineRule="auto" w:after="0" w:before="0"/>
        <w:ind w:firstLine="720"/>
      </w:pPr>
      <w:r>
        <w:rPr>
          <w:b/>
        </w:rPr>
        <w:t xml:space="preserve">Token Prefill Latency: </w:t>
      </w:r>
      <w:r>
        <w:t>The time required by an LLM engine to ingest and evaluate prompt context tokens before it begins generating the first output token.</w:t>
      </w:r>
    </w:p>
    <w:p>
      <w:pPr>
        <w:spacing w:line="480" w:lineRule="auto" w:after="0" w:before="0"/>
        <w:ind w:firstLine="720"/>
      </w:pPr>
      <w:r>
        <w:rPr>
          <w:b/>
        </w:rPr>
        <w:t xml:space="preserve">Context Truncation: </w:t>
      </w:r>
      <w:r>
        <w:t>The clipping of text that occurs when document chunks exceed the maximum sequence length supported by a transformer model.</w:t>
      </w:r>
    </w:p>
    <w:p>
      <w:pPr>
        <w:spacing w:line="480" w:lineRule="auto" w:after="0" w:before="0"/>
        <w:ind w:firstLine="720"/>
      </w:pPr>
      <w:r>
        <w:rPr>
          <w:b/>
        </w:rPr>
        <w:t xml:space="preserve">Out-of-Scope Shield: </w:t>
      </w:r>
      <w:r>
        <w:t>A verification middleware that compares the highest cosine similarity score of retrieved chunks against a threshold (0.40) to block off-topic queries.</w:t>
      </w:r>
    </w:p>
    <w:p>
      <w:pPr>
        <w:spacing w:line="480" w:lineRule="auto" w:after="0" w:before="0"/>
        <w:ind w:firstLine="720"/>
      </w:pPr>
      <w:r>
        <w:rPr>
          <w:b/>
        </w:rPr>
        <w:t xml:space="preserve">Data Sovereignty: </w:t>
      </w:r>
      <w:r>
        <w:t>The legal concept that digital data is subject to the laws and governance of the country or organization within which it is located.</w:t>
      </w:r>
    </w:p>
    <w:p>
      <w:r>
        <w:br w:type="page"/>
      </w:r>
    </w:p>
    <w:p>
      <w:pPr>
        <w:keepNext/>
        <w:spacing w:line="480" w:lineRule="auto" w:before="240" w:after="120"/>
        <w:jc w:val="center"/>
      </w:pPr>
      <w:r>
        <w:rPr>
          <w:rFonts w:ascii="Times New Roman" w:hAnsi="Times New Roman"/>
          <w:b/>
          <w:color w:val="000000"/>
          <w:sz w:val="24"/>
        </w:rPr>
        <w:t>References</w:t>
      </w:r>
    </w:p>
    <w:p>
      <w:pPr>
        <w:spacing w:line="480" w:lineRule="auto" w:after="120"/>
        <w:ind w:left="720" w:hanging="720"/>
      </w:pPr>
      <w:r>
        <w:t xml:space="preserve">Vaswani, A., Shazeer, N., Parmar, N., Uszkoreit, J., Jones, L., Gomez, A. N., Kaiser, L., &amp; Polosukhin, I. (2017). Attention is all you need. </w:t>
      </w:r>
      <w:r>
        <w:rPr>
          <w:i/>
        </w:rPr>
        <w:t>Advances in Neural Information Processing Systems</w:t>
      </w:r>
      <w:r>
        <w:t>, 30, 5998–6008.</w:t>
      </w:r>
    </w:p>
    <w:p>
      <w:pPr>
        <w:spacing w:line="480" w:lineRule="auto" w:after="120"/>
        <w:ind w:left="720" w:hanging="720"/>
      </w:pPr>
      <w:r>
        <w:t xml:space="preserve">Lewis, P., Perez, E., Piktus, A., Petroni, F., Lewis, M., Riedel, S., &amp; Kiela, D. (2020). Retrieval-augmented generation for knowledge-intensive NLP tasks. </w:t>
      </w:r>
      <w:r>
        <w:rPr>
          <w:i/>
        </w:rPr>
        <w:t>Advances in Neural Information Processing Systems</w:t>
      </w:r>
      <w:r>
        <w:t>, 33, 9459–9474.</w:t>
      </w:r>
    </w:p>
    <w:p>
      <w:pPr>
        <w:spacing w:line="480" w:lineRule="auto" w:after="120"/>
        <w:ind w:left="720" w:hanging="720"/>
      </w:pPr>
      <w:r>
        <w:t xml:space="preserve">Johnson, J., Douze, M., &amp; Jégou, H. (2019). Billion-scale similarity search with GPUs. </w:t>
      </w:r>
      <w:r>
        <w:rPr>
          <w:i/>
        </w:rPr>
        <w:t>IEEE Transactions on Big Data</w:t>
      </w:r>
      <w:r>
        <w:t>, 7(3), 535–547. https://doi.org/10.1109/TBDATA.2019.2900338</w:t>
      </w:r>
    </w:p>
    <w:p>
      <w:pPr>
        <w:spacing w:line="480" w:lineRule="auto" w:after="120"/>
        <w:ind w:left="720" w:hanging="720"/>
      </w:pPr>
      <w:r>
        <w:t xml:space="preserve">Reimers, N., &amp; Gurevych, I. (2019). Sentence-BERT: Sentence embeddings using Siamese BERT-networks. In </w:t>
      </w:r>
      <w:r>
        <w:rPr>
          <w:i/>
        </w:rPr>
        <w:t>Proceedings of the 2019 Conference on Empirical Methods in Natural Language Processing</w:t>
      </w:r>
      <w:r>
        <w:t xml:space="preserve"> (pp. 3982–3992). https://doi.org/10.18653/v1/D19-1410</w:t>
      </w:r>
    </w:p>
    <w:sectPr w:rsidR="00FC693F" w:rsidRPr="0006063C" w:rsidSect="00034616">
      <w:pgSz w:w="11909" w:h="16834"/>
      <w:pgMar w:top="1440" w:right="1440" w:bottom="1440" w:left="19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