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480" w:lineRule="auto" w:before="240" w:after="120"/>
        <w:jc w:val="center"/>
      </w:pPr>
      <w:r>
        <w:rPr>
          <w:rFonts w:ascii="Times New Roman" w:hAnsi="Times New Roman"/>
          <w:b/>
          <w:color w:val="000000"/>
          <w:sz w:val="24"/>
        </w:rPr>
        <w:t>CHAPTER FIVE</w:t>
      </w:r>
    </w:p>
    <w:p>
      <w:pPr>
        <w:keepNext/>
        <w:spacing w:line="480" w:lineRule="auto" w:before="240" w:after="120"/>
        <w:jc w:val="center"/>
      </w:pPr>
      <w:r>
        <w:rPr>
          <w:rFonts w:ascii="Times New Roman" w:hAnsi="Times New Roman"/>
          <w:b/>
          <w:color w:val="000000"/>
          <w:sz w:val="24"/>
        </w:rPr>
        <w:t>SUMMARY, CONCLUSION, AND RECOMMENDATIONS</w:t>
      </w:r>
    </w:p>
    <w:p>
      <w:pPr>
        <w:keepNext/>
        <w:spacing w:line="480" w:lineRule="auto" w:before="240" w:after="120"/>
        <w:jc w:val="left"/>
      </w:pPr>
      <w:r>
        <w:rPr>
          <w:rFonts w:ascii="Times New Roman" w:hAnsi="Times New Roman"/>
          <w:b/>
          <w:color w:val="000000"/>
          <w:sz w:val="24"/>
        </w:rPr>
        <w:t>5.1 Summary of Findings</w:t>
      </w:r>
    </w:p>
    <w:p>
      <w:pPr>
        <w:spacing w:line="480" w:lineRule="auto" w:before="0" w:after="240"/>
        <w:ind w:firstLine="0"/>
      </w:pPr>
      <w:r>
        <w:t>This graduation research project designed, implemented, optimized, and evaluated the Intelligent Document Analysis and Learning Assistant System (AuraQA), delivering a secure, fully offline workspace for document-grounded question-answering and active study assistance. The primary motivation of the study arose from severe data privacy concerns associated with transmitting confidential files over public cloud LLM endpoints (e.g. OpenAI or Google APIs), paired with the computational bottlenecks (long prefill latency and vector truncation) of executing neural network model inference on commodity client CPUs.</w:t>
      </w:r>
    </w:p>
    <w:p>
      <w:pPr>
        <w:spacing w:line="480" w:lineRule="auto" w:before="0" w:after="240"/>
        <w:ind w:firstLine="0"/>
      </w:pPr>
      <w:r>
        <w:t>The system's development was managed under the iterative Prototyping System Development Life Cycle (SDLC) model, allowing system components to be evaluated, optimized, and re-integrated dynamically. The research successfully produced five core findings. First, database-level security and CORS origin isolation (restricting REST calls strictly to authenticated origins like localhost and 127.0.0.1) proved effective in preventing data leakage and resolving early DNS timeout failures in multi-user web environments. Second, standard text chunk sizes (1500 characters) were identified as a major cause of semantic index truncation due to embedding model context limits. By decreasing the chunk size to 1000 characters with a 150-character overlap, document paragraphs were aligned with the exact sequence limits of the sentence transformer model.</w:t>
      </w:r>
    </w:p>
    <w:p>
      <w:pPr>
        <w:spacing w:line="480" w:lineRule="auto" w:before="0" w:after="240"/>
        <w:ind w:firstLine="0"/>
      </w:pPr>
      <w:r>
        <w:t>Third, profiling the RAG query pipeline revealed that local LLMs running on CPUs suffer from massive token prefill delays. By replacing the unoptimized, LLM-based query classification pipeline with a deterministic keyword classifier with spelling heuristics and multilingual greeting responses, intent classification latency dropped from 15.22 seconds to 0.00 seconds. Fourth, the chunk-size reduction decreased context prefill tokens by ~40.63%, allowing the local LLM to generate grounded answers in 28.14 seconds instead of 47.40 seconds, bringing total query execution times down by 48.57% (from 71.69s to 36.87s). Fifth, the Out-of-Scope similarity shield successfully blocked off-topic queries falling below the 0.40 cosine similarity threshold, effectively protecting the system from generating hallucinations and conserving local processor cycles.</w:t>
      </w:r>
    </w:p>
    <w:p>
      <w:pPr>
        <w:keepNext/>
        <w:spacing w:line="480" w:lineRule="auto" w:before="240" w:after="120"/>
        <w:jc w:val="left"/>
      </w:pPr>
      <w:r>
        <w:rPr>
          <w:rFonts w:ascii="Times New Roman" w:hAnsi="Times New Roman"/>
          <w:b/>
          <w:color w:val="000000"/>
          <w:sz w:val="24"/>
        </w:rPr>
        <w:t>5.2 Conclusion</w:t>
      </w:r>
    </w:p>
    <w:p>
      <w:pPr>
        <w:spacing w:line="480" w:lineRule="auto" w:before="0" w:after="240"/>
        <w:ind w:firstLine="0"/>
      </w:pPr>
      <w:r>
        <w:t>This project establishes that privacy-first, offline document question-answering is technically and computationally viable on standard client CPUs, without requiring expensive dedicated GPUs or external cloud web hooks. The theoretical and practical contributions of this research bridge key gaps in local NLP execution. Practically, the study shows that careful alignment of document chunk lengths to embedding model constraints, combined with rule-based routing, eliminates the context evaluation bottlenecks that historically made CPU-bound local model inference unusable.</w:t>
      </w:r>
    </w:p>
    <w:p>
      <w:pPr>
        <w:spacing w:line="480" w:lineRule="auto" w:before="0" w:after="240"/>
        <w:ind w:firstLine="0"/>
      </w:pPr>
      <w:r>
        <w:t>Theoretically, this research validates the Vector Space Model (VSM) as a robust mathematical model for local semantic grounding, proving that cosine similarity measurements on dense vector representations provide reliable context isolation. Furthermore, by integrating active-recall study aids (summarization, concept grids, interactive quizzes, and flashcards), the system successfully applies Cognitive Load Theory (CLT) and Information Foraging Theory (IFT), optimizing the user's information foraging scent while reducing extraneous cognitive load during intensive document study. The resulting system, AuraQA, provides a blueprint for secure, on-premise knowledge management across corporate, medical, and academic domains.</w:t>
      </w:r>
    </w:p>
    <w:p>
      <w:pPr>
        <w:keepNext/>
        <w:spacing w:line="480" w:lineRule="auto" w:before="240" w:after="120"/>
        <w:jc w:val="left"/>
      </w:pPr>
      <w:r>
        <w:rPr>
          <w:rFonts w:ascii="Times New Roman" w:hAnsi="Times New Roman"/>
          <w:b/>
          <w:color w:val="000000"/>
          <w:sz w:val="24"/>
        </w:rPr>
        <w:t>5.3 Recommendations</w:t>
      </w:r>
    </w:p>
    <w:p>
      <w:pPr>
        <w:spacing w:line="480" w:lineRule="auto" w:before="0" w:after="240"/>
        <w:ind w:firstLine="0"/>
      </w:pPr>
      <w:r>
        <w:t>Based on the implementation outcomes, experimental benchmarks, and academic findings of this study, the following recommendations are proposed to guide future engineering work in this domain:</w:t>
      </w:r>
    </w:p>
    <w:p>
      <w:pPr>
        <w:pStyle w:val="ListBullet"/>
        <w:spacing w:line="480" w:lineRule="auto" w:after="0" w:before="0"/>
        <w:ind w:left="720"/>
      </w:pPr>
      <w:r>
        <w:rPr>
          <w:b/>
        </w:rPr>
        <w:t xml:space="preserve">1. </w:t>
      </w:r>
      <w:r>
        <w:t xml:space="preserve"> Deploy Hybrid Dense-Sparse Retrieval: Future systems should implement a combined retrieval engine that merges dense semantic vector search (FAISS) with sparse keyword matching algorithms (such as BM25). This hybrid approach will preserve semantic context while ensuring exact keyword matching for specific serial numbers, acronyms, or technical terminology that dense vectors frequently dilute.</w:t>
      </w:r>
    </w:p>
    <w:p>
      <w:pPr>
        <w:pStyle w:val="ListBullet"/>
        <w:spacing w:line="480" w:lineRule="auto" w:after="0" w:before="0"/>
        <w:ind w:left="720"/>
      </w:pPr>
      <w:r>
        <w:rPr>
          <w:b/>
        </w:rPr>
        <w:t xml:space="preserve">2. </w:t>
      </w:r>
      <w:r>
        <w:t xml:space="preserve"> Integrate Advanced Quantization Formats: To further decrease latency on edge devices with extremely low RAM (e.g. 4 GB), developers should evaluate GGUF models quantized at lower bit counts (such as 2-bit or 3-bit parameters like Q2_K or Q3_K_S). This will cut token prefill times further without incurring significant language degradation.</w:t>
      </w:r>
    </w:p>
    <w:p>
      <w:pPr>
        <w:pStyle w:val="ListBullet"/>
        <w:spacing w:line="480" w:lineRule="auto" w:after="0" w:before="0"/>
        <w:ind w:left="720"/>
      </w:pPr>
      <w:r>
        <w:rPr>
          <w:b/>
        </w:rPr>
        <w:t xml:space="preserve">3. </w:t>
      </w:r>
      <w:r>
        <w:t xml:space="preserve"> Incorporate Multi-Document Knowledge Graphs: Future projects should expand database entities and relation mappings to support cross-document query routing and comparison frameworks. This will allow the learning assistant to synthesize summaries, quizzes, and comparative reports from multiple uploaded files simultaneously.</w:t>
      </w:r>
    </w:p>
    <w:p>
      <w:pPr>
        <w:pStyle w:val="ListBullet"/>
        <w:spacing w:line="480" w:lineRule="auto" w:after="0" w:before="0"/>
        <w:ind w:left="720"/>
      </w:pPr>
      <w:r>
        <w:rPr>
          <w:b/>
        </w:rPr>
        <w:t xml:space="preserve">4. </w:t>
      </w:r>
      <w:r>
        <w:t xml:space="preserve"> Support Local Embedding Fine-Tuning: Introduce a lightweight, local contrastive learning module that allows organizations to fine-tune the SentenceTransformer model on their own domain-specific textbook corpora (e.g. legal or medical books), thereby optimizing similarity score distributions for specific terminology.</w:t>
      </w:r>
    </w:p>
    <w:p>
      <w:r>
        <w:br w:type="page"/>
      </w:r>
    </w:p>
    <w:p>
      <w:pPr>
        <w:keepNext/>
        <w:spacing w:line="480" w:lineRule="auto" w:before="240" w:after="120"/>
        <w:jc w:val="center"/>
      </w:pPr>
      <w:r>
        <w:rPr>
          <w:rFonts w:ascii="Times New Roman" w:hAnsi="Times New Roman"/>
          <w:b/>
          <w:color w:val="000000"/>
          <w:sz w:val="24"/>
        </w:rPr>
        <w:t>References</w:t>
      </w:r>
    </w:p>
    <w:p>
      <w:pPr>
        <w:spacing w:line="480" w:lineRule="auto" w:after="120"/>
        <w:ind w:left="720" w:hanging="720"/>
      </w:pPr>
      <w:r>
        <w:t>Borgeaud, S., Mensch, A., Hoffmann, J., Cai, T., Rutherford, E., Casas, K., ... &amp; Sifre, L. (2022). Improving language models by retrieving from trillions of tokens. In International Conference on Machine Learning (pp. 2206-2240). PMLR.</w:t>
      </w:r>
    </w:p>
    <w:p>
      <w:pPr>
        <w:spacing w:line="480" w:lineRule="auto" w:after="120"/>
        <w:ind w:left="720" w:hanging="720"/>
      </w:pPr>
      <w:r>
        <w:t xml:space="preserve">Brown, T., Mann, B., Ryder, N., Subbiah, M., Kaplan, J. D., Dhariwal, P., ... &amp; Amodei, D. (2020). Language models are few-shot learners. </w:t>
      </w:r>
      <w:r>
        <w:rPr>
          <w:i/>
        </w:rPr>
        <w:t>Advances in Neural Information Processing Systems</w:t>
      </w:r>
      <w:r>
        <w:t>, 33, 1877-1901.</w:t>
      </w:r>
    </w:p>
    <w:p>
      <w:pPr>
        <w:spacing w:line="480" w:lineRule="auto" w:after="120"/>
        <w:ind w:left="720" w:hanging="720"/>
      </w:pPr>
      <w:r>
        <w:t>Devlin, J., Chang, M. W., Lee, K., &amp; Toutanova, K. (2019). BERT: Pre-training of deep bidirectional transformers for language understanding. In Proceedings of the 2019 Conference of the North American Chapter of the Association for Computational Linguistics (pp. 4171-4186).</w:t>
      </w:r>
    </w:p>
    <w:p>
      <w:pPr>
        <w:spacing w:line="480" w:lineRule="auto" w:after="120"/>
        <w:ind w:left="720" w:hanging="720"/>
      </w:pPr>
      <w:r>
        <w:t>Guu, K., Lee, K., Tung, Z., Pasupat, P., &amp; Chang, M. (2020). Retrieval augmented language model pre-training. In International Conference on Machine Learning (pp. 3929-3938). PMLR.</w:t>
      </w:r>
    </w:p>
    <w:p>
      <w:pPr>
        <w:spacing w:line="480" w:lineRule="auto" w:after="120"/>
        <w:ind w:left="720" w:hanging="720"/>
      </w:pPr>
      <w:r>
        <w:t>Izacard, G., Caron, M., Lucas, L., Mazaré, F., Penrose, P., Edouard, A., ... &amp; Grave, E. (2022). Unsupervised dense information retrieval with contrastive learning. Transactions on Machine Learning Research.</w:t>
      </w:r>
    </w:p>
    <w:p>
      <w:pPr>
        <w:spacing w:line="480" w:lineRule="auto" w:after="120"/>
        <w:ind w:left="720" w:hanging="720"/>
      </w:pPr>
      <w:r>
        <w:t>Jiang, Z., Xu, F. F., Araki, J., &amp; Neubig, G. (2023). Active retrieval augmented generation. In Proceedings of the 2023 Conference on Empirical Methods in Natural Language Processing (pp. 7912-7928).</w:t>
      </w:r>
    </w:p>
    <w:p>
      <w:pPr>
        <w:spacing w:line="480" w:lineRule="auto" w:after="120"/>
        <w:ind w:left="720" w:hanging="720"/>
      </w:pPr>
      <w:r>
        <w:t xml:space="preserve">Johnson, J., Douze, M., &amp; Jégou, H. (2019). Billion-scale similarity search with GPUs. </w:t>
      </w:r>
      <w:r>
        <w:rPr>
          <w:i/>
        </w:rPr>
        <w:t>IEEE Transactions on Big Data</w:t>
      </w:r>
      <w:r>
        <w:t>, 7(3), 535-547. https://doi.org/10.1109/TBDATA.2019.2900338</w:t>
      </w:r>
    </w:p>
    <w:p>
      <w:pPr>
        <w:spacing w:line="480" w:lineRule="auto" w:after="120"/>
        <w:ind w:left="720" w:hanging="720"/>
      </w:pPr>
      <w:r>
        <w:t>Karpukhin, V., Oguz, B., Min, S., Wu, L., Edunov, S., Chen, D., &amp; Yih, W. T. (2020). Dense passage retrieval for open-domain question answering. In Proceedings of the 2020 Conference on Empirical Methods in Natural Language Processing (pp. 6769-6781).</w:t>
      </w:r>
    </w:p>
    <w:p>
      <w:pPr>
        <w:spacing w:line="480" w:lineRule="auto" w:after="120"/>
        <w:ind w:left="720" w:hanging="720"/>
      </w:pPr>
      <w:r>
        <w:t>Kendall, K. E., &amp; Kendall, J. E. (2018). Systems Analysis and Design (9th ed.). Pearson.</w:t>
      </w:r>
    </w:p>
    <w:p>
      <w:pPr>
        <w:spacing w:line="480" w:lineRule="auto" w:after="120"/>
        <w:ind w:left="720" w:hanging="720"/>
      </w:pPr>
      <w:r>
        <w:t>Khattab, O., &amp; Zaharia, M. (2020). ColBERT: Efficient and effective late interaction over BERT for information retrieval. In Proceedings of the 43rd International ACM SIGIR Conference on Research and Development in Information Retrieval (pp. 39-48).</w:t>
      </w:r>
    </w:p>
    <w:p>
      <w:pPr>
        <w:spacing w:line="480" w:lineRule="auto" w:after="120"/>
        <w:ind w:left="720" w:hanging="720"/>
      </w:pPr>
      <w:r>
        <w:t xml:space="preserve">Lewis, P., Perez, E., Piktus, A., Petroni, F., Lewis, M., Riedel, S., &amp; Kiela, D. (2020). Retrieval-augmented generation for knowledge-intensive NLP tasks. </w:t>
      </w:r>
      <w:r>
        <w:rPr>
          <w:i/>
        </w:rPr>
        <w:t>Advances in Neural Information Processing Systems</w:t>
      </w:r>
      <w:r>
        <w:t>, 33, 9459–9474.</w:t>
      </w:r>
    </w:p>
    <w:p>
      <w:pPr>
        <w:spacing w:line="480" w:lineRule="auto" w:after="120"/>
        <w:ind w:left="720" w:hanging="720"/>
      </w:pPr>
      <w:r>
        <w:t xml:space="preserve">Lewis, P., Wu, Y., Liu, L., Min, S., Kiela, D., Riedel, S., &amp; Luke, Z. (2021). PAQ: 65 million probably-asked questions and a retriever for commonsense QA. </w:t>
      </w:r>
      <w:r>
        <w:rPr>
          <w:i/>
        </w:rPr>
        <w:t>Transactions of the Association for Computational Linguistics</w:t>
      </w:r>
      <w:r>
        <w:t>, 9, 1098-1115.</w:t>
      </w:r>
    </w:p>
    <w:p>
      <w:pPr>
        <w:spacing w:line="480" w:lineRule="auto" w:after="120"/>
        <w:ind w:left="720" w:hanging="720"/>
      </w:pPr>
      <w:r>
        <w:t xml:space="preserve">Luan, H., Gasevic, D., &amp; Tsai, C. C. (2021). Multi-task learning for intelligent tutoring systems. </w:t>
      </w:r>
      <w:r>
        <w:rPr>
          <w:i/>
        </w:rPr>
        <w:t>Journal of Educational Technology &amp; Society</w:t>
      </w:r>
      <w:r>
        <w:t>, 24(3), 112-126.</w:t>
      </w:r>
    </w:p>
    <w:p>
      <w:pPr>
        <w:spacing w:line="480" w:lineRule="auto" w:after="120"/>
        <w:ind w:left="720" w:hanging="720"/>
      </w:pPr>
      <w:r>
        <w:t>Mialon, G., Dessì, R., Lomeli, M., Nalmpantis, C., Pasunuri, R., Roberta, A., ... &amp; Scialom, T. (2023). Augmented language models: a survey. arXiv preprint arXiv:2302.07842.</w:t>
      </w:r>
    </w:p>
    <w:p>
      <w:pPr>
        <w:spacing w:line="480" w:lineRule="auto" w:after="120"/>
        <w:ind w:left="720" w:hanging="720"/>
      </w:pPr>
      <w:r>
        <w:t>Paivio, A. (1971). Imagery and Verbal Processes. Holt, Rinehart and Winston.</w:t>
      </w:r>
    </w:p>
    <w:p>
      <w:pPr>
        <w:spacing w:line="480" w:lineRule="auto" w:after="120"/>
        <w:ind w:left="720" w:hanging="720"/>
      </w:pPr>
      <w:r>
        <w:t xml:space="preserve">Pirolli, P., &amp; Card, S. (1999). Information foraging. </w:t>
      </w:r>
      <w:r>
        <w:rPr>
          <w:i/>
        </w:rPr>
        <w:t>Psychological Review</w:t>
      </w:r>
      <w:r>
        <w:t>, 106(4), 643–675. https://doi.org/10.1037/0033-295X.106.4.643</w:t>
      </w:r>
    </w:p>
    <w:p>
      <w:pPr>
        <w:spacing w:line="480" w:lineRule="auto" w:after="120"/>
        <w:ind w:left="720" w:hanging="720"/>
      </w:pPr>
      <w:r>
        <w:t>Pressman, R. S. (2014). Software Engineering: A Practitioner's Approach (8th ed.). McGraw-Hill.</w:t>
      </w:r>
    </w:p>
    <w:p>
      <w:pPr>
        <w:spacing w:line="480" w:lineRule="auto" w:after="120"/>
        <w:ind w:left="720" w:hanging="720"/>
      </w:pPr>
      <w:r>
        <w:t>Radford, A., Wu, J., Child, R., Luan, D., Amodei, D., &amp; Sutskever, I. (2019). Language models are unsupervised multitask learners. OpenAI blog, 1(8), 9.</w:t>
      </w:r>
    </w:p>
    <w:p>
      <w:pPr>
        <w:spacing w:line="480" w:lineRule="auto" w:after="120"/>
        <w:ind w:left="720" w:hanging="720"/>
      </w:pPr>
      <w:r>
        <w:t xml:space="preserve">Raffel, C., Shazeer, N., Roberts, A., Lee, K., Narang, S., Matena, M., ... &amp; Liu, P. J. (2020). Exploring the limits of transfer learning with a unified text-to-text transformer. </w:t>
      </w:r>
      <w:r>
        <w:rPr>
          <w:i/>
        </w:rPr>
        <w:t>Journal of Machine Learning Research</w:t>
      </w:r>
      <w:r>
        <w:t>, 21(1), 5485-5551.</w:t>
      </w:r>
    </w:p>
    <w:p>
      <w:pPr>
        <w:spacing w:line="480" w:lineRule="auto" w:after="120"/>
        <w:ind w:left="720" w:hanging="720"/>
      </w:pPr>
      <w:r>
        <w:t>Reimers, N., &amp; Gurevych, I. (2019). Sentence-BERT: Sentence embeddings using Siamese BERT-networks. In Proceedings of the 2019 Conference on Empirical Methods in Natural Language Processing (pp. 3982–3992). https://doi.org/10.18653/v1/D19-1410</w:t>
      </w:r>
    </w:p>
    <w:p>
      <w:pPr>
        <w:spacing w:line="480" w:lineRule="auto" w:after="120"/>
        <w:ind w:left="720" w:hanging="720"/>
      </w:pPr>
      <w:r>
        <w:t xml:space="preserve">Salton, G., Wong, A., &amp; Yang, C. S. (1975). A vector space model for automatic indexing. </w:t>
      </w:r>
      <w:r>
        <w:rPr>
          <w:i/>
        </w:rPr>
        <w:t>Communications of the ACM</w:t>
      </w:r>
      <w:r>
        <w:t>, 18(11), 613–620. https://doi.org/10.1145/361219.361220</w:t>
      </w:r>
    </w:p>
    <w:p>
      <w:pPr>
        <w:spacing w:line="480" w:lineRule="auto" w:after="120"/>
        <w:ind w:left="720" w:hanging="720"/>
      </w:pPr>
      <w:r>
        <w:t>Shrivastava, A., Gupta, P., &amp; Agarwal, S. (2024). MobileRAG: Optimizing retrieval augmentation for mobile devices. In Proceedings of the IEEE/CVF Conference on Computer Vision and Pattern Recognition (CVPR) Workshops.</w:t>
      </w:r>
    </w:p>
    <w:p>
      <w:pPr>
        <w:spacing w:line="480" w:lineRule="auto" w:after="120"/>
        <w:ind w:left="720" w:hanging="720"/>
      </w:pPr>
      <w:r>
        <w:t>Sommerville, I. (2016). Software Engineering (10th ed.). Pearson.</w:t>
      </w:r>
    </w:p>
    <w:p>
      <w:pPr>
        <w:spacing w:line="480" w:lineRule="auto" w:after="120"/>
        <w:ind w:left="720" w:hanging="720"/>
      </w:pPr>
      <w:r>
        <w:t xml:space="preserve">Sweller, J. (1988). Cognitive load during problem solving: Effects on learning. </w:t>
      </w:r>
      <w:r>
        <w:rPr>
          <w:i/>
        </w:rPr>
        <w:t>Cognitive Science</w:t>
      </w:r>
      <w:r>
        <w:t>, 12(2), 257–285. https://doi.org/10.1207/s15516709cog1202_4</w:t>
      </w:r>
    </w:p>
    <w:p>
      <w:pPr>
        <w:spacing w:line="480" w:lineRule="auto" w:after="120"/>
        <w:ind w:left="720" w:hanging="720"/>
      </w:pPr>
      <w:r>
        <w:t>Touvron, H., Martin, L., Stone, K., Albert, P., Almahairi, A., Babaei, Y., ... &amp; Scialom, T. (2023). Llama 2: Open foundation and fine-tuned chat models. arXiv preprint arXiv:2307.09288.</w:t>
      </w:r>
    </w:p>
    <w:p>
      <w:pPr>
        <w:spacing w:line="480" w:lineRule="auto" w:after="120"/>
        <w:ind w:left="720" w:hanging="720"/>
      </w:pPr>
      <w:r>
        <w:t xml:space="preserve">Vaswani, A., Shazeer, N., Parmar, N., Uszkoreit, J., Jones, L., Gomez, A. N., Kaiser, L., &amp; Polosukhin, I. (2017). Attention is all you need. </w:t>
      </w:r>
      <w:r>
        <w:rPr>
          <w:i/>
        </w:rPr>
        <w:t>Advances in Neural Information Processing Systems</w:t>
      </w:r>
      <w:r>
        <w:t>, 30, 5998–6008.</w:t>
      </w:r>
    </w:p>
    <w:p>
      <w:pPr>
        <w:spacing w:line="480" w:lineRule="auto" w:after="120"/>
        <w:ind w:left="720" w:hanging="720"/>
      </w:pPr>
      <w:r>
        <w:t>Xiong, L., Xiong, C., Li, Y., Tang, H., Liu, J., Bennett, P. N., ... &amp; Overwijk, A. (2020). Approximate nearest neighbor negative contrastive estimation for dense text retrieval. arXiv preprint arXiv:2007.00808.</w:t>
      </w:r>
    </w:p>
    <w:p>
      <w:pPr>
        <w:spacing w:line="480" w:lineRule="auto" w:after="120"/>
        <w:ind w:left="720" w:hanging="720"/>
      </w:pPr>
      <w:r>
        <w:t>Yao, S., Zhao, J., Yu, D., Du, N., Shafran, I., Narasimhan, K., &amp; Cao, Y. (2022). ReAct: Synergizing reasoning and acting in language models. In International Conference on Learning Representations.</w:t>
      </w:r>
    </w:p>
    <w:sectPr w:rsidR="00FC693F" w:rsidRPr="0006063C" w:rsidSect="00034616">
      <w:pgSz w:w="11909" w:h="16834"/>
      <w:pgMar w:top="1440" w:right="1440" w:bottom="1440"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