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4"/>
        </w:rPr>
        <w:t>ODI job inventory – SALES_FIN folder</w:t>
      </w:r>
    </w:p>
    <w:p>
      <w:pPr>
        <w:spacing w:after="200"/>
      </w:pPr>
      <w:r>
        <w:rPr>
          <w:i/>
          <w:sz w:val="22"/>
        </w:rPr>
        <w:t>Nightly and month end chain, as it stands on 20-Mar-2026</w:t>
      </w:r>
    </w:p>
    <w:p>
      <w:r>
        <w:rPr>
          <w:b w:val="0"/>
          <w:i w:val="0"/>
          <w:sz w:val="20"/>
        </w:rPr>
        <w:t>Prepared by: Farida Contractor, ODI/ETL Lead, BCPL Data Warehouse team</w:t>
      </w:r>
    </w:p>
    <w:p>
      <w:r>
        <w:rPr>
          <w:b w:val="0"/>
          <w:i w:val="0"/>
          <w:sz w:val="20"/>
        </w:rPr>
        <w:t>For: Project Drishti. Karthik Subramanian and Ishaan Bhatt (Northlane Analytics), and circulated to bcpl-datawarehouse@bharadwajcp.example</w:t>
      </w:r>
    </w:p>
    <w:p>
      <w:r>
        <w:rPr>
          <w:b w:val="0"/>
          <w:i/>
          <w:sz w:val="20"/>
        </w:rPr>
        <w:t>Status: working note. Not a design document.</w:t>
      </w:r>
    </w:p>
    <w:p>
      <w:pPr>
        <w:pStyle w:val="Heading2"/>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720"/>
          </w:tcPr>
          <w:p>
            <w:pPr>
              <w:spacing w:after="40"/>
            </w:pPr>
            <w:r/>
            <w:r>
              <w:rPr>
                <w:b/>
                <w:sz w:val="18"/>
              </w:rPr>
              <w:t>Ver</w:t>
            </w:r>
          </w:p>
        </w:tc>
        <w:tc>
          <w:tcPr>
            <w:tcW w:type="dxa" w:w="1440"/>
          </w:tcPr>
          <w:p>
            <w:pPr>
              <w:spacing w:after="40"/>
            </w:pPr>
            <w:r/>
            <w:r>
              <w:rPr>
                <w:b/>
                <w:sz w:val="18"/>
              </w:rPr>
              <w:t>Date</w:t>
            </w:r>
          </w:p>
        </w:tc>
        <w:tc>
          <w:tcPr>
            <w:tcW w:type="dxa" w:w="1872"/>
          </w:tcPr>
          <w:p>
            <w:pPr>
              <w:spacing w:after="40"/>
            </w:pPr>
            <w:r/>
            <w:r>
              <w:rPr>
                <w:b/>
                <w:sz w:val="18"/>
              </w:rPr>
              <w:t>By</w:t>
            </w:r>
          </w:p>
        </w:tc>
        <w:tc>
          <w:tcPr>
            <w:tcW w:type="dxa" w:w="5184"/>
          </w:tcPr>
          <w:p>
            <w:pPr>
              <w:spacing w:after="40"/>
            </w:pPr>
            <w:r/>
            <w:r>
              <w:rPr>
                <w:b/>
                <w:sz w:val="18"/>
              </w:rPr>
              <w:t>Changes</w:t>
            </w:r>
          </w:p>
        </w:tc>
      </w:tr>
      <w:tr>
        <w:tc>
          <w:tcPr>
            <w:tcW w:type="dxa" w:w="720"/>
          </w:tcPr>
          <w:p>
            <w:pPr>
              <w:spacing w:after="40"/>
            </w:pPr>
            <w:r/>
            <w:r>
              <w:rPr>
                <w:sz w:val="18"/>
              </w:rPr>
              <w:t>0.1</w:t>
            </w:r>
          </w:p>
        </w:tc>
        <w:tc>
          <w:tcPr>
            <w:tcW w:type="dxa" w:w="1440"/>
          </w:tcPr>
          <w:p>
            <w:pPr>
              <w:spacing w:after="40"/>
            </w:pPr>
            <w:r/>
            <w:r>
              <w:rPr>
                <w:sz w:val="18"/>
              </w:rPr>
              <w:t>12-Mar-2026</w:t>
            </w:r>
          </w:p>
        </w:tc>
        <w:tc>
          <w:tcPr>
            <w:tcW w:type="dxa" w:w="1872"/>
          </w:tcPr>
          <w:p>
            <w:pPr>
              <w:spacing w:after="40"/>
            </w:pPr>
            <w:r/>
            <w:r>
              <w:rPr>
                <w:sz w:val="18"/>
              </w:rPr>
              <w:t>F. Contractor</w:t>
            </w:r>
          </w:p>
        </w:tc>
        <w:tc>
          <w:tcPr>
            <w:tcW w:type="dxa" w:w="5184"/>
          </w:tcPr>
          <w:p>
            <w:pPr>
              <w:spacing w:after="40"/>
            </w:pPr>
            <w:r/>
            <w:r>
              <w:rPr>
                <w:sz w:val="18"/>
              </w:rPr>
              <w:t>first cut, load plans only, no KM detail</w:t>
            </w:r>
          </w:p>
        </w:tc>
      </w:tr>
      <w:tr>
        <w:tc>
          <w:tcPr>
            <w:tcW w:type="dxa" w:w="720"/>
          </w:tcPr>
          <w:p>
            <w:pPr>
              <w:spacing w:after="40"/>
            </w:pPr>
            <w:r/>
            <w:r>
              <w:rPr>
                <w:sz w:val="18"/>
              </w:rPr>
              <w:t>0.2</w:t>
            </w:r>
          </w:p>
        </w:tc>
        <w:tc>
          <w:tcPr>
            <w:tcW w:type="dxa" w:w="1440"/>
          </w:tcPr>
          <w:p>
            <w:pPr>
              <w:spacing w:after="40"/>
            </w:pPr>
            <w:r/>
            <w:r>
              <w:rPr>
                <w:sz w:val="18"/>
              </w:rPr>
              <w:t>17-Mar-2026</w:t>
            </w:r>
          </w:p>
        </w:tc>
        <w:tc>
          <w:tcPr>
            <w:tcW w:type="dxa" w:w="1872"/>
          </w:tcPr>
          <w:p>
            <w:pPr>
              <w:spacing w:after="40"/>
            </w:pPr>
            <w:r/>
            <w:r>
              <w:rPr>
                <w:sz w:val="18"/>
              </w:rPr>
              <w:t>F. Contractor</w:t>
            </w:r>
          </w:p>
        </w:tc>
        <w:tc>
          <w:tcPr>
            <w:tcW w:type="dxa" w:w="5184"/>
          </w:tcPr>
          <w:p>
            <w:pPr>
              <w:spacing w:after="40"/>
            </w:pPr>
            <w:r/>
            <w:r>
              <w:rPr>
                <w:sz w:val="18"/>
              </w:rPr>
              <w:t>minor updates</w:t>
            </w:r>
          </w:p>
        </w:tc>
      </w:tr>
      <w:tr>
        <w:tc>
          <w:tcPr>
            <w:tcW w:type="dxa" w:w="720"/>
          </w:tcPr>
          <w:p>
            <w:pPr>
              <w:spacing w:after="40"/>
            </w:pPr>
            <w:r/>
            <w:r>
              <w:rPr>
                <w:sz w:val="18"/>
              </w:rPr>
              <w:t>0.3</w:t>
            </w:r>
          </w:p>
        </w:tc>
        <w:tc>
          <w:tcPr>
            <w:tcW w:type="dxa" w:w="1440"/>
          </w:tcPr>
          <w:p>
            <w:pPr>
              <w:spacing w:after="40"/>
            </w:pPr>
            <w:r/>
            <w:r>
              <w:rPr>
                <w:sz w:val="18"/>
              </w:rPr>
              <w:t>20-Mar-2026</w:t>
            </w:r>
          </w:p>
        </w:tc>
        <w:tc>
          <w:tcPr>
            <w:tcW w:type="dxa" w:w="1872"/>
          </w:tcPr>
          <w:p>
            <w:pPr>
              <w:spacing w:after="40"/>
            </w:pPr>
            <w:r/>
            <w:r>
              <w:rPr>
                <w:sz w:val="18"/>
              </w:rPr>
              <w:t>F. Contractor</w:t>
            </w:r>
          </w:p>
        </w:tc>
        <w:tc>
          <w:tcPr>
            <w:tcW w:type="dxa" w:w="5184"/>
          </w:tcPr>
          <w:p>
            <w:pPr>
              <w:spacing w:after="40"/>
            </w:pPr>
            <w:r/>
            <w:r>
              <w:rPr>
                <w:sz w:val="18"/>
              </w:rPr>
              <w:t>added the knowledge modules, the interface list and the fragile list. Issued.</w:t>
            </w:r>
          </w:p>
        </w:tc>
      </w:tr>
    </w:tbl>
    <w:p>
      <w:pPr>
        <w:spacing w:after="40"/>
      </w:pPr>
    </w:p>
    <w:p>
      <w:pPr>
        <w:pStyle w:val="Heading1"/>
      </w:pPr>
      <w:r>
        <w:t>1. Why this note exists, and what it covers</w:t>
      </w:r>
    </w:p>
    <w:p>
      <w:r>
        <w:rPr>
          <w:b w:val="0"/>
          <w:i w:val="0"/>
        </w:rPr>
        <w:t>Karthik asked me for this after the session with Ani on 03-Mar. He wanted a written list of what runs at night, in what order, what depends on what, and which bits I would not want to touch. Fair request. There has not been a written inventory of the SALES_FIN folder since it was built and I have been meaning to do one for about two years, so this is that, done quickly rather than done beautifully.</w:t>
      </w:r>
    </w:p>
    <w:p>
      <w:r>
        <w:rPr>
          <w:b w:val="0"/>
          <w:i w:val="0"/>
        </w:rPr>
        <w:t>I have taken it from the work repository export ODI_SALES_FIN_export_v3_FINAL_revised.xml, which I pulled on 18/03, plus my own operator notes and the Control-M folder listing. Where the export and my memory disagreed I went with the export.</w:t>
      </w:r>
    </w:p>
    <w:p>
      <w:r>
        <w:rPr>
          <w:b w:val="0"/>
          <w:i w:val="0"/>
        </w:rPr>
        <w:t>Scope, because this matters and I do not want to be quoted later on something I never claimed. This note covers the SALES_FIN project folder in ODI_WORK, and the Control-M folder BCPL_EDW_DAILY. That is two load plans and the interfaces underneath them. The production work repository holds 47 interfaces across nine project folders; the other eight folders are not ours and are not in here.</w:t>
      </w:r>
    </w:p>
    <w:p>
      <w:r>
        <w:rPr>
          <w:b w:val="0"/>
          <w:i w:val="0"/>
        </w:rPr>
        <w:t>It does not cover BCPL_ORION_OPS. That folder is ORION's own housekeeping, it is owned by a different team and I do not have visibility into it, I only know it exists because it sits next to mine in the folder tree. And the general point, which I would rather write down once: what I can list is what Control-M triggers and what the ODI agent runs. If something is scheduled from inside a database rather than from Control-M then it is not in Control-M's listing and it will not be in mine either. I am not saying anything is. I am saying this inventory is not the whole of what happens at night on either box, it is the whole of what I own.</w:t>
      </w:r>
    </w:p>
    <w:p>
      <w:r>
        <w:rPr>
          <w:b w:val="0"/>
          <w:i w:val="0"/>
        </w:rPr>
        <w:t>Anything on the ORION side of the link I have deliberately left alone. Ani's schema notes of 09-Mar cover the source tables, and the packages that live in there, better than I could. If the question is what happens inside ORION, that is his note, not this one. The procs are his ground and he has documented them.</w:t>
      </w:r>
    </w:p>
    <w:p>
      <w:pPr>
        <w:pStyle w:val="Heading1"/>
      </w:pPr>
      <w:r>
        <w:t>2. Environment</w:t>
      </w:r>
    </w:p>
    <w:p>
      <w:r>
        <w:rPr>
          <w:b w:val="0"/>
          <w:i w:val="0"/>
        </w:rPr>
        <w:t>ODI 12.2.1.4.0. Master repository ODI_MASTER and work repository ODI_WORK, both sitting on the EDW instance, edw-db-prd-01.bcpl.local. Development repositories ODI_MASTER_DEV and ODI_WORK_DEV on edw-db-dev-01. Contexts are GLOBAL, DEV and PROD.</w:t>
      </w:r>
    </w:p>
    <w:p>
      <w:r>
        <w:rPr>
          <w:b w:val="0"/>
          <w:i w:val="0"/>
        </w:rPr>
        <w:t>One agent. Standalone agent OracleDIAgent1, host edw-app-prd-02.bcpl.local, port 20910. There is no parent agent, no load balancing, no second agent to fail over to. If OracleDIAgent1 is not up at 01:00 the load simply does not run, and the way we find out is the Control-M late start alert. That is the whole of the resilience story and I would not want anybody reading this to think there is more to it.</w:t>
      </w:r>
    </w:p>
    <w:p>
      <w:pPr>
        <w:pStyle w:val="Heading2"/>
      </w:pPr>
      <w:r>
        <w:t>2.1 Topology</w:t>
      </w:r>
    </w:p>
    <w:tbl>
      <w:tblPr>
        <w:tblStyle w:val="TableGrid"/>
        <w:tblW w:type="auto" w:w="0"/>
        <w:tblLook w:firstColumn="1" w:firstRow="1" w:lastColumn="0" w:lastRow="0" w:noHBand="0" w:noVBand="1" w:val="04A0"/>
      </w:tblPr>
      <w:tblGrid>
        <w:gridCol w:w="3120"/>
        <w:gridCol w:w="3120"/>
        <w:gridCol w:w="3120"/>
      </w:tblGrid>
      <w:tr>
        <w:tc>
          <w:tcPr>
            <w:tcW w:type="dxa" w:w="1728"/>
          </w:tcPr>
          <w:p>
            <w:pPr>
              <w:spacing w:after="40"/>
            </w:pPr>
            <w:r/>
            <w:r>
              <w:rPr>
                <w:b/>
                <w:sz w:val="18"/>
              </w:rPr>
              <w:t>Logical schema</w:t>
            </w:r>
          </w:p>
        </w:tc>
        <w:tc>
          <w:tcPr>
            <w:tcW w:type="dxa" w:w="4320"/>
          </w:tcPr>
          <w:p>
            <w:pPr>
              <w:spacing w:after="40"/>
            </w:pPr>
            <w:r/>
            <w:r>
              <w:rPr>
                <w:b/>
                <w:sz w:val="18"/>
              </w:rPr>
              <w:t>Physical</w:t>
            </w:r>
          </w:p>
        </w:tc>
        <w:tc>
          <w:tcPr>
            <w:tcW w:type="dxa" w:w="3168"/>
          </w:tcPr>
          <w:p>
            <w:pPr>
              <w:spacing w:after="40"/>
            </w:pPr>
            <w:r/>
            <w:r>
              <w:rPr>
                <w:b/>
                <w:sz w:val="18"/>
              </w:rPr>
              <w:t>Notes</w:t>
            </w:r>
          </w:p>
        </w:tc>
      </w:tr>
      <w:tr>
        <w:tc>
          <w:tcPr>
            <w:tcW w:type="dxa" w:w="1728"/>
          </w:tcPr>
          <w:p>
            <w:pPr>
              <w:spacing w:after="40"/>
            </w:pPr>
            <w:r/>
            <w:r>
              <w:rPr>
                <w:sz w:val="18"/>
              </w:rPr>
              <w:t>ORION_SRC</w:t>
            </w:r>
          </w:p>
        </w:tc>
        <w:tc>
          <w:tcPr>
            <w:tcW w:type="dxa" w:w="4320"/>
          </w:tcPr>
          <w:p>
            <w:pPr>
              <w:spacing w:after="40"/>
            </w:pPr>
            <w:r/>
            <w:r>
              <w:rPr>
                <w:sz w:val="18"/>
              </w:rPr>
              <w:t>OMS_PROD and FIN_PROD on orion-db-prd-01, over ORION_PRD</w:t>
            </w:r>
          </w:p>
        </w:tc>
        <w:tc>
          <w:tcPr>
            <w:tcW w:type="dxa" w:w="3168"/>
          </w:tcPr>
          <w:p>
            <w:pPr>
              <w:spacing w:after="40"/>
            </w:pPr>
            <w:r/>
            <w:r>
              <w:rPr>
                <w:sz w:val="18"/>
              </w:rPr>
              <w:t>read only account OMS_RO</w:t>
            </w:r>
          </w:p>
        </w:tc>
      </w:tr>
      <w:tr>
        <w:tc>
          <w:tcPr>
            <w:tcW w:type="dxa" w:w="1728"/>
          </w:tcPr>
          <w:p>
            <w:pPr>
              <w:spacing w:after="40"/>
            </w:pPr>
            <w:r/>
            <w:r>
              <w:rPr>
                <w:sz w:val="18"/>
              </w:rPr>
              <w:t>EDW_STG</w:t>
            </w:r>
          </w:p>
        </w:tc>
        <w:tc>
          <w:tcPr>
            <w:tcW w:type="dxa" w:w="4320"/>
          </w:tcPr>
          <w:p>
            <w:pPr>
              <w:spacing w:after="40"/>
            </w:pPr>
            <w:r/>
            <w:r>
              <w:rPr>
                <w:sz w:val="18"/>
              </w:rPr>
              <w:t>STG_ORION on edw-db-prd-01</w:t>
            </w:r>
          </w:p>
        </w:tc>
        <w:tc>
          <w:tcPr>
            <w:tcW w:type="dxa" w:w="3168"/>
          </w:tcPr>
          <w:p>
            <w:pPr>
              <w:spacing w:after="40"/>
            </w:pPr>
            <w:r/>
            <w:r>
              <w:rPr>
                <w:sz w:val="18"/>
              </w:rPr>
              <w:t>landing tables plus the C$ / I$ / E$ work tables</w:t>
            </w:r>
          </w:p>
        </w:tc>
      </w:tr>
      <w:tr>
        <w:tc>
          <w:tcPr>
            <w:tcW w:type="dxa" w:w="1728"/>
          </w:tcPr>
          <w:p>
            <w:pPr>
              <w:spacing w:after="40"/>
            </w:pPr>
            <w:r/>
            <w:r>
              <w:rPr>
                <w:sz w:val="18"/>
              </w:rPr>
              <w:t>EDW_TGT</w:t>
            </w:r>
          </w:p>
        </w:tc>
        <w:tc>
          <w:tcPr>
            <w:tcW w:type="dxa" w:w="4320"/>
          </w:tcPr>
          <w:p>
            <w:pPr>
              <w:spacing w:after="40"/>
            </w:pPr>
            <w:r/>
            <w:r>
              <w:rPr>
                <w:sz w:val="18"/>
              </w:rPr>
              <w:t>BCPL_EDW on edw-db-prd-01</w:t>
            </w:r>
          </w:p>
        </w:tc>
        <w:tc>
          <w:tcPr>
            <w:tcW w:type="dxa" w:w="3168"/>
          </w:tcPr>
          <w:p>
            <w:pPr>
              <w:spacing w:after="40"/>
            </w:pPr>
            <w:r/>
            <w:r>
              <w:rPr>
                <w:sz w:val="18"/>
              </w:rPr>
              <w:t>the warehouse</w:t>
            </w:r>
          </w:p>
        </w:tc>
      </w:tr>
    </w:tbl>
    <w:p>
      <w:pPr>
        <w:spacing w:after="40"/>
      </w:pPr>
    </w:p>
    <w:p>
      <w:r>
        <w:rPr>
          <w:b w:val="0"/>
          <w:i w:val="0"/>
        </w:rPr>
        <w:t>One point that people get wrong in conversation almost every time. STG_ORION sits inside the EDW database. It is not inside ORION. It is called STG_ORION because of what is in it, not because of where it lives. That matters, because it means the staging tables are on the far side of the database link from the source, and everything we land has to come across that link first.</w:t>
      </w:r>
    </w:p>
    <w:p>
      <w:r>
        <w:rPr>
          <w:b w:val="0"/>
          <w:i w:val="0"/>
        </w:rPr>
        <w:t>One link. ORION_PRD, private, owned by STG_ORION, pointing at OMS_RO@orion-db-prd-01. There is no second link for finance. There used to be one before the 2021 consolidation and half of the old documentation still reads as though there is, which has cost me two seperate afternoons of somebody insisting the finance extract goes a different way. It does not. One link, everything goes over it.</w:t>
      </w:r>
    </w:p>
    <w:p>
      <w:pPr>
        <w:pStyle w:val="Heading2"/>
      </w:pPr>
      <w:r>
        <w:t>2.2 Where the code lives</w:t>
      </w:r>
    </w:p>
    <w:p>
      <w:r>
        <w:rPr>
          <w:b w:val="0"/>
          <w:i w:val="0"/>
        </w:rPr>
        <w:t>Interface XML exports and the target DDL go into a SharePoint document library. That is our version control. There is no Git and there never has been. What that means in practice is that if somebody changes an interface in the repository and does not export it afterwards, the library is quietly wrong and nobody finds out until the next time we compare. I raise it every year. I am raising it again here so that it is at least written in one place, and I accept that the export filename ending in v3_FINAL_revised is not helping my case.</w:t>
      </w:r>
    </w:p>
    <w:p>
      <w:pPr>
        <w:pStyle w:val="Heading1"/>
      </w:pPr>
      <w:r>
        <w:t>3. Variables, and the extract high water mark</w:t>
      </w:r>
    </w:p>
    <w:p>
      <w:pPr>
        <w:pStyle w:val="Heading2"/>
      </w:pPr>
      <w:r>
        <w:t>3.1 #GLOBAL.LAST_EXTRACT_TS</w:t>
      </w:r>
    </w:p>
    <w:p>
      <w:r>
        <w:rPr>
          <w:b w:val="0"/>
          <w:i w:val="0"/>
        </w:rPr>
        <w:t>Global variable. Type is Alphanumeric (30), not Date. It was a Date variable originally and the agent's NLS settings kept mangling it, so in 2019 it was changed to a string, and now every interface that uses it does an explicit TO_DATE(...,'YYYY-MM-DD HH24:MI:SS') on the way in. Ugly, stable, leave it alone.</w:t>
      </w:r>
    </w:p>
    <w:p>
      <w:pPr>
        <w:spacing w:after="60"/>
      </w:pPr>
      <w:r>
        <w:rPr>
          <w:sz w:val="21"/>
        </w:rPr>
        <w:t>Refresh query, on logical schema EDW_TGT:</w:t>
      </w:r>
    </w:p>
    <w:p>
      <w:pPr>
        <w:ind w:left="432"/>
      </w:pPr>
      <w:r>
        <w:rPr>
          <w:rFonts w:ascii="Consolas" w:hAnsi="Consolas"/>
          <w:sz w:val="19"/>
        </w:rPr>
        <w:t>SELECT TO_CHAR( NVL( MAX(EXTRACT_HIGH_TS)</w:t>
        <w:br/>
        <w:t xml:space="preserve">                   , TO_TIMESTAMP('2015-01-01 00:00:00','YYYY-MM-DD HH24:MI:SS'))</w:t>
        <w:br/>
        <w:t xml:space="preserve">              ,'YYYY-MM-DD HH24:MI:SS')</w:t>
        <w:br/>
        <w:t xml:space="preserve">  FROM BCPL_EDW.ETL_BATCH_CONTROL</w:t>
        <w:br/>
        <w:t xml:space="preserve"> WHERE LOAD_PLAN_NAME = 'LP_DAILY_SALES'</w:t>
        <w:br/>
        <w:t xml:space="preserve">   AND STATUS         = 'DONE'</w:t>
      </w:r>
    </w:p>
    <w:p>
      <w:r>
        <w:rPr>
          <w:b w:val="0"/>
          <w:i w:val="0"/>
        </w:rPr>
        <w:t>The staging interfaces then use it as a between predicate, LAST_UPD_DT greater than #GLOBAL.LAST_EXTRACT_TS and less than or equal to #GLOBAL.EXTRACT_HIGH_TS, so each night picks up from where the last successful night stopped. That part works and it has worked for years.</w:t>
      </w:r>
    </w:p>
    <w:p>
      <w:r>
        <w:rPr>
          <w:b w:val="0"/>
          <w:i w:val="0"/>
        </w:rPr>
        <w:t>The part that is worth reading twice: MAP_FACT_INVOICE_LINE does not use this variable at all. It carries a hardcoded LAST_UPD_DT &gt;= TRUNC(SYSDATE) - 1 predicate instead. So the one interface that matters most in the whole chain runs on a fixed rolling 24 hours, with no high water mark and no memory of what it has already loaded. Two consequences and both of them are real, I am not theorising:</w:t>
      </w:r>
    </w:p>
    <w:p>
      <w:pPr>
        <w:pStyle w:val="ListBullet"/>
      </w:pPr>
      <w:r>
        <w:t>a night that gets skipped is never recovered, because nothing anywhere records that it was missed. The next night just takes the last 24 hours and moves on.</w:t>
      </w:r>
    </w:p>
    <w:p>
      <w:pPr>
        <w:pStyle w:val="ListBullet"/>
      </w:pPr>
      <w:r>
        <w:t>any row that is touched again in source after we have already read it comes back into the window the following night, and there is nothing in the interface that could know it has seen that row before.</w:t>
      </w:r>
    </w:p>
    <w:p>
      <w:r>
        <w:rPr>
          <w:b w:val="0"/>
          <w:i w:val="0"/>
        </w:rPr>
        <w:t>I have not changed it because changing the predicate on that interface without a merge underneath it does not actually make anything safer, it just moves the problem. See section 6.2.</w:t>
      </w:r>
    </w:p>
    <w:p>
      <w:pPr>
        <w:pStyle w:val="Heading2"/>
      </w:pPr>
      <w:r>
        <w:t>3.2 ETL_BATCH_CONTROL and the close step</w:t>
      </w:r>
    </w:p>
    <w:p>
      <w:r>
        <w:rPr>
          <w:b w:val="0"/>
          <w:i w:val="0"/>
        </w:rPr>
        <w:t>BCPL_EDW.ETL_BATCH_CONTROL is the control table: BATCH_ID, LOAD_PLAN_NAME, BUSINESS_DATE, START_TS, END_TS, STATUS, ROWS_INSERTED, ROWS_REJECTED, EXTRACT_HIGH_TS, RESTART_COUNT. P_ETL_BATCH_CLOSE is the last step inside both load plans, it runs at about 02:03 to 02:05 on a normal night, and it writes the closing row: END_TS, STATUS, the counters, and it increments RESTART_COUNT. It is the only thing in the plan that commits the batch control rows.</w:t>
      </w:r>
    </w:p>
    <w:p>
      <w:r>
        <w:rPr>
          <w:b w:val="0"/>
          <w:i w:val="0"/>
        </w:rPr>
        <w:t>What it does not do today, and should, is persist the high water mark. At the moment EXTRACT_HIGH_TS is stamped at the start of the plan. If the plan then fails at a later step the window has already moved, so a restart from failed step goes back in with a low bound that has skipped the failed window. Nothing errors. No rows are rejected. You just get less data than you should have and the batch control row still says DONE at the end of it. A DONE row means the plan reached its last step. It does not mean the data is right, and I would like that understood by everyone who quotes the green tick at me.</w:t>
      </w:r>
    </w:p>
    <w:p>
      <w:pPr>
        <w:pStyle w:val="Heading1"/>
      </w:pPr>
      <w:r>
        <w:t>4. LP_DAILY_SALES</w:t>
      </w:r>
    </w:p>
    <w:p>
      <w:r>
        <w:rPr>
          <w:b w:val="0"/>
          <w:i w:val="0"/>
        </w:rPr>
        <w:t>What it does, in one sentence: it takes the day's order and invoice activity out of ORION into STG_ORION, loads the dimensions, loads the facts, runs the post load checks and closes the batch.</w:t>
      </w:r>
    </w:p>
    <w:p>
      <w:r>
        <w:rPr>
          <w:b w:val="0"/>
          <w:i w:val="0"/>
        </w:rPr>
        <w:t>Triggered by Control-M job BCPL_EDW_DAILY_LOAD_START at 01:00 IST, every day, including Sundays. Scenario SCEN_LP_DAILY_SALES version 003. Restart type is restart from failed step. It depends on three things being true and it does not check any of them: the agent is up, the ORION_PRD link is up, and STG_ORION has space.</w:t>
      </w:r>
    </w:p>
    <w:p>
      <w:pPr>
        <w:pStyle w:val="Heading2"/>
      </w:pPr>
      <w:r>
        <w:t>4.1 Steps</w:t>
      </w:r>
    </w:p>
    <w:tbl>
      <w:tblPr>
        <w:tblStyle w:val="TableGrid"/>
        <w:tblW w:type="auto" w:w="0"/>
        <w:tblLook w:firstColumn="1" w:firstRow="1" w:lastColumn="0" w:lastRow="0" w:noHBand="0" w:noVBand="1" w:val="04A0"/>
      </w:tblPr>
      <w:tblGrid>
        <w:gridCol w:w="2340"/>
        <w:gridCol w:w="2340"/>
        <w:gridCol w:w="2340"/>
        <w:gridCol w:w="2340"/>
      </w:tblGrid>
      <w:tr>
        <w:tc>
          <w:tcPr>
            <w:tcW w:type="dxa" w:w="720"/>
          </w:tcPr>
          <w:p>
            <w:pPr>
              <w:spacing w:after="40"/>
            </w:pPr>
            <w:r/>
            <w:r>
              <w:rPr>
                <w:b/>
                <w:sz w:val="18"/>
              </w:rPr>
              <w:t>Step</w:t>
            </w:r>
          </w:p>
        </w:tc>
        <w:tc>
          <w:tcPr>
            <w:tcW w:type="dxa" w:w="4464"/>
          </w:tcPr>
          <w:p>
            <w:pPr>
              <w:spacing w:after="40"/>
            </w:pPr>
            <w:r/>
            <w:r>
              <w:rPr>
                <w:b/>
                <w:sz w:val="18"/>
              </w:rPr>
              <w:t>Package</w:t>
            </w:r>
          </w:p>
        </w:tc>
        <w:tc>
          <w:tcPr>
            <w:tcW w:type="dxa" w:w="2016"/>
          </w:tcPr>
          <w:p>
            <w:pPr>
              <w:spacing w:after="40"/>
            </w:pPr>
            <w:r/>
            <w:r>
              <w:rPr>
                <w:b/>
                <w:sz w:val="18"/>
              </w:rPr>
              <w:t>Control-M in-flow marker</w:t>
            </w:r>
          </w:p>
        </w:tc>
        <w:tc>
          <w:tcPr>
            <w:tcW w:type="dxa" w:w="2016"/>
          </w:tcPr>
          <w:p>
            <w:pPr>
              <w:spacing w:after="40"/>
            </w:pPr>
            <w:r/>
            <w:r>
              <w:rPr>
                <w:b/>
                <w:sz w:val="18"/>
              </w:rPr>
              <w:t>Measured, typical</w:t>
            </w:r>
          </w:p>
        </w:tc>
      </w:tr>
      <w:tr>
        <w:tc>
          <w:tcPr>
            <w:tcW w:type="dxa" w:w="720"/>
          </w:tcPr>
          <w:p>
            <w:pPr>
              <w:spacing w:after="40"/>
            </w:pPr>
            <w:r/>
            <w:r>
              <w:rPr>
                <w:sz w:val="18"/>
              </w:rPr>
              <w:t>1</w:t>
            </w:r>
          </w:p>
        </w:tc>
        <w:tc>
          <w:tcPr>
            <w:tcW w:type="dxa" w:w="4464"/>
          </w:tcPr>
          <w:p>
            <w:pPr>
              <w:spacing w:after="40"/>
            </w:pPr>
            <w:r/>
            <w:r>
              <w:rPr>
                <w:sz w:val="18"/>
              </w:rPr>
              <w:t>PKG_STG_EXTRACT (MAP_STG_ORDER_HEADER, MAP_STG_INVOICE_LINE, and the rest of the staging set)</w:t>
            </w:r>
          </w:p>
        </w:tc>
        <w:tc>
          <w:tcPr>
            <w:tcW w:type="dxa" w:w="2016"/>
          </w:tcPr>
          <w:p>
            <w:pPr>
              <w:spacing w:after="40"/>
            </w:pPr>
            <w:r/>
            <w:r>
              <w:rPr>
                <w:sz w:val="18"/>
              </w:rPr>
              <w:t>01:00</w:t>
            </w:r>
          </w:p>
        </w:tc>
        <w:tc>
          <w:tcPr>
            <w:tcW w:type="dxa" w:w="2016"/>
          </w:tcPr>
          <w:p>
            <w:pPr>
              <w:spacing w:after="40"/>
            </w:pPr>
            <w:r/>
            <w:r>
              <w:rPr>
                <w:sz w:val="18"/>
              </w:rPr>
              <w:t>01:00 - 01:38</w:t>
            </w:r>
          </w:p>
        </w:tc>
      </w:tr>
      <w:tr>
        <w:tc>
          <w:tcPr>
            <w:tcW w:type="dxa" w:w="720"/>
          </w:tcPr>
          <w:p>
            <w:pPr>
              <w:spacing w:after="40"/>
            </w:pPr>
            <w:r/>
            <w:r>
              <w:rPr>
                <w:sz w:val="18"/>
              </w:rPr>
              <w:t>2</w:t>
            </w:r>
          </w:p>
        </w:tc>
        <w:tc>
          <w:tcPr>
            <w:tcW w:type="dxa" w:w="4464"/>
          </w:tcPr>
          <w:p>
            <w:pPr>
              <w:spacing w:after="40"/>
            </w:pPr>
            <w:r/>
            <w:r>
              <w:rPr>
                <w:sz w:val="18"/>
              </w:rPr>
              <w:t>PKG_DIM_LOAD (MAP_DIM_CUSTOMER, MAP_DIM_PRODUCT, and the other dimension interfaces)</w:t>
            </w:r>
          </w:p>
        </w:tc>
        <w:tc>
          <w:tcPr>
            <w:tcW w:type="dxa" w:w="2016"/>
          </w:tcPr>
          <w:p>
            <w:pPr>
              <w:spacing w:after="40"/>
            </w:pPr>
            <w:r/>
            <w:r>
              <w:rPr>
                <w:sz w:val="18"/>
              </w:rPr>
              <w:t>01:40</w:t>
            </w:r>
          </w:p>
        </w:tc>
        <w:tc>
          <w:tcPr>
            <w:tcW w:type="dxa" w:w="2016"/>
          </w:tcPr>
          <w:p>
            <w:pPr>
              <w:spacing w:after="40"/>
            </w:pPr>
            <w:r/>
            <w:r>
              <w:rPr>
                <w:sz w:val="18"/>
              </w:rPr>
              <w:t>01:38 - 01:50</w:t>
            </w:r>
          </w:p>
        </w:tc>
      </w:tr>
      <w:tr>
        <w:tc>
          <w:tcPr>
            <w:tcW w:type="dxa" w:w="720"/>
          </w:tcPr>
          <w:p>
            <w:pPr>
              <w:spacing w:after="40"/>
            </w:pPr>
            <w:r/>
            <w:r>
              <w:rPr>
                <w:sz w:val="18"/>
              </w:rPr>
              <w:t>3</w:t>
            </w:r>
          </w:p>
        </w:tc>
        <w:tc>
          <w:tcPr>
            <w:tcW w:type="dxa" w:w="4464"/>
          </w:tcPr>
          <w:p>
            <w:pPr>
              <w:spacing w:after="40"/>
            </w:pPr>
            <w:r/>
            <w:r>
              <w:rPr>
                <w:sz w:val="18"/>
              </w:rPr>
              <w:t>PKG_FACT_LOAD (MAP_FACT_INVOICE_LINE and the other fact interfaces)</w:t>
            </w:r>
          </w:p>
        </w:tc>
        <w:tc>
          <w:tcPr>
            <w:tcW w:type="dxa" w:w="2016"/>
          </w:tcPr>
          <w:p>
            <w:pPr>
              <w:spacing w:after="40"/>
            </w:pPr>
            <w:r/>
            <w:r>
              <w:rPr>
                <w:sz w:val="18"/>
              </w:rPr>
              <w:t>02:00</w:t>
            </w:r>
          </w:p>
        </w:tc>
        <w:tc>
          <w:tcPr>
            <w:tcW w:type="dxa" w:w="2016"/>
          </w:tcPr>
          <w:p>
            <w:pPr>
              <w:spacing w:after="40"/>
            </w:pPr>
            <w:r/>
            <w:r>
              <w:rPr>
                <w:sz w:val="18"/>
              </w:rPr>
              <w:t>01:50 - 01:58</w:t>
            </w:r>
          </w:p>
        </w:tc>
      </w:tr>
      <w:tr>
        <w:tc>
          <w:tcPr>
            <w:tcW w:type="dxa" w:w="720"/>
          </w:tcPr>
          <w:p>
            <w:pPr>
              <w:spacing w:after="40"/>
            </w:pPr>
            <w:r/>
            <w:r>
              <w:rPr>
                <w:sz w:val="18"/>
              </w:rPr>
              <w:t>4</w:t>
            </w:r>
          </w:p>
        </w:tc>
        <w:tc>
          <w:tcPr>
            <w:tcW w:type="dxa" w:w="4464"/>
          </w:tcPr>
          <w:p>
            <w:pPr>
              <w:spacing w:after="40"/>
            </w:pPr>
            <w:r/>
            <w:r>
              <w:rPr>
                <w:sz w:val="18"/>
              </w:rPr>
              <w:t>PKG_POST_LOAD_CHECKS, then P_ETL_BATCH_CLOSE</w:t>
            </w:r>
          </w:p>
        </w:tc>
        <w:tc>
          <w:tcPr>
            <w:tcW w:type="dxa" w:w="2016"/>
          </w:tcPr>
          <w:p>
            <w:pPr>
              <w:spacing w:after="40"/>
            </w:pPr>
            <w:r/>
            <w:r>
              <w:rPr>
                <w:sz w:val="18"/>
              </w:rPr>
              <w:t>02:35</w:t>
            </w:r>
          </w:p>
        </w:tc>
        <w:tc>
          <w:tcPr>
            <w:tcW w:type="dxa" w:w="2016"/>
          </w:tcPr>
          <w:p>
            <w:pPr>
              <w:spacing w:after="40"/>
            </w:pPr>
            <w:r/>
            <w:r>
              <w:rPr>
                <w:sz w:val="18"/>
              </w:rPr>
              <w:t>01:58 - 02:05</w:t>
            </w:r>
          </w:p>
        </w:tc>
      </w:tr>
    </w:tbl>
    <w:p>
      <w:pPr>
        <w:spacing w:after="40"/>
      </w:pPr>
    </w:p>
    <w:p>
      <w:r>
        <w:rPr>
          <w:b w:val="0"/>
          <w:i w:val="0"/>
        </w:rPr>
        <w:t>Dimensions load before facts. That is the right order and nobody should change it.</w:t>
      </w:r>
    </w:p>
    <w:p>
      <w:r>
        <w:rPr>
          <w:b w:val="0"/>
          <w:i w:val="0"/>
        </w:rPr>
        <w:t>Now the in-flow markers. Step 2 says 01:40, step 3 says 02:00, step 4 says 02:35. Those are Control-M scheduling artefacts from when the plan was a good deal slower, and nobody has retimed them since. They are not wrong exactly, they are just stale, and the effect is that when three different people are asked when the nightly load finishes you get three different answers, all of them quoted with total confidence. So, for the record and so that I can point at it: the number to use for the warehouse being finished with the source is about 02:05. That is with the post load checks and the batch close counted in.</w:t>
      </w:r>
    </w:p>
    <w:p>
      <w:pPr>
        <w:pStyle w:val="Heading2"/>
      </w:pPr>
      <w:r>
        <w:t>4.2 The numbers</w:t>
      </w:r>
    </w:p>
    <w:tbl>
      <w:tblPr>
        <w:tblStyle w:val="TableGrid"/>
        <w:tblW w:type="auto" w:w="0"/>
        <w:tblLook w:firstColumn="1" w:firstRow="1" w:lastColumn="0" w:lastRow="0" w:noHBand="0" w:noVBand="1" w:val="04A0"/>
      </w:tblPr>
      <w:tblGrid>
        <w:gridCol w:w="4680"/>
        <w:gridCol w:w="4680"/>
      </w:tblGrid>
      <w:tr>
        <w:tc>
          <w:tcPr>
            <w:tcW w:type="dxa" w:w="4896"/>
          </w:tcPr>
          <w:p>
            <w:pPr>
              <w:spacing w:after="40"/>
            </w:pPr>
            <w:r/>
            <w:r>
              <w:rPr>
                <w:b/>
                <w:sz w:val="18"/>
              </w:rPr>
              <w:t>Item</w:t>
            </w:r>
          </w:p>
        </w:tc>
        <w:tc>
          <w:tcPr>
            <w:tcW w:type="dxa" w:w="4320"/>
          </w:tcPr>
          <w:p>
            <w:pPr>
              <w:spacing w:after="40"/>
            </w:pPr>
            <w:r/>
            <w:r>
              <w:rPr>
                <w:b/>
                <w:sz w:val="18"/>
              </w:rPr>
              <w:t>Value</w:t>
            </w:r>
          </w:p>
        </w:tc>
      </w:tr>
      <w:tr>
        <w:tc>
          <w:tcPr>
            <w:tcW w:type="dxa" w:w="4896"/>
          </w:tcPr>
          <w:p>
            <w:pPr>
              <w:spacing w:after="40"/>
            </w:pPr>
            <w:r/>
            <w:r>
              <w:rPr>
                <w:sz w:val="18"/>
              </w:rPr>
              <w:t>Average elapsed</w:t>
            </w:r>
          </w:p>
        </w:tc>
        <w:tc>
          <w:tcPr>
            <w:tcW w:type="dxa" w:w="4320"/>
          </w:tcPr>
          <w:p>
            <w:pPr>
              <w:spacing w:after="40"/>
            </w:pPr>
            <w:r/>
            <w:r>
              <w:rPr>
                <w:sz w:val="18"/>
              </w:rPr>
              <w:t>58 minutes (01:00 to 01:58 to the last interface)</w:t>
            </w:r>
          </w:p>
        </w:tc>
      </w:tr>
      <w:tr>
        <w:tc>
          <w:tcPr>
            <w:tcW w:type="dxa" w:w="4896"/>
          </w:tcPr>
          <w:p>
            <w:pPr>
              <w:spacing w:after="40"/>
            </w:pPr>
            <w:r/>
            <w:r>
              <w:rPr>
                <w:sz w:val="18"/>
              </w:rPr>
              <w:t>Typical completion including post load checks and the close</w:t>
            </w:r>
          </w:p>
        </w:tc>
        <w:tc>
          <w:tcPr>
            <w:tcW w:type="dxa" w:w="4320"/>
          </w:tcPr>
          <w:p>
            <w:pPr>
              <w:spacing w:after="40"/>
            </w:pPr>
            <w:r/>
            <w:r>
              <w:rPr>
                <w:sz w:val="18"/>
              </w:rPr>
              <w:t>about 02:05 IST</w:t>
            </w:r>
          </w:p>
        </w:tc>
      </w:tr>
      <w:tr>
        <w:tc>
          <w:tcPr>
            <w:tcW w:type="dxa" w:w="4896"/>
          </w:tcPr>
          <w:p>
            <w:pPr>
              <w:spacing w:after="40"/>
            </w:pPr>
            <w:r/>
            <w:r>
              <w:rPr>
                <w:sz w:val="18"/>
              </w:rPr>
              <w:t>P95 elapsed</w:t>
            </w:r>
          </w:p>
        </w:tc>
        <w:tc>
          <w:tcPr>
            <w:tcW w:type="dxa" w:w="4320"/>
          </w:tcPr>
          <w:p>
            <w:pPr>
              <w:spacing w:after="40"/>
            </w:pPr>
            <w:r/>
            <w:r>
              <w:rPr>
                <w:sz w:val="18"/>
              </w:rPr>
              <w:t>71 minutes</w:t>
            </w:r>
          </w:p>
        </w:tc>
      </w:tr>
      <w:tr>
        <w:tc>
          <w:tcPr>
            <w:tcW w:type="dxa" w:w="4896"/>
          </w:tcPr>
          <w:p>
            <w:pPr>
              <w:spacing w:after="40"/>
            </w:pPr>
            <w:r/>
            <w:r>
              <w:rPr>
                <w:sz w:val="18"/>
              </w:rPr>
              <w:t>Worst month end night so far this quarter</w:t>
            </w:r>
          </w:p>
        </w:tc>
        <w:tc>
          <w:tcPr>
            <w:tcW w:type="dxa" w:w="4320"/>
          </w:tcPr>
          <w:p>
            <w:pPr>
              <w:spacing w:after="40"/>
            </w:pPr>
            <w:r/>
            <w:r>
              <w:rPr>
                <w:sz w:val="18"/>
              </w:rPr>
              <w:t>3 h 12 min, finished 04:12</w:t>
            </w:r>
          </w:p>
        </w:tc>
      </w:tr>
      <w:tr>
        <w:tc>
          <w:tcPr>
            <w:tcW w:type="dxa" w:w="4896"/>
          </w:tcPr>
          <w:p>
            <w:pPr>
              <w:spacing w:after="40"/>
            </w:pPr>
            <w:r/>
            <w:r>
              <w:rPr>
                <w:sz w:val="18"/>
              </w:rPr>
              <w:t>Business availability SLA</w:t>
            </w:r>
          </w:p>
        </w:tc>
        <w:tc>
          <w:tcPr>
            <w:tcW w:type="dxa" w:w="4320"/>
          </w:tcPr>
          <w:p>
            <w:pPr>
              <w:spacing w:after="40"/>
            </w:pPr>
            <w:r/>
            <w:r>
              <w:rPr>
                <w:sz w:val="18"/>
              </w:rPr>
              <w:t>05:30 IST</w:t>
            </w:r>
          </w:p>
        </w:tc>
      </w:tr>
      <w:tr>
        <w:tc>
          <w:tcPr>
            <w:tcW w:type="dxa" w:w="4896"/>
          </w:tcPr>
          <w:p>
            <w:pPr>
              <w:spacing w:after="40"/>
            </w:pPr>
            <w:r/>
            <w:r>
              <w:rPr>
                <w:sz w:val="18"/>
              </w:rPr>
              <w:t>Invoice lines per night, average</w:t>
            </w:r>
          </w:p>
        </w:tc>
        <w:tc>
          <w:tcPr>
            <w:tcW w:type="dxa" w:w="4320"/>
          </w:tcPr>
          <w:p>
            <w:pPr>
              <w:spacing w:after="40"/>
            </w:pPr>
            <w:r/>
            <w:r>
              <w:rPr>
                <w:sz w:val="18"/>
              </w:rPr>
              <w:t>21,400</w:t>
            </w:r>
          </w:p>
        </w:tc>
      </w:tr>
      <w:tr>
        <w:tc>
          <w:tcPr>
            <w:tcW w:type="dxa" w:w="4896"/>
          </w:tcPr>
          <w:p>
            <w:pPr>
              <w:spacing w:after="40"/>
            </w:pPr>
            <w:r/>
            <w:r>
              <w:rPr>
                <w:sz w:val="18"/>
              </w:rPr>
              <w:t>Range</w:t>
            </w:r>
          </w:p>
        </w:tc>
        <w:tc>
          <w:tcPr>
            <w:tcW w:type="dxa" w:w="4320"/>
          </w:tcPr>
          <w:p>
            <w:pPr>
              <w:spacing w:after="40"/>
            </w:pPr>
            <w:r/>
            <w:r>
              <w:rPr>
                <w:sz w:val="18"/>
              </w:rPr>
              <w:t>6,200 on a Sunday to 48,900 at month end</w:t>
            </w:r>
          </w:p>
        </w:tc>
      </w:tr>
    </w:tbl>
    <w:p>
      <w:pPr>
        <w:spacing w:after="40"/>
      </w:pPr>
    </w:p>
    <w:p>
      <w:r>
        <w:rPr>
          <w:b w:val="0"/>
          <w:i w:val="0"/>
        </w:rPr>
        <w:t>The 21,400 is the average I cut in January and I have not re-cut it since, February and March have both been heavier, so treat it as indicative and I will refresh it after year end.</w:t>
      </w:r>
    </w:p>
    <w:p>
      <w:r>
        <w:rPr>
          <w:b w:val="0"/>
          <w:i w:val="0"/>
        </w:rPr>
        <w:t>We have missed the 05:30 availability twice since the start of this quarter, on 14/02/26 and again on 02-Mar-2026, sessions SESS_884012 and SESS_901337. Neither was caused by the model and both are written up in the operator log. I will say the same thing here that I said in my mail of 06-Mar: the load window is not a soft target and there is not much room left in it. The window is the window. Anything anybody wants to add to the nightly run has to come with a measured number, not an estimate, and I will look at it properly if it does.</w:t>
      </w:r>
    </w:p>
    <w:p>
      <w:pPr>
        <w:pStyle w:val="Heading1"/>
      </w:pPr>
      <w:r>
        <w:t>5. LP_MONTHEND_FIN</w:t>
      </w:r>
    </w:p>
    <w:p>
      <w:r>
        <w:rPr>
          <w:b w:val="0"/>
          <w:i w:val="0"/>
        </w:rPr>
        <w:t>Monthly. Working day +1 of the following fiscal month. Control-M job BCPL_EDW_MONTHEND_FIN, scheduled WD+1 03:00 but set to on-request, so it does not fire by itself, somebody submits it. It loads the finance aggregates and the GL summary for the period that has just closed.</w:t>
      </w:r>
    </w:p>
    <w:p>
      <w:r>
        <w:rPr>
          <w:b w:val="0"/>
          <w:i w:val="0"/>
        </w:rPr>
        <w:t>What it does not do is at least as important as what it does. It does not touch the order side. It does not re-run the dimension interfaces. So if something went wrong on the OMS side during the month, the month end run does not put it right, it simply summarises what is already there. There is a persistent belief in the business that the month end job fixes the month, and it does not, and I have given up correcting people one at a time.</w:t>
      </w:r>
    </w:p>
    <w:p>
      <w:r>
        <w:rPr>
          <w:b w:val="0"/>
          <w:i w:val="0"/>
        </w:rPr>
        <w:t>Before it can be submitted the period has to be set by hand. There is a row in BCPL_EDW.ETL_PARAM with PARAM_NAME = 'FIN_PERIOD_OPEN', and its PARAM_VALUE has to be updated to the period being closed, as a YYYYMM string, so for the March close it becomes 202603. One update and a commit, that is all it is. But nothing validates it. There is no check step at the front of the plan, no alert if the value is stale, and no error of any kind if it is left at last month's value: the plan runs perfectly happily, reports success, and reloads the previous period on top of itself. The first person to notice is usually somebody in Finance three or four days later when an aggregate has not moved. I should say plainly, because Karthik will ask and I would rather he heard it from me, that this step is not in the runbook. It is not written down anywhere at all before this document. In practice I am the one who does it, usually the evening before, and when I am on leave I tell whoever is covering, verbally, which I am aware is not a control in any sense that would survive an audit. It has been like this since the plan was built. I did start writing it up properly last year but</w:t>
      </w:r>
    </w:p>
    <w:p>
      <w:r>
        <w:rPr>
          <w:b w:val="0"/>
          <w:i w:val="0"/>
        </w:rPr>
        <w:t>It needs a check step and a hard stop. It is in my open items at section 10.</w:t>
      </w:r>
    </w:p>
    <w:p>
      <w:pPr>
        <w:pStyle w:val="Heading1"/>
      </w:pPr>
      <w:r>
        <w:t>6. Knowledge modules</w:t>
      </w:r>
    </w:p>
    <w:p>
      <w:r>
        <w:rPr>
          <w:b w:val="0"/>
          <w:i w:val="0"/>
        </w:rPr>
        <w:t>Three knowledge modules do all of the work in this chain, four if you count both IKMs separately, which I usually do not because one of them is only on a single interface. In ODI 12c these are called mappings, by the way. I still say interface. Everybody here knows what I mean and I am not going to retrain myself at this stage.</w:t>
      </w:r>
    </w:p>
    <w:p>
      <w:pPr>
        <w:pStyle w:val="Heading2"/>
      </w:pPr>
      <w:r>
        <w:t>6.1 LKM Oracle to Oracle (DBLINK)</w:t>
      </w:r>
    </w:p>
    <w:p>
      <w:r>
        <w:rPr>
          <w:b w:val="0"/>
          <w:i w:val="0"/>
        </w:rPr>
        <w:t>Used by every source to staging step, over ORION_PRD. It creates a view in the source, then does an INSERT /*+ APPEND */ ... SELECT across the link into the C$ table in STG_ORION.</w:t>
      </w:r>
    </w:p>
    <w:tbl>
      <w:tblPr>
        <w:tblStyle w:val="TableGrid"/>
        <w:tblW w:type="auto" w:w="0"/>
        <w:tblLook w:firstColumn="1" w:firstRow="1" w:lastColumn="0" w:lastRow="0" w:noHBand="0" w:noVBand="1" w:val="04A0"/>
      </w:tblPr>
      <w:tblGrid>
        <w:gridCol w:w="3120"/>
        <w:gridCol w:w="3120"/>
        <w:gridCol w:w="3120"/>
      </w:tblGrid>
      <w:tr>
        <w:tc>
          <w:tcPr>
            <w:tcW w:type="dxa" w:w="3024"/>
          </w:tcPr>
          <w:p>
            <w:pPr>
              <w:spacing w:after="40"/>
            </w:pPr>
            <w:r/>
            <w:r>
              <w:rPr>
                <w:b/>
                <w:sz w:val="18"/>
              </w:rPr>
              <w:t>Option</w:t>
            </w:r>
          </w:p>
        </w:tc>
        <w:tc>
          <w:tcPr>
            <w:tcW w:type="dxa" w:w="1296"/>
          </w:tcPr>
          <w:p>
            <w:pPr>
              <w:spacing w:after="40"/>
            </w:pPr>
            <w:r/>
            <w:r>
              <w:rPr>
                <w:b/>
                <w:sz w:val="18"/>
              </w:rPr>
              <w:t>Value</w:t>
            </w:r>
          </w:p>
        </w:tc>
        <w:tc>
          <w:tcPr>
            <w:tcW w:type="dxa" w:w="4896"/>
          </w:tcPr>
          <w:p>
            <w:pPr>
              <w:spacing w:after="40"/>
            </w:pPr>
            <w:r/>
            <w:r>
              <w:rPr>
                <w:b/>
                <w:sz w:val="18"/>
              </w:rPr>
              <w:t>Comment</w:t>
            </w:r>
          </w:p>
        </w:tc>
      </w:tr>
      <w:tr>
        <w:tc>
          <w:tcPr>
            <w:tcW w:type="dxa" w:w="3024"/>
          </w:tcPr>
          <w:p>
            <w:pPr>
              <w:spacing w:after="40"/>
            </w:pPr>
            <w:r/>
            <w:r>
              <w:rPr>
                <w:sz w:val="18"/>
              </w:rPr>
              <w:t>AUTO_DISABLE_FK</w:t>
            </w:r>
          </w:p>
        </w:tc>
        <w:tc>
          <w:tcPr>
            <w:tcW w:type="dxa" w:w="1296"/>
          </w:tcPr>
          <w:p>
            <w:pPr>
              <w:spacing w:after="40"/>
            </w:pPr>
            <w:r/>
            <w:r>
              <w:rPr>
                <w:sz w:val="18"/>
              </w:rPr>
              <w:t>No</w:t>
            </w:r>
          </w:p>
        </w:tc>
        <w:tc>
          <w:tcPr>
            <w:tcW w:type="dxa" w:w="4896"/>
          </w:tcPr>
          <w:p>
            <w:pPr>
              <w:spacing w:after="40"/>
            </w:pPr>
            <w:r/>
            <w:r>
              <w:rPr>
                <w:sz w:val="18"/>
              </w:rPr>
            </w:r>
          </w:p>
        </w:tc>
      </w:tr>
      <w:tr>
        <w:tc>
          <w:tcPr>
            <w:tcW w:type="dxa" w:w="3024"/>
          </w:tcPr>
          <w:p>
            <w:pPr>
              <w:spacing w:after="40"/>
            </w:pPr>
            <w:r/>
            <w:r>
              <w:rPr>
                <w:sz w:val="18"/>
              </w:rPr>
              <w:t>DELETE_TEMPORARY_OBJECTS</w:t>
            </w:r>
          </w:p>
        </w:tc>
        <w:tc>
          <w:tcPr>
            <w:tcW w:type="dxa" w:w="1296"/>
          </w:tcPr>
          <w:p>
            <w:pPr>
              <w:spacing w:after="40"/>
            </w:pPr>
            <w:r/>
            <w:r>
              <w:rPr>
                <w:sz w:val="18"/>
              </w:rPr>
              <w:t>No</w:t>
            </w:r>
          </w:p>
        </w:tc>
        <w:tc>
          <w:tcPr>
            <w:tcW w:type="dxa" w:w="4896"/>
          </w:tcPr>
          <w:p>
            <w:pPr>
              <w:spacing w:after="40"/>
            </w:pPr>
            <w:r/>
            <w:r>
              <w:rPr>
                <w:sz w:val="18"/>
              </w:rPr>
              <w:t>left at No after a debug session in 2022 and never put back. C$ tables accumulate.</w:t>
            </w:r>
          </w:p>
        </w:tc>
      </w:tr>
      <w:tr>
        <w:tc>
          <w:tcPr>
            <w:tcW w:type="dxa" w:w="3024"/>
          </w:tcPr>
          <w:p>
            <w:pPr>
              <w:spacing w:after="40"/>
            </w:pPr>
            <w:r/>
            <w:r>
              <w:rPr>
                <w:sz w:val="18"/>
              </w:rPr>
              <w:t>CREATE_SYNONYM</w:t>
            </w:r>
          </w:p>
        </w:tc>
        <w:tc>
          <w:tcPr>
            <w:tcW w:type="dxa" w:w="1296"/>
          </w:tcPr>
          <w:p>
            <w:pPr>
              <w:spacing w:after="40"/>
            </w:pPr>
            <w:r/>
            <w:r>
              <w:rPr>
                <w:sz w:val="18"/>
              </w:rPr>
              <w:t>No</w:t>
            </w:r>
          </w:p>
        </w:tc>
        <w:tc>
          <w:tcPr>
            <w:tcW w:type="dxa" w:w="4896"/>
          </w:tcPr>
          <w:p>
            <w:pPr>
              <w:spacing w:after="40"/>
            </w:pPr>
            <w:r/>
            <w:r>
              <w:rPr>
                <w:sz w:val="18"/>
              </w:rPr>
            </w:r>
          </w:p>
        </w:tc>
      </w:tr>
    </w:tbl>
    <w:p>
      <w:pPr>
        <w:spacing w:after="40"/>
      </w:pPr>
    </w:p>
    <w:p>
      <w:r>
        <w:rPr>
          <w:b w:val="0"/>
          <w:i w:val="0"/>
        </w:rPr>
        <w:t>Two things about this KM. First, the temporary objects. Because DELETE_TEMPORARY_OBJECTS is No, the C$ tables build up in STG_ORION and the only thing that clears them is a weekly cron job. That cron is not in Control-M and it is not in ODI, it lives in one person's crontab on the application host, and it is not documented anywhere. If that person leaves, we find out about it when STG_DATA fills up.</w:t>
      </w:r>
    </w:p>
    <w:p>
      <w:r>
        <w:rPr>
          <w:b w:val="0"/>
          <w:i w:val="0"/>
        </w:rPr>
        <w:t>Second, latency. This KM is visibly slow whenever ORION itself is busy. MAP_STG_INVOICE_LINE stages in about 23 minutes on a normal night; on a heavy night I have watched the same step take 70 minutes and more, with the agent session sitting in SQL*Net message from dblink the whole time. It is real, it is measurable in the step durations, and it is the single largest thing standing between me and a shorter run. That is my complaint about it. It costs elapsed time.</w:t>
      </w:r>
    </w:p>
    <w:p>
      <w:pPr>
        <w:pStyle w:val="Heading2"/>
      </w:pPr>
      <w:r>
        <w:t>6.2 The two IKMs</w:t>
      </w:r>
    </w:p>
    <w:p>
      <w:r>
        <w:rPr>
          <w:b w:val="0"/>
          <w:i w:val="0"/>
        </w:rPr>
        <w:t>IKM Oracle Incremental Update is on the staging targets and on every dimension target. Configured update-else-insert on the declared update key, TRUNCATE and DELETE_ALL both No, STATIC_CONTROL No everywhere, ANALYZE_TARGET No. These merge correctly. If a row comes across twice, it updates in place and you get one row. Fine.</w:t>
      </w:r>
    </w:p>
    <w:p>
      <w:r>
        <w:rPr>
          <w:b w:val="0"/>
          <w:i w:val="0"/>
        </w:rPr>
        <w:t>IKM Oracle Control Append is on MAP_FACT_INVOICE_LINE and on nothing else in this folder. TRUNCATE false, FLOW_CONTROL false, DELETE_ALL No, ANALYZE_TARGET No. It does not merge. It cannot merge. Every row the incremental predicate returns is inserted, full stop. There is no update branch, no update key, nothing in it that could recognise a row it has already put in. Put that together with the fixed rolling 24 hours from section 3.1 and the arithmetic is not difficult.</w:t>
      </w:r>
    </w:p>
    <w:p>
      <w:r>
        <w:rPr>
          <w:b w:val="0"/>
          <w:i w:val="0"/>
        </w:rPr>
        <w:t>Nobody who is still here can tell me why the fact interface was built differently from everything else around it. My working theory is that it was cloned off a load that genuinely was append only, and then nobody ever went back to it. FACT_INVOICE_LINE is the largest and most valuable table we have and it is the one loading with the least control over what goes into it. I would like a key based merge on INVOICE_LINE_ID. That is a design conversation and it belongs with Karthik, not in a job inventory, so I will leave it there.</w:t>
      </w:r>
    </w:p>
    <w:p>
      <w:pPr>
        <w:pStyle w:val="Heading2"/>
      </w:pPr>
      <w:r>
        <w:t>6.3 CKM Oracle</w:t>
      </w:r>
    </w:p>
    <w:p>
      <w:r>
        <w:rPr>
          <w:b w:val="0"/>
          <w:i w:val="0"/>
        </w:rPr>
        <w:t>Flow control. Rejected rows go to E$_&lt;target&gt; in STG_ORION and a post step copies them on into ETL_ERROR_LOG. RECYCLE_ERRORS is Yes on the staging interfaces. The CKM only runs where FLOW_CONTROL is true, and on MAP_FACT_INVOICE_LINE it is configured and not enabled. So our highest value table loads with no flow control on it at all.</w:t>
      </w:r>
    </w:p>
    <w:p>
      <w:r>
        <w:rPr>
          <w:b w:val="0"/>
          <w:i w:val="0"/>
        </w:rPr>
        <w:t>I have left that alone deliberately, and I want the reason on the record rather than discovered later. Turning flow control on for a fact interface of that size adds elapsed time to step 3, and I am not putting elapsed time into the nightly run in the middle of the year end close on the strength of a guess. Measure it on DEV first, show me the number, then I will schedule it.</w:t>
      </w:r>
    </w:p>
    <w:p>
      <w:pPr>
        <w:pStyle w:val="Heading1"/>
      </w:pPr>
      <w:r>
        <w:t>7. The interfaces</w:t>
      </w:r>
    </w:p>
    <w:p>
      <w:r>
        <w:rPr>
          <w:b w:val="0"/>
          <w:i w:val="0"/>
        </w:rPr>
        <w:t>Six of them here in any detail. These are the ones with something worth saying about them. The rest of the folder (MAP_STG_CUSTOMER, MAP_STG_CUSTOMER_TERRITORY_HIST, MAP_STG_SKU_MASTER, MAP_STG_INVOICE_HEADER, MAP_STG_ORDER_LINE, MAP_STG_SCHEME_MASTER, MAP_STG_DEPOT_MASTER, MAP_STG_TERRITORY_MASTER, MAP_STG_TAX_RATE, MAP_DIM_GEOGRAPHY, MAP_DIM_SCHEME, MAP_DIM_SALESREP, MAP_DIM_DATE which is a one-off and last ran in 2021, MAP_TAX_RATE_MASTER, MAP_FACT_ORDER_LINE and MAP_FACT_SECONDARY_SALES) exists, runs, and has no defect I have had to work around. I am not going to write a page about each one just to make the document look complete.</w:t>
      </w:r>
    </w:p>
    <w:p>
      <w:pPr>
        <w:pStyle w:val="Heading2"/>
      </w:pPr>
      <w:r>
        <w:t>7.1 MAP_STG_ORDER_HEADER</w:t>
      </w:r>
    </w:p>
    <w:p>
      <w:r>
        <w:rPr>
          <w:b w:val="0"/>
          <w:i w:val="0"/>
        </w:rPr>
        <w:t>Sources the order header and order line tables plus the applied scheme detail, target is STG_ORION.STG_ORDER_HEADER, with MAP_STG_ORDER_LINE doing the lines. LKM Oracle to Oracle (DBLINK), IKM Oracle Incremental Update, CKM Oracle with flow control on. The filter is the incremental window on GREATEST(header.LAST_UPD_DT, line.LAST_UPD_DT), plus NVL(DELETE_FLAG,'N') = 'N'.</w:t>
      </w:r>
    </w:p>
    <w:p>
      <w:r>
        <w:rPr>
          <w:b w:val="0"/>
          <w:i w:val="0"/>
        </w:rPr>
        <w:t>Known defect, open. The incremental window does not include the applied scheme row's own LAST_UPD_DT. So in the case where a scheme row is changed and neither the header nor the line is touched, the order is not re-extracted at all that night. I have not measured how often that happens because I do not have a clean way to measure it from this side. Low volume as far as I can tell, but I would not swear to it.</w:t>
      </w:r>
    </w:p>
    <w:p>
      <w:pPr>
        <w:pStyle w:val="Heading2"/>
      </w:pPr>
      <w:r>
        <w:t>7.2 MAP_STG_INVOICE_LINE</w:t>
      </w:r>
    </w:p>
    <w:p>
      <w:r>
        <w:rPr>
          <w:b w:val="0"/>
          <w:i w:val="0"/>
        </w:rPr>
        <w:t>INVOICE_LINE joined to INVOICE_HEADER on INVOICE_ID. Target STG_ORION.STG_INVOICE_LINE. LKM DBLINK, IKM Oracle Incremental Update, CKM Oracle with flow control on. Filters are NVL(DELETE_FLAG,'N') = 'N' on both sides and the incremental window on the greatest of the two update timestamps.</w:t>
      </w:r>
    </w:p>
    <w:p>
      <w:r>
        <w:rPr>
          <w:b w:val="0"/>
          <w:i w:val="0"/>
        </w:rPr>
        <w:t>No open defect. This is the largest volume step in the plan and it is where the link latency shows most clearly, so it is the one I get asked about after a bad night. Slow is not the same thing as wrong, and those two keep getting confused in the same conversation.</w:t>
      </w:r>
    </w:p>
    <w:p>
      <w:pPr>
        <w:pStyle w:val="Heading2"/>
      </w:pPr>
      <w:r>
        <w:t>7.3 MAP_FACT_INVOICE_LINE</w:t>
      </w:r>
    </w:p>
    <w:p>
      <w:r>
        <w:rPr>
          <w:b w:val="0"/>
          <w:i w:val="0"/>
        </w:rPr>
        <w:t>The one everything turns on. Source is STG_ORION.STG_INVOICE_LINE joined to STG_ORION.STG_INVOICE_HEADER on INVOICE_ID. Target is BCPL_EDW.FACT_INVOICE_LINE. LKM Oracle to Oracle (DBLINK) on the ORION_PRD link, IKM Oracle Control Append, CKM Oracle configured but not enabled. Incremental predicate is STG_INVOICE_LINE.LAST_UPD_DT &gt;= TRUNC(SYSDATE) - 1, as above. It excludes sample despatches with IH.DOC_TYPE &lt;&gt; 'SMP', and that filter at least is documented, it is in the export and I have given it to Ishaan. Rejects would land in E$_FACT_INVOICE_LINE if flow control were ever switched on.</w:t>
      </w:r>
    </w:p>
    <w:p>
      <w:r>
        <w:rPr>
          <w:b w:val="0"/>
          <w:i w:val="0"/>
        </w:rPr>
        <w:t>Karthik asked me what the grain is. The grain is meant to be one row per source invoice line. With an insert only KM and a fixed 24 hour window sitting in front of it, what it really is is one row per invoice line per extract, and in February we found out what that means in practice. See section 9.</w:t>
      </w:r>
    </w:p>
    <w:p>
      <w:r>
        <w:rPr>
          <w:b w:val="0"/>
          <w:i w:val="0"/>
        </w:rPr>
        <w:t>The whole fact step runs 01:50 to 01:58 on a normal night, so this is not a performance problem and I am not asking for anything for it. It is a correctness problem and it needs a merge.</w:t>
      </w:r>
    </w:p>
    <w:p>
      <w:pPr>
        <w:pStyle w:val="Heading2"/>
      </w:pPr>
      <w:r>
        <w:t>7.4 MAP_DIM_CUSTOMER</w:t>
      </w:r>
    </w:p>
    <w:p>
      <w:r>
        <w:rPr>
          <w:b w:val="0"/>
          <w:i w:val="0"/>
        </w:rPr>
        <w:t>Source is the customer master over ORION_PRD, target BCPL_EDW.DIM_CUSTOMER. LKM DBLINK, IKM Oracle Incremental Update, flow control on. Update else insert on CUSTOMER_ID.</w:t>
      </w:r>
    </w:p>
    <w:p>
      <w:r>
        <w:rPr>
          <w:b w:val="0"/>
          <w:i w:val="0"/>
        </w:rPr>
        <w:t>There is no history on this dimension. It updates in place. If a distributor is moved from one territory to another, the row simply changes underneath us and anything reported off the old territory changes with it, including last year. The table carries EFF_START_DT, EFF_END_DT and CURRENT_FLG columns from the original build and they are not doing anything useful today. This is not a defect in the interface, it is how it was specified, but it comes up every single time somebody reruns a comparison across a territory change and I would rather it were on the list than discovered again in a workshop.</w:t>
      </w:r>
    </w:p>
    <w:p>
      <w:pPr>
        <w:pStyle w:val="Heading2"/>
      </w:pPr>
      <w:r>
        <w:t>7.5 MAP_DIM_PRODUCT</w:t>
      </w:r>
    </w:p>
    <w:p>
      <w:r>
        <w:rPr>
          <w:b w:val="0"/>
          <w:i w:val="0"/>
        </w:rPr>
        <w:t>Source is the SKU master, target BCPL_EDW.DIM_PRODUCT. LKM DBLINK, IKM Oracle Incremental Update, flow control on. Same update in place behaviour as the customer interface.</w:t>
      </w:r>
    </w:p>
    <w:p>
      <w:r>
        <w:rPr>
          <w:b w:val="0"/>
          <w:i w:val="0"/>
        </w:rPr>
        <w:t>Known defect, open, low priority. The UOM conversion lookup is not deduplicated and the source has no unique constraint on it, so where a duplicate exists the lookup returns more than one row and the interface takes whichever one comes back first. The visible effect is that the case quantity on a handful of SKUs flips between two values from one load to the next. It is a handful. It is also exactly the kind of thing that turns into a support ticket at the worst possible moment, so it is on the list.</w:t>
      </w:r>
    </w:p>
    <w:p>
      <w:pPr>
        <w:pStyle w:val="Heading2"/>
      </w:pPr>
      <w:r>
        <w:t>7.6 MAP_STG_CREDIT_NOTE (disabled)</w:t>
      </w:r>
    </w:p>
    <w:p>
      <w:r>
        <w:rPr>
          <w:b w:val="0"/>
          <w:i w:val="0"/>
        </w:rPr>
        <w:t>Source is OMS_PROD.CREDIT_NOTE joined to OMS_PROD.CREDIT_NOTE_LINE on CN_ID, over ORION_PRD. Target is STG_ORION.STG_CREDIT_NOTE. LKM Oracle to Oracle (DBLINK), IKM Oracle Incremental Update, CKM Oracle. It was built in 2021, it ran for about fourteen months, and it was disabled on 14-Nov-2022 when the load window got tight. It has not run since. The last row in STG_CREDIT_NOTE carries LOAD_DT = 14-NOV-2022 and the table has been sitting there with those rows in it ever since, which is why anybody who queries it gets a confusing answer rather than an empty one.</w:t>
      </w:r>
    </w:p>
    <w:p>
      <w:r>
        <w:rPr>
          <w:b w:val="0"/>
          <w:i w:val="0"/>
        </w:rPr>
        <w:t>There is no defect in it. The interface works. It is switched off, and the switch is the only record of the decision I can find. No change ticket, no note against the load plan, no mention in any inventory, because until this document there was no inventory. I was here when it was done and I can remember the window discussion, but I cannot produce anything written. Nothing downstream ever consumed the staging table, so switching it off cost nothing at the time and nobody has looked at it since. I am recording it here mainly so that it stops being a surprise.</w:t>
      </w:r>
    </w:p>
    <w:p>
      <w:pPr>
        <w:pStyle w:val="Heading1"/>
      </w:pPr>
      <w:r>
        <w:t>8. Known fragile list</w:t>
      </w:r>
    </w:p>
    <w:p>
      <w:r>
        <w:rPr>
          <w:b w:val="0"/>
          <w:i w:val="0"/>
        </w:rPr>
        <w:t>This is the list I would give to somebody taking the run over from me. In rough order of how much it would worry me at 05:00.</w:t>
      </w:r>
    </w:p>
    <w:p>
      <w:pPr>
        <w:pStyle w:val="ListNumber"/>
      </w:pPr>
      <w:r>
        <w:t>MAP_FACT_INVOICE_LINE is insert only and runs on a fixed 24 hour window. Anything that causes the same rows to come back a second time ends up in the fact table a second time. This is the big one.</w:t>
      </w:r>
    </w:p>
    <w:p>
      <w:pPr>
        <w:pStyle w:val="ListNumber"/>
      </w:pPr>
      <w:r>
        <w:t>EXTRACT_HIGH_TS is stamped at the start of the plan and not at the end, so a restart after a late failure can silently skip a window. Silent is the problem, not the skip.</w:t>
      </w:r>
    </w:p>
    <w:p>
      <w:pPr>
        <w:pStyle w:val="ListNumber"/>
      </w:pPr>
      <w:r>
        <w:t>One agent, no failover. If OracleDIAgent1 is down the load does not start and Control-M's late start alert is the only thing that tells us.</w:t>
      </w:r>
    </w:p>
    <w:p>
      <w:pPr>
        <w:pStyle w:val="ListNumber"/>
      </w:pPr>
      <w:r>
        <w:t>Flow control is off on the fact interface, so nothing at all is validated on the way into the largest table in the warehouse.</w:t>
      </w:r>
    </w:p>
    <w:p>
      <w:pPr>
        <w:pStyle w:val="ListNumber"/>
      </w:pPr>
      <w:r>
        <w:t>C$ work tables accumulate in STG_ORION. The clean up is a weekly cron in one person's crontab, outside Control-M, undocumented.</w:t>
      </w:r>
    </w:p>
    <w:p>
      <w:pPr>
        <w:pStyle w:val="ListNumber"/>
      </w:pPr>
      <w:r>
        <w:t>The ORION_PRD link. On a night when ORION is busy the staging steps stretch and there is nothing I can do from this side except watch it.</w:t>
      </w:r>
    </w:p>
    <w:p>
      <w:pPr>
        <w:pStyle w:val="ListNumber"/>
      </w:pPr>
      <w:r>
        <w:t>LP_MONTHEND_FIN needs its parameter set by hand and nothing checks it (section 5).</w:t>
      </w:r>
    </w:p>
    <w:p>
      <w:pPr>
        <w:pStyle w:val="ListNumber"/>
      </w:pPr>
      <w:r>
        <w:t>LP_SECONDARY_UPLOAD runs at 04:00 for the SFA upload and frequently there is no file waiting for it. It does not fail, it just does nothing much, so an absent feed looks the same as a successful one.</w:t>
      </w:r>
    </w:p>
    <w:p>
      <w:pPr>
        <w:pStyle w:val="ListNumber"/>
      </w:pPr>
      <w:r>
        <w:t>Version control is a SharePoint library and depends on people remembering to export.</w:t>
      </w:r>
    </w:p>
    <w:p>
      <w:pPr>
        <w:pStyle w:val="ListNumber"/>
      </w:pPr>
      <w:r>
        <w:t>Documentation.</w:t>
      </w:r>
    </w:p>
    <w:p>
      <w:pPr>
        <w:pStyle w:val="Heading1"/>
      </w:pPr>
      <w:r>
        <w:t>9. Re-run safety, and February</w:t>
      </w:r>
    </w:p>
    <w:p>
      <w:r>
        <w:rPr>
          <w:b w:val="0"/>
          <w:i w:val="0"/>
        </w:rPr>
        <w:t>I would rather write this down myself than have somebody else summarise it for me.</w:t>
      </w:r>
    </w:p>
    <w:p>
      <w:r>
        <w:rPr>
          <w:b w:val="0"/>
          <w:i w:val="0"/>
        </w:rPr>
        <w:t>On Saturday 14/02/26 the plan failed and I resubmitted it by hand, session SESS_884012. IKM Oracle Control Append then did exactly what it is configured to do and appended the whole night's invoice lines a second time. Roughly INR 2.9 Cr of duplicated sales sat inside the February figures for about three weeks before anybody spotted it. LP_DAILY_SALES is not idempotent. Re-running it for the same business date does not correct the night, it doubles it, and there was no batch identifier on the target and no key to merge on that would have stopped me.</w:t>
      </w:r>
    </w:p>
    <w:p>
      <w:r>
        <w:rPr>
          <w:b w:val="0"/>
          <w:i w:val="0"/>
        </w:rPr>
        <w:t>The fix is two changes and neither of them is complicated. One, a batch id guard on the load plan so that a second submission for the same business date is refused rather than accepted. Two, move the high water mark so that it is only persisted by P_ETL_BATCH_CLOSE at the end of a run that actually succeeded. Both are written up. Both are waiting on a release slot, and I am not pushing a change into the nightly load in the last two weeks of the financial year, so realistically this goes in after the FY26 close is out of the way.</w:t>
      </w:r>
    </w:p>
    <w:p>
      <w:r>
        <w:rPr>
          <w:b w:val="0"/>
          <w:i w:val="0"/>
        </w:rPr>
        <w:t>Until it does, the working rule is: nobody resubmits LP_DAILY_SALES without telling me first, and if we do have to resubmit, we delete the rows for that BATCH_ID out of FACT_INVOICE_LINE before the plan goes back in. That is a manual control and it depends on me being reachable, which is not much of a control either, but it is what we have this month. Sneha has it on the tracker as VAR-008 and I have no argument with how it is written up there.</w:t>
      </w:r>
    </w:p>
    <w:p>
      <w:r>
        <w:rPr>
          <w:b w:val="0"/>
          <w:i w:val="0"/>
        </w:rPr>
        <w:t>Re-runs before the guard goes in may well have left artefacts that nobody has gone back and cleaned. I have not gone looking. If somebody wants that swept properly it is a piece of work in its own right and it needs a night on DEV first.</w:t>
      </w:r>
    </w:p>
    <w:p>
      <w:pPr>
        <w:pStyle w:val="Heading1"/>
      </w:pPr>
      <w:r>
        <w:t>10. Open items</w:t>
      </w:r>
    </w:p>
    <w:p>
      <w:pPr>
        <w:pStyle w:val="ListBullet"/>
      </w:pPr>
      <w:r>
        <w:t>Retime the Control-M in-flow markers on steps 2, 3 and 4 so that people stop quoting completion times from memory. Half an hour of work, has been outstanding for two years.</w:t>
      </w:r>
    </w:p>
    <w:p>
      <w:pPr>
        <w:pStyle w:val="ListBullet"/>
      </w:pPr>
      <w:r>
        <w:t>Get the C$ housekeeping cron documented and moved off one person's crontab, ideally into Control-M with the rest of it.</w:t>
      </w:r>
    </w:p>
    <w:p>
      <w:pPr>
        <w:pStyle w:val="ListBullet"/>
      </w:pPr>
      <w:r>
        <w:t xml:space="preserve">A check step at the front of LP_MONTHEND_FIN that reads ETL_PARAM and refuses to run if the period has not moved on. Needs a decision on whether it hard fails or just alerts. </w:t>
      </w:r>
      <w:r>
        <w:rPr>
          <w:highlight w:val="yellow"/>
        </w:rPr>
        <w:t>TBC</w:t>
      </w:r>
      <w:r>
        <w:t xml:space="preserve"> before the next month end.</w:t>
      </w:r>
    </w:p>
    <w:p>
      <w:pPr>
        <w:pStyle w:val="ListBullet"/>
      </w:pPr>
      <w:r>
        <w:t>Measured cost of enabling flow control on MAP_FACT_INVOICE_LINE, on DEV, before anybody asks me to do it in production.</w:t>
      </w:r>
    </w:p>
    <w:p>
      <w:pPr>
        <w:pStyle w:val="ListBullet"/>
      </w:pPr>
      <w:r>
        <w:t>[Ani to confirm] whether the read only account has select on everything in FIN_PROD that we will need for the month end aggregates. I do not think it does and I would rather find out now than on a WD+1.</w:t>
      </w:r>
    </w:p>
    <w:p>
      <w:pPr>
        <w:pStyle w:val="ListBullet"/>
      </w:pPr>
      <w:r>
        <w:t>Export discipline into the SharePoint library. I have said this before and I am recieving very little support on it.</w:t>
      </w:r>
    </w:p>
    <w:p>
      <w:r>
        <w:rPr>
          <w:b w:val="0"/>
          <w:i w:val="0"/>
        </w:rPr>
        <w:t>If anything in here is wrong, tell me and I will correct it in the next version, but tell me with the session number and the date so that I can go and look at the run rather than argue from memory.</w:t>
      </w:r>
    </w:p>
    <w:p>
      <w:r>
        <w:rPr>
          <w:b w:val="0"/>
          <w:i w:val="0"/>
          <w:sz w:val="21"/>
        </w:rPr>
        <w:t>Farida</w:t>
      </w:r>
    </w:p>
    <w:p>
      <w:r>
        <w:rPr>
          <w:b w:val="0"/>
          <w:i w:val="0"/>
          <w:sz w:val="21"/>
        </w:rPr>
        <w:t>20-Mar-2026</w:t>
      </w:r>
    </w:p>
    <w:p>
      <w:r>
        <w:rPr>
          <w:color w:val="888888"/>
          <w:sz w:val="16"/>
        </w:rPr>
        <w:t>SYNTHETIC — generated for internal demo. No real entity depicted.</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77777"/>
        <w:sz w:val="16"/>
      </w:rPr>
      <w:t>Project Drishti | Confidential          BCPL Data Warehouse team          DOC-02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Project Drishti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1F1F"/>
      <w:sz w:val="23"/>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Bharadwaj Consumer Products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ODI job inventory - SALES_FIN folder</dc:title>
  <dc:subject>Project Drishti - ODI 12c load plan and interface inventory</dc:subject>
  <dc:creator>Farida Contractor</dc:creator>
  <cp:keywords>ODI; LP_DAILY_SALES; LP_MONTHEND_FIN; BCPL_EDW; Drishti</cp:keywords>
  <dc:description>SYNTHETIC — generated for internal demo. No real entity depicted.</dc:description>
  <cp:lastModifiedBy>Farida Contractor</cp:lastModifiedBy>
  <cp:revision>3</cp:revision>
  <dcterms:created xsi:type="dcterms:W3CDTF">2026-03-12T18:42:00Z</dcterms:created>
  <dcterms:modified xsi:type="dcterms:W3CDTF">2026-03-20T21:17:00Z</dcterms:modified>
  <cp:category>Working note</cp:category>
</cp:coreProperties>
</file>