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0"/>
        </w:rPr>
        <w:t>BCPL_EDW Dimension Strategy</w:t>
      </w:r>
    </w:p>
    <w:p>
      <w:pPr>
        <w:spacing w:after="360" w:before="0"/>
      </w:pPr>
      <w:r>
        <w:rPr>
          <w:b w:val="0"/>
          <w:i/>
          <w:sz w:val="24"/>
        </w:rPr>
        <w:t>Dimension modelling, effective dating and the architecture decision record</w:t>
      </w:r>
    </w:p>
    <w:p>
      <w:pPr>
        <w:spacing w:after="40" w:before="0"/>
      </w:pPr>
      <w:r>
        <w:rPr>
          <w:b/>
          <w:i w:val="0"/>
          <w:sz w:val="21"/>
        </w:rPr>
        <w:t>Project Drishti</w:t>
      </w:r>
    </w:p>
    <w:p>
      <w:pPr>
        <w:spacing w:after="280" w:before="0"/>
      </w:pPr>
      <w:r>
        <w:rPr>
          <w:b w:val="0"/>
          <w:i w:val="0"/>
          <w:sz w:val="21"/>
        </w:rPr>
        <w:t>Bharadwaj Consumer Products Ltd</w:t>
      </w:r>
    </w:p>
    <w:p>
      <w:pPr>
        <w:spacing w:after="40" w:before="0"/>
      </w:pPr>
      <w:r>
        <w:rPr>
          <w:b w:val="0"/>
          <w:i w:val="0"/>
          <w:sz w:val="21"/>
        </w:rPr>
        <w:t>Prepared by:  Karthik Subramanian, Data Architect, Northlane Analytics</w:t>
      </w:r>
    </w:p>
    <w:p>
      <w:pPr>
        <w:spacing w:after="40" w:before="0"/>
      </w:pPr>
      <w:r>
        <w:rPr>
          <w:b w:val="0"/>
          <w:i w:val="0"/>
          <w:sz w:val="21"/>
        </w:rPr>
        <w:t>Version:  1.0</w:t>
      </w:r>
    </w:p>
    <w:p>
      <w:pPr>
        <w:spacing w:after="40" w:before="0"/>
      </w:pPr>
      <w:r>
        <w:rPr>
          <w:b w:val="0"/>
          <w:i w:val="0"/>
          <w:sz w:val="21"/>
        </w:rPr>
        <w:t>Date:  11-May-2026</w:t>
      </w:r>
    </w:p>
    <w:p>
      <w:pPr>
        <w:spacing w:after="40" w:before="0"/>
      </w:pPr>
      <w:r>
        <w:rPr>
          <w:b w:val="0"/>
          <w:i w:val="0"/>
          <w:sz w:val="21"/>
        </w:rPr>
        <w:t>Status:  Issued for build</w:t>
      </w:r>
    </w:p>
    <w:p>
      <w:pPr>
        <w:spacing w:after="280" w:before="0"/>
      </w:pPr>
      <w:r>
        <w:rPr>
          <w:b w:val="0"/>
          <w:i w:val="0"/>
          <w:sz w:val="21"/>
        </w:rPr>
        <w:t>Distribution:  bcpl-datawarehouse@bharadwajcp.example, drishti-core@northlaneanalytics.example</w:t>
      </w:r>
    </w:p>
    <w:p>
      <w:pPr>
        <w:spacing w:after="120" w:before="0"/>
      </w:pPr>
      <w:r>
        <w:rPr>
          <w:b w:val="0"/>
          <w:i/>
          <w:sz w:val="21"/>
        </w:rPr>
        <w:t>This note supersedes anything I circulated on dimension design before it, including the working notes from April. Where the two disagree, this one is the one to build from.</w:t>
      </w:r>
    </w:p>
    <w:p>
      <w:r>
        <w:br w:type="page"/>
      </w:r>
    </w:p>
    <w:p>
      <w:pPr>
        <w:pStyle w:val="Heading1"/>
        <w:spacing w:before="280" w:after="120"/>
      </w:pPr>
      <w:r>
        <w:rPr>
          <w:color w:val="1F3864"/>
          <w:sz w:val="28"/>
        </w:rPr>
        <w:t>Document control</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1020"/>
          </w:tcPr>
          <w:p>
            <w:r>
              <w:rPr>
                <w:b/>
                <w:sz w:val="19"/>
              </w:rPr>
              <w:t>Version</w:t>
            </w:r>
          </w:p>
        </w:tc>
        <w:tc>
          <w:tcPr>
            <w:tcW w:type="dxa" w:w="1474"/>
          </w:tcPr>
          <w:p>
            <w:r>
              <w:rPr>
                <w:b/>
                <w:sz w:val="19"/>
              </w:rPr>
              <w:t>Date</w:t>
            </w:r>
          </w:p>
        </w:tc>
        <w:tc>
          <w:tcPr>
            <w:tcW w:type="dxa" w:w="2268"/>
          </w:tcPr>
          <w:p>
            <w:r>
              <w:rPr>
                <w:b/>
                <w:sz w:val="19"/>
              </w:rPr>
              <w:t>Author</w:t>
            </w:r>
          </w:p>
        </w:tc>
        <w:tc>
          <w:tcPr>
            <w:tcW w:type="dxa" w:w="4309"/>
          </w:tcPr>
          <w:p>
            <w:r>
              <w:rPr>
                <w:b/>
                <w:sz w:val="19"/>
              </w:rPr>
              <w:t>Changes</w:t>
            </w:r>
          </w:p>
        </w:tc>
      </w:tr>
      <w:tr>
        <w:tc>
          <w:tcPr>
            <w:tcW w:type="dxa" w:w="1020"/>
          </w:tcPr>
          <w:p>
            <w:r>
              <w:rPr>
                <w:sz w:val="19"/>
              </w:rPr>
              <w:t>0.1</w:t>
            </w:r>
          </w:p>
        </w:tc>
        <w:tc>
          <w:tcPr>
            <w:tcW w:type="dxa" w:w="1474"/>
          </w:tcPr>
          <w:p>
            <w:r>
              <w:rPr>
                <w:sz w:val="19"/>
              </w:rPr>
              <w:t>19-Apr-2026</w:t>
            </w:r>
          </w:p>
        </w:tc>
        <w:tc>
          <w:tcPr>
            <w:tcW w:type="dxa" w:w="2268"/>
          </w:tcPr>
          <w:p>
            <w:r>
              <w:rPr>
                <w:sz w:val="19"/>
              </w:rPr>
              <w:t>Karthik Subramanian</w:t>
            </w:r>
          </w:p>
        </w:tc>
        <w:tc>
          <w:tcPr>
            <w:tcW w:type="dxa" w:w="4309"/>
          </w:tcPr>
          <w:p>
            <w:r>
              <w:rPr>
                <w:sz w:val="19"/>
              </w:rPr>
              <w:t>First draft. Sections 1 to 4 only. Circulated for comment inside the core team.</w:t>
            </w:r>
          </w:p>
        </w:tc>
      </w:tr>
      <w:tr>
        <w:tc>
          <w:tcPr>
            <w:tcW w:type="dxa" w:w="1020"/>
          </w:tcPr>
          <w:p>
            <w:r>
              <w:rPr>
                <w:sz w:val="19"/>
              </w:rPr>
              <w:t>0.3</w:t>
            </w:r>
          </w:p>
        </w:tc>
        <w:tc>
          <w:tcPr>
            <w:tcW w:type="dxa" w:w="1474"/>
          </w:tcPr>
          <w:p>
            <w:r>
              <w:rPr>
                <w:sz w:val="19"/>
              </w:rPr>
              <w:t>30-Apr-2026</w:t>
            </w:r>
          </w:p>
        </w:tc>
        <w:tc>
          <w:tcPr>
            <w:tcW w:type="dxa" w:w="2268"/>
          </w:tcPr>
          <w:p>
            <w:r>
              <w:rPr>
                <w:sz w:val="19"/>
              </w:rPr>
              <w:t>Karthik Subramanian</w:t>
            </w:r>
          </w:p>
        </w:tc>
        <w:tc>
          <w:tcPr>
            <w:tcW w:type="dxa" w:w="4309"/>
          </w:tcPr>
          <w:p>
            <w:r>
              <w:rPr>
                <w:sz w:val="19"/>
              </w:rPr>
              <w:t>minor updates</w:t>
            </w:r>
          </w:p>
        </w:tc>
      </w:tr>
      <w:tr>
        <w:tc>
          <w:tcPr>
            <w:tcW w:type="dxa" w:w="1020"/>
          </w:tcPr>
          <w:p>
            <w:r>
              <w:rPr>
                <w:sz w:val="19"/>
              </w:rPr>
              <w:t>1.0</w:t>
            </w:r>
          </w:p>
        </w:tc>
        <w:tc>
          <w:tcPr>
            <w:tcW w:type="dxa" w:w="1474"/>
          </w:tcPr>
          <w:p>
            <w:r>
              <w:rPr>
                <w:sz w:val="19"/>
              </w:rPr>
              <w:t>11-May-2026</w:t>
            </w:r>
          </w:p>
        </w:tc>
        <w:tc>
          <w:tcPr>
            <w:tcW w:type="dxa" w:w="2268"/>
          </w:tcPr>
          <w:p>
            <w:r>
              <w:rPr>
                <w:sz w:val="19"/>
              </w:rPr>
              <w:t>Karthik Subramanian</w:t>
            </w:r>
          </w:p>
        </w:tc>
        <w:tc>
          <w:tcPr>
            <w:tcW w:type="dxa" w:w="4309"/>
          </w:tcPr>
          <w:p>
            <w:r>
              <w:rPr>
                <w:sz w:val="19"/>
              </w:rPr>
              <w:t>Sections 5 and 6 rewritten after the design sign-off. Appendix A (ADR-001 to ADR-005) added. Section 9 added as an open gap. Issued.</w:t>
            </w:r>
          </w:p>
        </w:tc>
      </w:tr>
    </w:tbl>
    <w:p>
      <w:pPr>
        <w:spacing w:after="40" w:before="0"/>
      </w:pPr>
      <w:r>
        <w:rPr>
          <w:b w:val="0"/>
          <w:i w:val="0"/>
          <w:sz w:val="12"/>
        </w:rPr>
      </w:r>
    </w:p>
    <w:p>
      <w:pPr>
        <w:pStyle w:val="Heading1"/>
        <w:spacing w:before="280" w:after="120"/>
      </w:pPr>
      <w:r>
        <w:rPr>
          <w:color w:val="1F3864"/>
          <w:sz w:val="28"/>
        </w:rPr>
        <w:t>1.  Purpose and scope</w:t>
      </w:r>
    </w:p>
    <w:p>
      <w:pPr>
        <w:pStyle w:val="Heading2"/>
        <w:spacing w:before="200" w:after="80"/>
      </w:pPr>
      <w:r>
        <w:rPr>
          <w:color w:val="2E5084"/>
          <w:sz w:val="23"/>
        </w:rPr>
        <w:t>1.1  Purpose</w:t>
      </w:r>
    </w:p>
    <w:p>
      <w:pPr>
        <w:spacing w:after="120" w:before="0"/>
      </w:pPr>
      <w:r>
        <w:rPr>
          <w:b w:val="0"/>
          <w:i w:val="0"/>
        </w:rPr>
        <w:t>This note records how dimensions are modelled in BCPL_EDW, which of them keep history and which do not, and the reasoning behind each choice. It is written to be the reference during the build. It is also the place where the decisions themselves are recorded, so that in a year and a half somebody who was not in the room can find out why the warehouse behaves the way it does without having to ask three people who half remember it. The decision records are in Appendix A and they run from ADR-001 to ADR-005.</w:t>
      </w:r>
    </w:p>
    <w:p>
      <w:pPr>
        <w:pStyle w:val="Heading2"/>
        <w:spacing w:before="200" w:after="80"/>
      </w:pPr>
      <w:r>
        <w:rPr>
          <w:color w:val="2E5084"/>
          <w:sz w:val="23"/>
        </w:rPr>
        <w:t>1.2  Scope</w:t>
      </w:r>
    </w:p>
    <w:p>
      <w:pPr>
        <w:spacing w:after="120" w:before="0"/>
      </w:pPr>
      <w:r>
        <w:rPr>
          <w:b w:val="0"/>
          <w:i w:val="0"/>
        </w:rPr>
        <w:t>In scope: the six dimensions that exist in BCPL_EDW today, the surrogate key policy, the effective dating standard, the UNKNOWN member convention, and the way a fact row resolves its dimension keys.</w:t>
      </w:r>
    </w:p>
    <w:p>
      <w:pPr>
        <w:spacing w:after="120" w:before="0"/>
      </w:pPr>
      <w:r>
        <w:rPr>
          <w:b w:val="0"/>
          <w:i w:val="0"/>
        </w:rPr>
        <w:t>Out of scope: mapping specifications, which sit with the BCPL ETL team and are held seperately; physical sizing and tablespace layout; the fact tables themselves, which were covered in the target model note circulated on 08-Apr-2026; and anything in the reporting layer. Where this note has to say something about a mapping it says what the mapping has to achieve and not how it is built.</w:t>
      </w:r>
    </w:p>
    <w:p>
      <w:pPr>
        <w:pStyle w:val="Heading2"/>
        <w:spacing w:before="200" w:after="80"/>
      </w:pPr>
      <w:r>
        <w:rPr>
          <w:color w:val="2E5084"/>
          <w:sz w:val="23"/>
        </w:rPr>
        <w:t>1.3  Status of this version</w:t>
      </w:r>
    </w:p>
    <w:p>
      <w:pPr>
        <w:spacing w:after="120" w:before="0"/>
      </w:pPr>
      <w:r>
        <w:rPr>
          <w:b w:val="0"/>
          <w:i w:val="0"/>
        </w:rPr>
        <w:t>Sections 4, 5 and 6 reflect the design sign-off held on 6 May. Two of the decisions in Appendix A were taken in that meeting and one of them reverses a position I took in April. That is recorded properly in ADR-003 rather than quietly edited out, because a decision register that only contains the decisions that turned out well is not much use to anybody.</w:t>
      </w:r>
    </w:p>
    <w:p>
      <w:pPr>
        <w:pStyle w:val="Heading1"/>
        <w:spacing w:before="280" w:after="120"/>
      </w:pPr>
      <w:r>
        <w:rPr>
          <w:color w:val="1F3864"/>
          <w:sz w:val="28"/>
        </w:rPr>
        <w:t>2.  Terms used in this note</w:t>
      </w:r>
    </w:p>
    <w:p>
      <w:pPr>
        <w:spacing w:after="120" w:before="0"/>
      </w:pPr>
      <w:r>
        <w:rPr>
          <w:b w:val="0"/>
          <w:i w:val="0"/>
        </w:rPr>
        <w:t>I am defining these because the same four or five words are being used in at least two ways each in the workshops, and usually one of the two ways is mine. None of this is meant to be clever. It is here so that section 5 can be read without argument.</w:t>
      </w:r>
    </w:p>
    <w:p>
      <w:pPr>
        <w:spacing w:after="120" w:before="0"/>
      </w:pPr>
      <w:r>
        <w:rPr>
          <w:b/>
          <w:i w:val="0"/>
        </w:rPr>
        <w:t xml:space="preserve">Grain. </w:t>
      </w:r>
      <w:r>
        <w:rPr>
          <w:b w:val="0"/>
          <w:i w:val="0"/>
        </w:rPr>
        <w:t>What one row of a table means, stated in a single sentence. The grain of FACT_INVOICE_LINE is one row per source invoice line. The grain of a dimension that keeps history is one row per version of a member, not one row per member.</w:t>
      </w:r>
    </w:p>
    <w:p>
      <w:pPr>
        <w:spacing w:after="120" w:before="0"/>
      </w:pPr>
      <w:r>
        <w:rPr>
          <w:b/>
          <w:i w:val="0"/>
        </w:rPr>
        <w:t xml:space="preserve">Natural key. </w:t>
      </w:r>
      <w:r>
        <w:rPr>
          <w:b w:val="0"/>
          <w:i w:val="0"/>
        </w:rPr>
        <w:t>The identifier the source system uses for a thing. CUSTOMER_ID for a customer, SKU_ID for a product. It is meaningful to ORION and it is not under our control.</w:t>
      </w:r>
    </w:p>
    <w:p>
      <w:pPr>
        <w:spacing w:after="120" w:before="0"/>
      </w:pPr>
      <w:r>
        <w:rPr>
          <w:b/>
          <w:i w:val="0"/>
        </w:rPr>
        <w:t xml:space="preserve">Surrogate key. </w:t>
      </w:r>
      <w:r>
        <w:rPr>
          <w:b w:val="0"/>
          <w:i w:val="0"/>
        </w:rPr>
        <w:t>A meaningless integer that the warehouse generates and owns. CUSTOMER_KEY, PRODUCT_KEY, GEO_KEY and so on. It identifies one version of one member. Nothing is encoded in it and nothing should ever be derived from it.</w:t>
      </w:r>
    </w:p>
    <w:p>
      <w:pPr>
        <w:spacing w:after="120" w:before="0"/>
      </w:pPr>
      <w:r>
        <w:rPr>
          <w:b/>
          <w:i w:val="0"/>
        </w:rPr>
        <w:t xml:space="preserve">SCD1. </w:t>
      </w:r>
      <w:r>
        <w:rPr>
          <w:b w:val="0"/>
          <w:i w:val="0"/>
        </w:rPr>
        <w:t>The dimension holds one row per member. When a tracked attribute changes the row is overwritten. History is not kept, and every fact row that already pointed at that member silently begins reporting the new value.</w:t>
      </w:r>
    </w:p>
    <w:p>
      <w:pPr>
        <w:spacing w:after="120" w:before="0"/>
      </w:pPr>
      <w:r>
        <w:rPr>
          <w:b/>
          <w:i w:val="0"/>
        </w:rPr>
        <w:t xml:space="preserve">SCD2. </w:t>
      </w:r>
      <w:r>
        <w:rPr>
          <w:b w:val="0"/>
          <w:i w:val="0"/>
        </w:rPr>
        <w:t>The dimension holds one row per version of a member. When a tracked attribute changes the current row is closed off and a new row is inserted with a new surrogate key. Facts keep pointing at the version that was current when the transaction happened.</w:t>
      </w:r>
    </w:p>
    <w:p>
      <w:pPr>
        <w:spacing w:after="120" w:before="0"/>
      </w:pPr>
      <w:r>
        <w:rPr>
          <w:b/>
          <w:i w:val="0"/>
        </w:rPr>
        <w:t xml:space="preserve">Effective dating. </w:t>
      </w:r>
      <w:r>
        <w:rPr>
          <w:b w:val="0"/>
          <w:i w:val="0"/>
        </w:rPr>
        <w:t>The three columns that make SCD2 work: EFF_START_DT, EFF_END_DT and CURRENT_FLG. Same three columns, same names, same meaning, on every dimension that keeps history.</w:t>
      </w:r>
    </w:p>
    <w:p>
      <w:pPr>
        <w:spacing w:after="120" w:before="0"/>
      </w:pPr>
      <w:r>
        <w:rPr>
          <w:b/>
          <w:i w:val="0"/>
        </w:rPr>
        <w:t xml:space="preserve">Conformed dimension. </w:t>
      </w:r>
      <w:r>
        <w:rPr>
          <w:b w:val="0"/>
          <w:i w:val="0"/>
        </w:rPr>
        <w:t>One dimension used by more than one fact, with the same keys and the same meaning in each of them. A distributor has to mean the same thing on the invoice fact and on the order fact or the two cannot be put on the same page.</w:t>
      </w:r>
    </w:p>
    <w:p>
      <w:pPr>
        <w:spacing w:after="200" w:before="0"/>
      </w:pPr>
      <w:r>
        <w:rPr>
          <w:b/>
          <w:i w:val="0"/>
        </w:rPr>
        <w:t xml:space="preserve">Late-arriving dimension. </w:t>
      </w:r>
      <w:r>
        <w:rPr>
          <w:b w:val="0"/>
          <w:i w:val="0"/>
        </w:rPr>
        <w:t>A member that turns up on a transaction before the dimension load has seen it. Section 9.</w:t>
      </w:r>
    </w:p>
    <w:p>
      <w:pPr>
        <w:pStyle w:val="Heading1"/>
        <w:spacing w:before="280" w:after="120"/>
      </w:pPr>
      <w:r>
        <w:rPr>
          <w:color w:val="1F3864"/>
          <w:sz w:val="28"/>
        </w:rPr>
        <w:t>3.  Principles</w:t>
      </w:r>
    </w:p>
    <w:p>
      <w:pPr>
        <w:spacing w:after="120" w:before="0"/>
      </w:pPr>
      <w:r>
        <w:rPr>
          <w:b w:val="0"/>
          <w:i w:val="0"/>
        </w:rPr>
        <w:t>Seven of them. They apply to every dimension in the warehouse and I would rather they were argued with now than worked around during the build.</w:t>
      </w:r>
    </w:p>
    <w:p>
      <w:pPr>
        <w:spacing w:after="120" w:before="0"/>
      </w:pPr>
      <w:r>
        <w:rPr>
          <w:b w:val="0"/>
          <w:i w:val="0"/>
        </w:rPr>
        <w:t>3.1  Every fact joins to every dimension on a surrogate key. No fact table carries a natural key as a join column. INVOICE_ID and INVOICE_LINE_ID stay on FACT_INVOICE_LINE, but they are there for traceability back to ORION and they are not keys into anything dimensional.</w:t>
      </w:r>
    </w:p>
    <w:p>
      <w:pPr>
        <w:spacing w:after="120" w:before="0"/>
      </w:pPr>
      <w:r>
        <w:rPr>
          <w:b w:val="0"/>
          <w:i w:val="0"/>
        </w:rPr>
        <w:t>3.2  Surrogate keys are meaningless and nothing sorts by them. The single exception is DIM_DATE, where DATE_KEY is an integer in YYYYMMDD form. That is an inconsistency and I am keeping it, because it is readable in a query window, it partitions well, and every warehouse anybody on this project has worked on does the same thing.</w:t>
      </w:r>
    </w:p>
    <w:p>
      <w:pPr>
        <w:spacing w:after="120" w:before="0"/>
      </w:pPr>
      <w:r>
        <w:rPr>
          <w:b w:val="0"/>
          <w:i w:val="0"/>
        </w:rPr>
        <w:t>3.3  Every dimension carries an UNKNOWN member at key -1, inserted when the table is built and never deleted. Section 8.</w:t>
      </w:r>
    </w:p>
    <w:p>
      <w:pPr>
        <w:spacing w:after="120" w:before="0"/>
      </w:pPr>
      <w:r>
        <w:rPr>
          <w:b w:val="0"/>
          <w:i w:val="0"/>
        </w:rPr>
        <w:t>3.4  No fact row is loaded with a null dimension key. If the lookup fails the row still loads, with -1. A null key would drop the row out of an inner join and the amount would quietly leave the report, which is worse than an amount sitting visibly against UNKNOWN.</w:t>
      </w:r>
    </w:p>
    <w:p>
      <w:pPr>
        <w:spacing w:after="120" w:before="0"/>
      </w:pPr>
      <w:r>
        <w:rPr>
          <w:b w:val="0"/>
          <w:i w:val="0"/>
        </w:rPr>
        <w:t>3.5  Dimensions are conformed. DIM_DATE, DIM_CUSTOMER, DIM_PRODUCT and DIM_GEOGRAPHY are shared by FACT_INVOICE_LINE, FACT_ORDER_LINE and FACT_SECONDARY_SALES and they mean the same thing in all three. Nobody builds a second customer dimension for a single report. If a report needs an attribute that is not there, the attribute goes on the conformed dimension.</w:t>
      </w:r>
    </w:p>
    <w:p>
      <w:pPr>
        <w:spacing w:after="120" w:before="0"/>
      </w:pPr>
      <w:r>
        <w:rPr>
          <w:b w:val="0"/>
          <w:i w:val="0"/>
        </w:rPr>
        <w:t>3.6  The warehouse does not delete dimension rows. A member that goes inactive at source is flagged, not removed, because facts already point at it and history does not stop being true when a distributor stops trading.</w:t>
      </w:r>
    </w:p>
    <w:p>
      <w:pPr>
        <w:spacing w:after="120" w:before="0"/>
      </w:pPr>
      <w:r>
        <w:rPr>
          <w:b w:val="0"/>
          <w:i w:val="0"/>
        </w:rPr>
        <w:t>3.7  History is kept only where somebody can state the question it answers. Keeping history is not free. It costs elapsed time in the nightly load, it costs storage, and it makes every lookup in the fact load more complicated. Where nobody can say what the history is for, the dimension is SCD1 and stays SCD1.</w:t>
      </w:r>
    </w:p>
    <w:p>
      <w:pPr>
        <w:pStyle w:val="Heading1"/>
        <w:spacing w:before="280" w:after="120"/>
      </w:pPr>
      <w:r>
        <w:rPr>
          <w:color w:val="1F3864"/>
          <w:sz w:val="28"/>
        </w:rPr>
        <w:t>4.  Dimension inventory and the type chosen for each</w:t>
      </w:r>
    </w:p>
    <w:p>
      <w:pPr>
        <w:spacing w:after="120" w:before="0"/>
      </w:pPr>
      <w:r>
        <w:rPr>
          <w:b w:val="0"/>
          <w:i w:val="0"/>
        </w:rPr>
        <w:t>Six dimensions. Two of them keep history because the business asked a question that needs it, one keeps history because the reporting on it is time based by nature, and three do not.</w:t>
      </w:r>
    </w:p>
    <w:tbl>
      <w:tblPr>
        <w:tblStyle w:val="TableGrid"/>
        <w:tblW w:type="auto" w:w="0"/>
        <w:tblLook w:firstColumn="1" w:firstRow="1" w:lastColumn="0" w:lastRow="0" w:noHBand="0" w:noVBand="1" w:val="04A0"/>
      </w:tblPr>
      <w:tblGrid>
        <w:gridCol w:w="2379"/>
        <w:gridCol w:w="2379"/>
        <w:gridCol w:w="2379"/>
        <w:gridCol w:w="2379"/>
      </w:tblGrid>
      <w:tr>
        <w:tc>
          <w:tcPr>
            <w:tcW w:type="dxa" w:w="1928"/>
          </w:tcPr>
          <w:p>
            <w:r>
              <w:rPr>
                <w:b/>
                <w:sz w:val="19"/>
              </w:rPr>
              <w:t>Dimension</w:t>
            </w:r>
          </w:p>
        </w:tc>
        <w:tc>
          <w:tcPr>
            <w:tcW w:type="dxa" w:w="1474"/>
          </w:tcPr>
          <w:p>
            <w:r>
              <w:rPr>
                <w:b/>
                <w:sz w:val="19"/>
              </w:rPr>
              <w:t>Natural key</w:t>
            </w:r>
          </w:p>
        </w:tc>
        <w:tc>
          <w:tcPr>
            <w:tcW w:type="dxa" w:w="907"/>
          </w:tcPr>
          <w:p>
            <w:r>
              <w:rPr>
                <w:b/>
                <w:sz w:val="19"/>
              </w:rPr>
              <w:t>Type</w:t>
            </w:r>
          </w:p>
        </w:tc>
        <w:tc>
          <w:tcPr>
            <w:tcW w:type="dxa" w:w="4762"/>
          </w:tcPr>
          <w:p>
            <w:r>
              <w:rPr>
                <w:b/>
                <w:sz w:val="19"/>
              </w:rPr>
              <w:t>Why</w:t>
            </w:r>
          </w:p>
        </w:tc>
      </w:tr>
      <w:tr>
        <w:tc>
          <w:tcPr>
            <w:tcW w:type="dxa" w:w="1928"/>
          </w:tcPr>
          <w:p>
            <w:r>
              <w:rPr>
                <w:sz w:val="19"/>
              </w:rPr>
              <w:t>DIM_DATE</w:t>
            </w:r>
          </w:p>
        </w:tc>
        <w:tc>
          <w:tcPr>
            <w:tcW w:type="dxa" w:w="1474"/>
          </w:tcPr>
          <w:p>
            <w:r>
              <w:rPr>
                <w:sz w:val="19"/>
              </w:rPr>
              <w:t>FULL_DATE</w:t>
            </w:r>
          </w:p>
        </w:tc>
        <w:tc>
          <w:tcPr>
            <w:tcW w:type="dxa" w:w="907"/>
          </w:tcPr>
          <w:p>
            <w:r>
              <w:rPr>
                <w:sz w:val="19"/>
              </w:rPr>
              <w:t>static</w:t>
            </w:r>
          </w:p>
        </w:tc>
        <w:tc>
          <w:tcPr>
            <w:tcW w:type="dxa" w:w="4762"/>
          </w:tcPr>
          <w:p>
            <w:r>
              <w:rPr>
                <w:sz w:val="19"/>
              </w:rPr>
              <w:t>A calendar does not change. Generated once, out to 31-Mar-2031, with the fiscal columns following the April to March year.</w:t>
            </w:r>
          </w:p>
        </w:tc>
      </w:tr>
      <w:tr>
        <w:tc>
          <w:tcPr>
            <w:tcW w:type="dxa" w:w="1928"/>
          </w:tcPr>
          <w:p>
            <w:r>
              <w:rPr>
                <w:sz w:val="19"/>
              </w:rPr>
              <w:t>DIM_CUSTOMER</w:t>
            </w:r>
          </w:p>
        </w:tc>
        <w:tc>
          <w:tcPr>
            <w:tcW w:type="dxa" w:w="1474"/>
          </w:tcPr>
          <w:p>
            <w:r>
              <w:rPr>
                <w:sz w:val="19"/>
              </w:rPr>
              <w:t>CUSTOMER_ID</w:t>
            </w:r>
          </w:p>
        </w:tc>
        <w:tc>
          <w:tcPr>
            <w:tcW w:type="dxa" w:w="907"/>
          </w:tcPr>
          <w:p>
            <w:r>
              <w:rPr>
                <w:sz w:val="19"/>
              </w:rPr>
              <w:t>SCD2</w:t>
            </w:r>
          </w:p>
        </w:tc>
        <w:tc>
          <w:tcPr>
            <w:tcW w:type="dxa" w:w="4762"/>
          </w:tcPr>
          <w:p>
            <w:r>
              <w:rPr>
                <w:sz w:val="19"/>
              </w:rPr>
              <w:t>Territory, region and depot assignments move. Reported sales for a closed period must not move with them. ADR-002.</w:t>
            </w:r>
          </w:p>
        </w:tc>
      </w:tr>
      <w:tr>
        <w:tc>
          <w:tcPr>
            <w:tcW w:type="dxa" w:w="1928"/>
          </w:tcPr>
          <w:p>
            <w:r>
              <w:rPr>
                <w:sz w:val="19"/>
              </w:rPr>
              <w:t>DIM_PRODUCT</w:t>
            </w:r>
          </w:p>
        </w:tc>
        <w:tc>
          <w:tcPr>
            <w:tcW w:type="dxa" w:w="1474"/>
          </w:tcPr>
          <w:p>
            <w:r>
              <w:rPr>
                <w:sz w:val="19"/>
              </w:rPr>
              <w:t>SKU_ID</w:t>
            </w:r>
          </w:p>
        </w:tc>
        <w:tc>
          <w:tcPr>
            <w:tcW w:type="dxa" w:w="907"/>
          </w:tcPr>
          <w:p>
            <w:r>
              <w:rPr>
                <w:sz w:val="19"/>
              </w:rPr>
              <w:t>SCD2</w:t>
            </w:r>
          </w:p>
        </w:tc>
        <w:tc>
          <w:tcPr>
            <w:tcW w:type="dxa" w:w="4762"/>
          </w:tcPr>
          <w:p>
            <w:r>
              <w:rPr>
                <w:sz w:val="19"/>
              </w:rPr>
              <w:t>Pack size and MRP are revised during a year and the revision history is part of the answer for mix and contribution reporting. ADR-003, reversing the April position.</w:t>
            </w:r>
          </w:p>
        </w:tc>
      </w:tr>
      <w:tr>
        <w:tc>
          <w:tcPr>
            <w:tcW w:type="dxa" w:w="1928"/>
          </w:tcPr>
          <w:p>
            <w:r>
              <w:rPr>
                <w:sz w:val="19"/>
              </w:rPr>
              <w:t>DIM_GEOGRAPHY</w:t>
            </w:r>
          </w:p>
        </w:tc>
        <w:tc>
          <w:tcPr>
            <w:tcW w:type="dxa" w:w="1474"/>
          </w:tcPr>
          <w:p>
            <w:r>
              <w:rPr>
                <w:sz w:val="19"/>
              </w:rPr>
              <w:t>DEPOT_CODE</w:t>
            </w:r>
          </w:p>
        </w:tc>
        <w:tc>
          <w:tcPr>
            <w:tcW w:type="dxa" w:w="907"/>
          </w:tcPr>
          <w:p>
            <w:r>
              <w:rPr>
                <w:sz w:val="19"/>
              </w:rPr>
              <w:t>SCD1</w:t>
            </w:r>
          </w:p>
        </w:tc>
        <w:tc>
          <w:tcPr>
            <w:tcW w:type="dxa" w:w="4762"/>
          </w:tcPr>
          <w:p>
            <w:r>
              <w:rPr>
                <w:sz w:val="19"/>
              </w:rPr>
              <w:t>Twenty two rows. Depot descriptions get corrected rather than genuinely changed, and nobody has asked to see a depot as it was.</w:t>
            </w:r>
          </w:p>
        </w:tc>
      </w:tr>
      <w:tr>
        <w:tc>
          <w:tcPr>
            <w:tcW w:type="dxa" w:w="1928"/>
          </w:tcPr>
          <w:p>
            <w:r>
              <w:rPr>
                <w:sz w:val="19"/>
              </w:rPr>
              <w:t>DIM_SCHEME</w:t>
            </w:r>
          </w:p>
        </w:tc>
        <w:tc>
          <w:tcPr>
            <w:tcW w:type="dxa" w:w="1474"/>
          </w:tcPr>
          <w:p>
            <w:r>
              <w:rPr>
                <w:sz w:val="19"/>
              </w:rPr>
              <w:t>SCHEME_ID</w:t>
            </w:r>
          </w:p>
        </w:tc>
        <w:tc>
          <w:tcPr>
            <w:tcW w:type="dxa" w:w="907"/>
          </w:tcPr>
          <w:p>
            <w:r>
              <w:rPr>
                <w:sz w:val="19"/>
              </w:rPr>
              <w:t>SCD1</w:t>
            </w:r>
          </w:p>
        </w:tc>
        <w:tc>
          <w:tcPr>
            <w:tcW w:type="dxa" w:w="4762"/>
          </w:tcPr>
          <w:p>
            <w:r>
              <w:rPr>
                <w:sz w:val="19"/>
              </w:rPr>
              <w:t>Descriptive only. The amounts live on the fact, not on the dimension, so a change to a scheme description does not restate anything.</w:t>
            </w:r>
          </w:p>
        </w:tc>
      </w:tr>
      <w:tr>
        <w:tc>
          <w:tcPr>
            <w:tcW w:type="dxa" w:w="1928"/>
          </w:tcPr>
          <w:p>
            <w:r>
              <w:rPr>
                <w:sz w:val="19"/>
              </w:rPr>
              <w:t>DIM_SALESREP</w:t>
            </w:r>
          </w:p>
        </w:tc>
        <w:tc>
          <w:tcPr>
            <w:tcW w:type="dxa" w:w="1474"/>
          </w:tcPr>
          <w:p>
            <w:r>
              <w:rPr>
                <w:sz w:val="19"/>
              </w:rPr>
              <w:t>EMP_ID</w:t>
            </w:r>
          </w:p>
        </w:tc>
        <w:tc>
          <w:tcPr>
            <w:tcW w:type="dxa" w:w="907"/>
          </w:tcPr>
          <w:p>
            <w:r>
              <w:rPr>
                <w:sz w:val="19"/>
              </w:rPr>
              <w:t>SCD2</w:t>
            </w:r>
          </w:p>
        </w:tc>
        <w:tc>
          <w:tcPr>
            <w:tcW w:type="dxa" w:w="4762"/>
          </w:tcPr>
          <w:p>
            <w:r>
              <w:rPr>
                <w:sz w:val="19"/>
              </w:rPr>
              <w:t>A rep's territory and reporting line change inside a year and productivity reporting has to attribute to the rep as at the transaction date.</w:t>
            </w:r>
          </w:p>
        </w:tc>
      </w:tr>
    </w:tbl>
    <w:p>
      <w:pPr>
        <w:spacing w:after="40" w:before="0"/>
      </w:pPr>
      <w:r>
        <w:rPr>
          <w:b w:val="0"/>
          <w:i w:val="0"/>
          <w:sz w:val="12"/>
        </w:rPr>
      </w:r>
    </w:p>
    <w:p>
      <w:pPr>
        <w:spacing w:after="120" w:before="0"/>
      </w:pPr>
      <w:r>
        <w:rPr>
          <w:b w:val="0"/>
          <w:i w:val="0"/>
        </w:rPr>
        <w:t>Two notes on the table. DIM_SALESREP holds an employee code and a role code and no personal name, and it must stay that way; there is no name column in it and one should not be added. And DIM_SALESREP is refreshed on request rather than on the nightly load, which is an inconsistency I have carried into the open items in section 10 rather than fix in passing.</w:t>
      </w:r>
    </w:p>
    <w:p>
      <w:pPr>
        <w:pStyle w:val="Heading1"/>
        <w:spacing w:before="280" w:after="120"/>
      </w:pPr>
      <w:r>
        <w:rPr>
          <w:color w:val="1F3864"/>
          <w:sz w:val="28"/>
        </w:rPr>
        <w:t>5.  DIM_CUSTOMER: why it keeps history</w:t>
      </w:r>
    </w:p>
    <w:p>
      <w:pPr>
        <w:pStyle w:val="Heading2"/>
        <w:spacing w:before="200" w:after="80"/>
      </w:pPr>
      <w:r>
        <w:rPr>
          <w:color w:val="2E5084"/>
          <w:sz w:val="23"/>
        </w:rPr>
        <w:t>5.1  The requirement, in business terms</w:t>
      </w:r>
    </w:p>
    <w:p>
      <w:pPr>
        <w:spacing w:after="120" w:before="0"/>
      </w:pPr>
      <w:r>
        <w:rPr>
          <w:b w:val="0"/>
          <w:i w:val="0"/>
        </w:rPr>
        <w:t>BCPL sells to distributors. A distributor sits in a territory, a territory rolls up into a region, and the sales organisation is measured on that structure every month. Territories are realigned. Not often, but it happens, and when it happens a set of distributors move from one territory to another with effect from a stated date. The most recent one we looked at is DIST-W-0241, Mahalaxmi Distributors, which moved from TER-W-014 to TER-W-011 on 17-Apr-2026.</w:t>
      </w:r>
    </w:p>
    <w:p>
      <w:pPr>
        <w:spacing w:after="120" w:before="0"/>
      </w:pPr>
      <w:r>
        <w:rPr>
          <w:b w:val="0"/>
          <w:i w:val="0"/>
        </w:rPr>
        <w:t>Finance and Sales Operations gave us the requirement separately and in almost the same words. Sales that were reported against the old territory must stay reported against the old territory. Put in the language of this note: a transaction is attributed to the distributor and the territory that held it at the time of the transaction, not to wherever that distributor happens to sit today.</w:t>
      </w:r>
    </w:p>
    <w:p>
      <w:pPr>
        <w:pStyle w:val="Heading2"/>
        <w:spacing w:before="200" w:after="80"/>
      </w:pPr>
      <w:r>
        <w:rPr>
          <w:color w:val="2E5084"/>
          <w:sz w:val="23"/>
        </w:rPr>
        <w:t>5.2  What SCD1 would do to that requirement</w:t>
      </w:r>
    </w:p>
    <w:p>
      <w:pPr>
        <w:spacing w:after="120" w:before="0"/>
      </w:pPr>
      <w:r>
        <w:rPr>
          <w:b w:val="0"/>
          <w:i w:val="0"/>
        </w:rPr>
        <w:t>Under SCD1 there is one row per distributor. On the night of a reassignment TERRITORY_CODE is overwritten on that one row, and every invoice line ever loaded against that distributor, including last year's, immediately joins to the new territory. Prior period territory and region numbers change without a single fact row being touched. Nobody notices on the night. Somebody notices at the next review, when a closed month has moved, and then a week goes into explaining a movement that has no journal behind it. That is the failure this design exists to avoid.</w:t>
      </w:r>
    </w:p>
    <w:p>
      <w:pPr>
        <w:pStyle w:val="Heading2"/>
        <w:spacing w:before="200" w:after="80"/>
      </w:pPr>
      <w:r>
        <w:rPr>
          <w:color w:val="2E5084"/>
          <w:sz w:val="23"/>
        </w:rPr>
        <w:t>5.3  The decision and what is tracked</w:t>
      </w:r>
    </w:p>
    <w:p>
      <w:pPr>
        <w:spacing w:after="120" w:before="0"/>
      </w:pPr>
      <w:r>
        <w:rPr>
          <w:b w:val="0"/>
          <w:i w:val="0"/>
        </w:rPr>
        <w:t>DIM_CUSTOMER is SCD2. The tracked attributes, meaning the ones whose change opens a new version, are TERRITORY_CODE, REGION_CODE, STATE_CODE, DEPOT_CODE and CUSTOMER_TYPE.</w:t>
      </w:r>
    </w:p>
    <w:p>
      <w:pPr>
        <w:spacing w:after="120" w:before="0"/>
      </w:pPr>
      <w:r>
        <w:rPr>
          <w:b w:val="0"/>
          <w:i w:val="0"/>
        </w:rPr>
        <w:t>CUSTOMER_NAME is not tracked. A spelling correction on a distributor name should not open a version and should not create a second surrogate key. CREDIT_LIMIT_AMT is not tracked either: it is a current state attribute, and nobody has asked what a credit limit was in August. If that question ever gets asked it is a different requirement and it gets its own decision record.</w:t>
      </w:r>
    </w:p>
    <w:p>
      <w:pPr>
        <w:spacing w:after="120" w:before="0"/>
      </w:pPr>
      <w:r>
        <w:rPr>
          <w:b w:val="0"/>
          <w:i w:val="0"/>
        </w:rPr>
        <w:t>This is worth being explicit about because the tracked list is the whole design. Track too much and the dimension churns for no benefit, every load takes longer, and the version count grows on changes nobody wanted to see. Track too little and the thing you were trying to preserve gets overwritten anyway.</w:t>
      </w:r>
    </w:p>
    <w:p>
      <w:pPr>
        <w:pStyle w:val="Heading2"/>
        <w:spacing w:before="200" w:after="80"/>
      </w:pPr>
      <w:r>
        <w:rPr>
          <w:color w:val="2E5084"/>
          <w:sz w:val="23"/>
        </w:rPr>
        <w:t>5.4  How a fact row resolves its key</w:t>
      </w:r>
    </w:p>
    <w:p>
      <w:pPr>
        <w:spacing w:after="120" w:before="0"/>
      </w:pPr>
      <w:r>
        <w:rPr>
          <w:b w:val="0"/>
          <w:i w:val="0"/>
        </w:rPr>
        <w:t>The fact load resolves CUSTOMER_KEY on the natural key and the invoice date. In words: take CUSTOMER_ID from the source line, find the DIM_CUSTOMER row for that CUSTOMER_ID where the invoice date falls inside EFF_START_DT to EFF_END_DT, and use that row's CUSTOMER_KEY.</w:t>
      </w:r>
    </w:p>
    <w:p>
      <w:pPr>
        <w:spacing w:after="120" w:before="0"/>
      </w:pPr>
      <w:r>
        <w:rPr>
          <w:b w:val="0"/>
          <w:i w:val="0"/>
        </w:rPr>
        <w:t>It does not resolve on CURRENT_FLG = 'Y'. Resolving on the current flag would attach every historic line to today's version, which is SCD1 with three extra columns and a longer load. I am saying it twice deliberately, because it is the mistake that gets made when a lookup is copied from an older mapping.</w:t>
      </w:r>
    </w:p>
    <w:p>
      <w:pPr>
        <w:pStyle w:val="Heading2"/>
        <w:spacing w:before="200" w:after="80"/>
      </w:pPr>
      <w:r>
        <w:rPr>
          <w:color w:val="2E5084"/>
          <w:sz w:val="23"/>
        </w:rPr>
        <w:t>5.5  The history that does not exist yet</w:t>
      </w:r>
    </w:p>
    <w:p>
      <w:pPr>
        <w:spacing w:after="120" w:before="0"/>
      </w:pPr>
      <w:r>
        <w:rPr>
          <w:b w:val="0"/>
          <w:i w:val="0"/>
        </w:rPr>
        <w:t>DIM_CUSTOMER was SCD1 until now. The rows sitting in it today therefore carry no version history at all, and we are not going to invent one. Two options were considered.</w:t>
      </w:r>
    </w:p>
    <w:p>
      <w:pPr>
        <w:pStyle w:val="ListBullet"/>
        <w:spacing w:after="60"/>
      </w:pPr>
      <w:r>
        <w:t>Option A. Existing rows become a single open version, with EFF_START_DT set to the beginning of the loaded fact history. Simple, honest, and it means the warehouse can only answer the attribution question forward from the conversion date.</w:t>
      </w:r>
    </w:p>
    <w:p>
      <w:pPr>
        <w:pStyle w:val="ListBullet"/>
        <w:spacing w:after="60"/>
      </w:pPr>
      <w:r>
        <w:t>Option B. Back-populate versions from the source-side territory history table, OMS_PROD.CUSTOMER_TERRITORY_HIST. It is the right shape for it. It also has no primary key and nothing stopping two rows for one customer being in force at the same time, so it cannot be lifted across without being cleaned first.</w:t>
      </w:r>
    </w:p>
    <w:p>
      <w:pPr>
        <w:spacing w:after="120" w:before="0"/>
      </w:pPr>
      <w:r>
        <w:rPr>
          <w:b w:val="0"/>
          <w:i w:val="0"/>
        </w:rPr>
        <w:t>Recommendation is Option A for go-live, with Option B kept as a separate exercise if the reporting need is proven. There is a second reason for that ordering which is not technical: back-populating history changes numbers that people have already looked at and signed. That is a business decision, and it is Finance's to take, not ours.</w:t>
      </w:r>
    </w:p>
    <w:p>
      <w:pPr>
        <w:pStyle w:val="Heading2"/>
        <w:spacing w:before="200" w:after="80"/>
      </w:pPr>
      <w:r>
        <w:rPr>
          <w:color w:val="2E5084"/>
          <w:sz w:val="23"/>
        </w:rPr>
        <w:t>5.6  What it costs</w:t>
      </w:r>
    </w:p>
    <w:p>
      <w:pPr>
        <w:spacing w:after="120" w:before="0"/>
      </w:pPr>
      <w:r>
        <w:rPr>
          <w:b w:val="0"/>
          <w:i w:val="0"/>
        </w:rPr>
        <w:t>Versioning costs elapsed time in the nightly load and it costs storage. The storage is not interesting. The elapsed time is, because the load window is not ours to spend.</w:t>
      </w:r>
    </w:p>
    <w:p>
      <w:pPr>
        <w:spacing w:after="120" w:before="0"/>
      </w:pPr>
      <w:r>
        <w:rPr>
          <w:b w:val="0"/>
          <w:i w:val="0"/>
        </w:rPr>
        <w:t>The question about elapsed time was put to us on the BCPL side as soon as the option was tabled, and it was a fair question to ask. Rather than argue about it we measured it, on DEV, on a sample of nights rather than on one good night. The measurement, the assumptions behind it and the alternative scenarios are held in the load window impact model circulated on 22-Apr-2026, and I am deliberately not reproducing its numbers in this note. Figures copied out of a model into a document go stale the first time the model is re-run and then somebody quotes the document. The model is the reference for the numbers; this note is the reference for the decision.</w:t>
      </w:r>
    </w:p>
    <w:p>
      <w:pPr>
        <w:spacing w:after="120" w:before="0"/>
      </w:pPr>
      <w:r>
        <w:rPr>
          <w:b w:val="0"/>
          <w:i w:val="0"/>
        </w:rPr>
        <w:t>The short version, for a reader who only wants the outcome: the measured cost sits inside the head-room that exists on the worst night in the sample, and on that basis the design was approved on 6 May.</w:t>
      </w:r>
    </w:p>
    <w:p>
      <w:pPr>
        <w:pStyle w:val="Heading1"/>
        <w:spacing w:before="280" w:after="120"/>
      </w:pPr>
      <w:r>
        <w:rPr>
          <w:color w:val="1F3864"/>
          <w:sz w:val="28"/>
        </w:rPr>
        <w:t>6.  DIM_PRODUCT: why the position changed</w:t>
      </w:r>
    </w:p>
    <w:p>
      <w:pPr>
        <w:spacing w:after="120" w:before="0"/>
      </w:pPr>
      <w:r>
        <w:rPr>
          <w:b w:val="0"/>
          <w:i w:val="0"/>
        </w:rPr>
        <w:t>DIM_PRODUCT is SCD2, on exactly the same standard as DIM_CUSTOMER. The tracked attributes are PACK_SIZE, MRP_AMT, BRAND_CODE, CATEGORY_CODE and UOM. SKU_DESC is not tracked, because description edits are cosmetic and would open versions for nothing. ACTIVE_FLG is not tracked either; a SKU going inactive is a status change and the row it belongs to is already closed or still open on its own merits.</w:t>
      </w:r>
    </w:p>
    <w:p>
      <w:pPr>
        <w:spacing w:after="120" w:before="0"/>
      </w:pPr>
      <w:r>
        <w:rPr>
          <w:b w:val="0"/>
          <w:i w:val="0"/>
        </w:rPr>
        <w:t>This reverses the position I took in April. The record of that, with the reason it changed, is ADR-003 in Appendix A and I am not going to argue it a second time here.</w:t>
      </w:r>
    </w:p>
    <w:p>
      <w:pPr>
        <w:spacing w:after="120" w:before="0"/>
      </w:pPr>
      <w:r>
        <w:rPr>
          <w:b w:val="0"/>
          <w:i w:val="0"/>
        </w:rPr>
        <w:t>What matters for the build is the shape of the churn. On this dimension the versions will be driven mostly by MRP revisions rather than by pack size changes, so the version count grows faster than the member count would suggest, and faster than DIM_CUSTOMER even though the two have a broadly similar number of members. That is worth knowing when the growth projection gets refreshed.</w:t>
      </w:r>
    </w:p>
    <w:p>
      <w:pPr>
        <w:spacing w:after="120" w:before="0"/>
      </w:pPr>
      <w:r>
        <w:rPr>
          <w:b w:val="0"/>
          <w:i w:val="0"/>
        </w:rPr>
        <w:t>The reporting consequence is the one that decided it. Realisation per case for a prior period has to resolve the MRP that was in force at the time. Under SCD1 a mid-year MRP revision would restate the whole year's realisation on that SKU, which makes the product mix and contribution reporting (D09) tell a story about a price change that never happened in that period.</w:t>
      </w:r>
    </w:p>
    <w:p>
      <w:pPr>
        <w:pStyle w:val="Heading1"/>
        <w:spacing w:before="280" w:after="120"/>
      </w:pPr>
      <w:r>
        <w:rPr>
          <w:color w:val="1F3864"/>
          <w:sz w:val="28"/>
        </w:rPr>
        <w:t>7.  Effective Dating standard</w:t>
      </w:r>
    </w:p>
    <w:p>
      <w:pPr>
        <w:pStyle w:val="Heading2"/>
        <w:spacing w:before="200" w:after="80"/>
      </w:pPr>
      <w:r>
        <w:rPr>
          <w:color w:val="2E5084"/>
          <w:sz w:val="23"/>
        </w:rPr>
        <w:t>7.1  Columns</w:t>
      </w:r>
    </w:p>
    <w:p>
      <w:pPr>
        <w:spacing w:after="120" w:before="0"/>
      </w:pPr>
      <w:r>
        <w:rPr>
          <w:b w:val="0"/>
          <w:i w:val="0"/>
        </w:rPr>
        <w:t>Every dimension that keeps history carries EFF_START_DT, EFF_END_DT and CURRENT_FLG. Same names everywhere. CURRENT_FLG is CHAR(1) holding 'Y' or 'N' and never a null. Note the column is CURRENT_FLG and not CURRENT_FLAG; the abbreviation is already in the physical model and renaming it now buys nothing.</w:t>
      </w:r>
    </w:p>
    <w:p>
      <w:pPr>
        <w:pStyle w:val="Heading2"/>
        <w:spacing w:before="200" w:after="80"/>
      </w:pPr>
      <w:r>
        <w:rPr>
          <w:color w:val="2E5084"/>
          <w:sz w:val="23"/>
        </w:rPr>
        <w:t>7.2  The open row</w:t>
      </w:r>
    </w:p>
    <w:p>
      <w:pPr>
        <w:spacing w:after="120" w:before="0"/>
      </w:pPr>
      <w:r>
        <w:rPr>
          <w:b w:val="0"/>
          <w:i w:val="0"/>
        </w:rPr>
        <w:t>An open version carries EFF_END_DT = 31-DEC-4712 and CURRENT_FLG = 'Y'. That is Oracle's high date and it is used on purpose instead of a null. With a null end date every date-ranged lookup in every fact mapping has to wrap the predicate in NVL, and sooner or later one of them will not, and that mapping will silently return nothing for the current version. A high date makes the between predicate work without special cases.</w:t>
      </w:r>
    </w:p>
    <w:p>
      <w:pPr>
        <w:pStyle w:val="Heading2"/>
        <w:spacing w:before="200" w:after="80"/>
      </w:pPr>
      <w:r>
        <w:rPr>
          <w:color w:val="2E5084"/>
          <w:sz w:val="23"/>
        </w:rPr>
        <w:t>7.3  The closing rule, which is an invariant and not a preference</w:t>
      </w:r>
    </w:p>
    <w:p>
      <w:pPr>
        <w:spacing w:after="120" w:before="0"/>
      </w:pPr>
      <w:r>
        <w:rPr>
          <w:b w:val="0"/>
          <w:i w:val="0"/>
        </w:rPr>
        <w:t>When a tracked attribute changes for a member, three things happen in one transaction. The current row is closed by setting EFF_END_DT to the day before the new version's EFF_START_DT. CURRENT_FLG on that row is set to 'N'. The new version is inserted with a new surrogate key, its own EFF_START_DT, EFF_END_DT = 31-DEC-4712 and CURRENT_FLG = 'Y'.</w:t>
      </w:r>
    </w:p>
    <w:p>
      <w:pPr>
        <w:spacing w:after="120" w:before="0"/>
      </w:pPr>
      <w:r>
        <w:rPr>
          <w:b w:val="0"/>
          <w:i w:val="0"/>
        </w:rPr>
        <w:t>Two things must be true after every run and both are testable in one query each:</w:t>
      </w:r>
    </w:p>
    <w:p>
      <w:pPr>
        <w:pStyle w:val="ListBullet"/>
        <w:spacing w:after="60"/>
      </w:pPr>
      <w:r>
        <w:t>exactly one row per natural key has CURRENT_FLG = 'Y'; and</w:t>
      </w:r>
    </w:p>
    <w:p>
      <w:pPr>
        <w:pStyle w:val="ListBullet"/>
        <w:spacing w:after="60"/>
      </w:pPr>
      <w:r>
        <w:t>no two versions of the same natural key have overlapping effective ranges.</w:t>
      </w:r>
    </w:p>
    <w:p>
      <w:pPr>
        <w:spacing w:after="120" w:before="0"/>
      </w:pPr>
      <w:r>
        <w:rPr>
          <w:b w:val="0"/>
          <w:i w:val="0"/>
        </w:rPr>
        <w:t>Setting the closing row's EFF_END_DT equal to the new row's EFF_START_DT is not acceptable and I want the reason written down. It creates a single day on which two versions are both valid. A fact row landing on that day joins to both of them, the amount is counted twice, and the only symptom is a number that is slightly too big. If the flag is also left at 'Y' on the closed row then the same thing happens to anything that resolves on the current flag. Neither failure raises an error anywhere.</w:t>
      </w:r>
    </w:p>
    <w:p>
      <w:pPr>
        <w:pStyle w:val="Heading2"/>
        <w:spacing w:before="200" w:after="80"/>
      </w:pPr>
      <w:r>
        <w:rPr>
          <w:color w:val="2E5084"/>
          <w:sz w:val="23"/>
        </w:rPr>
        <w:t>7.4  Grain of the effectivity</w:t>
      </w:r>
    </w:p>
    <w:p>
      <w:pPr>
        <w:spacing w:after="120" w:before="0"/>
      </w:pPr>
      <w:r>
        <w:rPr>
          <w:b w:val="0"/>
          <w:i w:val="0"/>
        </w:rPr>
        <w:t>Effectivity is dated at day grain. Two changes to the same member on the same day collapse into a single version. This is accepted rather than solved, because the source does not give us a change timestamp we would trust at anything finer than a day.</w:t>
      </w:r>
    </w:p>
    <w:p>
      <w:pPr>
        <w:pStyle w:val="Heading2"/>
        <w:spacing w:before="200" w:after="80"/>
      </w:pPr>
      <w:r>
        <w:rPr>
          <w:color w:val="2E5084"/>
          <w:sz w:val="23"/>
        </w:rPr>
        <w:t>7.5  Implementation note</w:t>
      </w:r>
    </w:p>
    <w:p>
      <w:pPr>
        <w:spacing w:after="120" w:before="0"/>
      </w:pPr>
      <w:r>
        <w:rPr>
          <w:b w:val="0"/>
          <w:i w:val="0"/>
        </w:rPr>
        <w:t>The SCD2 behaviour is built by hand as a two pass hash comparison on the tracked attributes and does not use the SCD2 knowledge module that ships with ODI. The rows that already exist carry an end date convention the knowledge module does not expect, so switching to it later would need a full reload of the dimension and a rebuild of every key on the fact. Whoever picks this up in six months: read the description on the mapping before you change the knowledge module.</w:t>
      </w:r>
    </w:p>
    <w:p>
      <w:pPr>
        <w:pStyle w:val="Heading2"/>
        <w:spacing w:before="200" w:after="80"/>
      </w:pPr>
      <w:r>
        <w:rPr>
          <w:color w:val="2E5084"/>
          <w:sz w:val="23"/>
        </w:rPr>
        <w:t>7.6  The constraint I would like and do not have</w:t>
      </w:r>
    </w:p>
    <w:p>
      <w:pPr>
        <w:spacing w:after="120" w:before="0"/>
      </w:pPr>
      <w:r>
        <w:rPr>
          <w:b w:val="0"/>
          <w:i w:val="0"/>
        </w:rPr>
        <w:t>There is no constraint in the target stopping two current rows existing for one natural key. There should be. It cannot be a plain unique index, because CURRENT_FLG = 'N' repeats legitimately, so it is a function based unique index on the natural key expressed only where the flag is 'Y'. That is a small change and it converts a silent doubling into a load failure, which is the trade I want. Carried as an open item.</w:t>
      </w:r>
    </w:p>
    <w:p>
      <w:pPr>
        <w:pStyle w:val="Heading1"/>
        <w:spacing w:before="280" w:after="120"/>
      </w:pPr>
      <w:r>
        <w:rPr>
          <w:color w:val="1F3864"/>
          <w:sz w:val="28"/>
        </w:rPr>
        <w:t>8.  Surrogate keys and the UNKNOWN member</w:t>
      </w:r>
    </w:p>
    <w:p>
      <w:pPr>
        <w:spacing w:after="120" w:before="0"/>
      </w:pPr>
      <w:r>
        <w:rPr>
          <w:b w:val="0"/>
          <w:i w:val="0"/>
        </w:rPr>
        <w:t>8.1  Each dimension gets its own sequence and keys are allocated from it in load order. Keys are never reused, not even for a member that is deleted at source, because a fact row somewhere is still pointing at the old value and reusing the key would silently re-attribute it.</w:t>
      </w:r>
    </w:p>
    <w:p>
      <w:pPr>
        <w:spacing w:after="120" w:before="0"/>
      </w:pPr>
      <w:r>
        <w:rPr>
          <w:b w:val="0"/>
          <w:i w:val="0"/>
        </w:rPr>
        <w:t>8.2  Every dimension carries an UNKNOWN member at key -1. It is inserted when the table is created, not by the load, and it holds a descriptive value such as 'UNKNOWN' in the text columns and safe values in the rest. DIM_DATE carries -1 as well, which is not a valid YYYYMMDD value, and that is intentional and documented here so nobody helpfully cleans it up.</w:t>
      </w:r>
    </w:p>
    <w:p>
      <w:pPr>
        <w:spacing w:after="120" w:before="0"/>
      </w:pPr>
      <w:r>
        <w:rPr>
          <w:b w:val="0"/>
          <w:i w:val="0"/>
        </w:rPr>
        <w:t>8.3  Why -1 and not 0 or null. Zero collides with a sequence that starts at zero and with every default an ETL tool writes when it does not know what else to put. Null breaks inner joins and takes the row out of the report without telling anybody. Minus one cannot be confused with a real key, it sorts to the top, and it is visible in a result set at a glance.</w:t>
      </w:r>
    </w:p>
    <w:p>
      <w:pPr>
        <w:spacing w:after="120" w:before="0"/>
      </w:pPr>
      <w:r>
        <w:rPr>
          <w:b w:val="0"/>
          <w:i w:val="0"/>
        </w:rPr>
        <w:t>8.4  The unknown member is a marker, not a bin. If a report shows material volume sitting against UNKNOWN then that is a defect to be investigated and not a category to be explained away in a footnote. Section 9 is the case where this matters most.</w:t>
      </w:r>
    </w:p>
    <w:p>
      <w:pPr>
        <w:pStyle w:val="Heading1"/>
        <w:spacing w:before="280" w:after="120"/>
      </w:pPr>
      <w:r>
        <w:rPr>
          <w:color w:val="1F3864"/>
          <w:sz w:val="28"/>
        </w:rPr>
        <w:t>9.  Late-arriving dimensions: a known gap in this design</w:t>
      </w:r>
    </w:p>
    <w:p>
      <w:pPr>
        <w:spacing w:after="120" w:before="0"/>
      </w:pPr>
      <w:r>
        <w:rPr>
          <w:b w:val="0"/>
          <w:i w:val="0"/>
        </w:rPr>
        <w:t>9.1  A late-arriving dimension is a member that appears on a transaction before the dimension load has seen it. The straightforward example is a distributor created in ORION in the morning and invoiced the same afternoon. The dimension load runs on its own cycle, the invoice arrives with a natural key the dimension does not yet hold, and the lookup fails.</w:t>
      </w:r>
    </w:p>
    <w:p>
      <w:pPr>
        <w:spacing w:after="120" w:before="0"/>
      </w:pPr>
      <w:r>
        <w:rPr>
          <w:b w:val="0"/>
          <w:i w:val="0"/>
        </w:rPr>
        <w:t>9.2  What the design does in that case is set out in principle 3.4. The fact row loads, with the key set to -1. The amount is right. The attribution is not, and it will read as UNKNOWN on anything sliced by that dimension.</w:t>
      </w:r>
    </w:p>
    <w:p>
      <w:pPr>
        <w:spacing w:after="120" w:before="0"/>
      </w:pPr>
      <w:r>
        <w:rPr>
          <w:b w:val="0"/>
          <w:i w:val="0"/>
        </w:rPr>
        <w:t>9.3  What the design does not do is come back and re-point that fact row once the member arrives on a later run. There is no re-pointing routine in the scope of the first phase. I am recording that as a gap rather than leaving it implied, because it is the sort of thing that gets discovered by a business user in a review and is much harder to explain then.</w:t>
      </w:r>
    </w:p>
    <w:p>
      <w:pPr>
        <w:spacing w:after="120" w:before="0"/>
      </w:pPr>
      <w:r>
        <w:rPr>
          <w:b w:val="0"/>
          <w:i w:val="0"/>
        </w:rPr>
        <w:t>9.4  When it is scoped, there are two ways to do it and they are not equivalent.</w:t>
      </w:r>
    </w:p>
    <w:p>
      <w:pPr>
        <w:pStyle w:val="ListBullet"/>
        <w:spacing w:after="60"/>
      </w:pPr>
      <w:r>
        <w:t>An inferred member. The fact load writes a stub row into the dimension with the natural key and nothing else, takes the key it just created, and the real attributes are filled in when the dimension load next sees the member. Cleaner, and it needs the fact load to be able to write to a dimension, which today it cannot.</w:t>
      </w:r>
    </w:p>
    <w:p>
      <w:pPr>
        <w:pStyle w:val="ListBullet"/>
        <w:spacing w:after="60"/>
      </w:pPr>
      <w:r>
        <w:t>A periodic re-point. A job finds fact rows sitting on -1 whose natural key now resolves and updates the key. Easy to schedule, easy to get wrong on an SCD2 dimension, because the re-point has to choose the version that was in force at the transaction date and not the current one. If it picks the current version it will look correct and be wrong.</w:t>
      </w:r>
    </w:p>
    <w:p>
      <w:pPr>
        <w:spacing w:after="120" w:before="0"/>
      </w:pPr>
      <w:r>
        <w:rPr>
          <w:b w:val="0"/>
          <w:i w:val="0"/>
        </w:rPr>
        <w:t>9.5  My recommendation is that we do not build either of them until somebody can say how often this actually happens and on which dimension. I do not know that number yet. The data quality workstream that started this month should produce it, and I will bring a recommendation with a size attached once it does.</w:t>
      </w:r>
    </w:p>
    <w:p>
      <w:pPr>
        <w:pStyle w:val="Heading1"/>
        <w:spacing w:before="280" w:after="120"/>
      </w:pPr>
      <w:r>
        <w:rPr>
          <w:color w:val="1F3864"/>
          <w:sz w:val="28"/>
        </w:rPr>
        <w:t>10.  Open items</w:t>
      </w:r>
    </w:p>
    <w:p>
      <w:pPr>
        <w:spacing w:after="120" w:before="0"/>
      </w:pPr>
      <w:r>
        <w:rPr>
          <w:b w:val="0"/>
          <w:i w:val="0"/>
        </w:rPr>
        <w:t>10.1  Function based unique index on the current version of each SCD2 dimension, per 7.6. Not yet raised as a change. Mine.</w:t>
      </w:r>
    </w:p>
    <w:p>
      <w:pPr>
        <w:spacing w:after="120" w:before="0"/>
      </w:pPr>
      <w:r>
        <w:rPr>
          <w:b w:val="0"/>
          <w:i w:val="0"/>
        </w:rPr>
        <w:t>10.2  Back-population of DIM_CUSTOMER history, per 5.5. Needs a decision from Finance before it is estimated, not after.</w:t>
      </w:r>
    </w:p>
    <w:p>
      <w:pPr>
        <w:spacing w:after="120" w:before="0"/>
      </w:pPr>
      <w:r>
        <w:rPr>
          <w:b w:val="0"/>
          <w:i w:val="0"/>
        </w:rPr>
        <w:t>10.3  Late-arriving dimension handling, per section 9. To be scoped once there is a measurement.</w:t>
      </w:r>
    </w:p>
    <w:p>
      <w:pPr>
        <w:spacing w:after="120" w:before="0"/>
      </w:pPr>
      <w:r>
        <w:rPr>
          <w:b w:val="0"/>
          <w:i w:val="0"/>
        </w:rPr>
        <w:t>10.4  DIM_SALESREP is refreshed on request rather than as part of the nightly load plan. It should be brought into the plan. Low priority, and it will stay low priority until it causes something.</w:t>
      </w:r>
    </w:p>
    <w:p>
      <w:pPr>
        <w:spacing w:after="120" w:before="0"/>
      </w:pPr>
      <w:r>
        <w:rPr>
          <w:b w:val="0"/>
          <w:i w:val="0"/>
        </w:rPr>
        <w:t>10.5  Documentation.</w:t>
      </w:r>
    </w:p>
    <w:p>
      <w:pPr>
        <w:pStyle w:val="Heading1"/>
        <w:spacing w:before="280" w:after="120"/>
      </w:pPr>
      <w:r>
        <w:rPr>
          <w:color w:val="1F3864"/>
          <w:sz w:val="28"/>
        </w:rPr>
        <w:t>11.  Consequences for the build</w:t>
      </w:r>
    </w:p>
    <w:p>
      <w:pPr>
        <w:spacing w:after="120" w:before="0"/>
      </w:pPr>
      <w:r>
        <w:rPr>
          <w:b w:val="0"/>
          <w:i w:val="0"/>
        </w:rPr>
        <w:t>Four things follow from all of the above and the build should plan around them.</w:t>
      </w:r>
    </w:p>
    <w:p>
      <w:pPr>
        <w:pStyle w:val="ListBullet"/>
        <w:spacing w:after="60"/>
      </w:pPr>
      <w:r>
        <w:t>MAP_DIM_CUSTOMER and MAP_DIM_PRODUCT both need the two pass hash comparison treatment described in 7.5, and both need the closing rule in 7.3 implemented exactly.</w:t>
      </w:r>
    </w:p>
    <w:p>
      <w:pPr>
        <w:pStyle w:val="ListBullet"/>
        <w:spacing w:after="60"/>
      </w:pPr>
      <w:r>
        <w:t>The lookups in the invoice fact mapping change from a current row lookup to a date ranged lookup. This is the single change with the most risk in it, and it is where the regression effort should go.</w:t>
      </w:r>
    </w:p>
    <w:p>
      <w:pPr>
        <w:pStyle w:val="ListBullet"/>
        <w:spacing w:after="60"/>
      </w:pPr>
      <w:r>
        <w:t>Regression: the same period, reported before and after the change, must tie, except where a separately agreed fix is expected to move it. Anything else that moves is a defect.</w:t>
      </w:r>
    </w:p>
    <w:p>
      <w:pPr>
        <w:pStyle w:val="ListBullet"/>
        <w:spacing w:after="60"/>
      </w:pPr>
      <w:r>
        <w:t>Testing: the two invariants in 7.3 are the tests. They are cheap enough to run after every load and I would like them wired in rather than run when somebody remembers.</w:t>
      </w:r>
    </w:p>
    <w:p>
      <w:r>
        <w:br w:type="page"/>
      </w:r>
    </w:p>
    <w:p>
      <w:pPr>
        <w:pStyle w:val="Heading1"/>
        <w:spacing w:before="280" w:after="120"/>
      </w:pPr>
      <w:r>
        <w:rPr>
          <w:color w:val="1F3864"/>
          <w:sz w:val="28"/>
        </w:rPr>
        <w:t>Appendix A.  Architecture decision records</w:t>
      </w:r>
    </w:p>
    <w:p>
      <w:pPr>
        <w:spacing w:after="120" w:before="0"/>
      </w:pPr>
      <w:r>
        <w:rPr>
          <w:b w:val="0"/>
          <w:i w:val="0"/>
        </w:rPr>
        <w:t>One record per decision, in the order they were taken. Context, decision, consequences. A record is never edited once it is issued; if a decision changes, a new record supersedes the old one and says so.</w:t>
      </w:r>
    </w:p>
    <w:p>
      <w:pPr>
        <w:pStyle w:val="Heading2"/>
        <w:spacing w:before="200" w:after="80"/>
      </w:pPr>
      <w:r>
        <w:rPr>
          <w:color w:val="2E5084"/>
          <w:sz w:val="23"/>
        </w:rPr>
        <w:t>ADR-001  Star schema retained, and the grain of the invoice fact</w:t>
      </w:r>
    </w:p>
    <w:p>
      <w:pPr>
        <w:spacing w:after="80" w:before="0"/>
      </w:pPr>
      <w:r>
        <w:rPr>
          <w:b/>
          <w:i w:val="0"/>
        </w:rPr>
        <w:t xml:space="preserve">Status: </w:t>
      </w:r>
      <w:r>
        <w:rPr>
          <w:b w:val="0"/>
          <w:i w:val="0"/>
        </w:rPr>
        <w:t>Accepted, 08-Apr-2026.</w:t>
      </w:r>
    </w:p>
    <w:p>
      <w:pPr>
        <w:spacing w:after="120" w:before="0"/>
      </w:pPr>
      <w:r>
        <w:rPr>
          <w:b/>
          <w:i w:val="0"/>
        </w:rPr>
        <w:t xml:space="preserve">Context. </w:t>
      </w:r>
      <w:r>
        <w:rPr>
          <w:b w:val="0"/>
          <w:i w:val="0"/>
        </w:rPr>
        <w:t>BCPL_EDW is already a star schema and the reporting audience is used to reading it that way. The question at the start of the engagement was whether to keep it or model the target differently. There is no case for a rebuild: the existing model is not the reason the numbers are wrong.</w:t>
      </w:r>
    </w:p>
    <w:p>
      <w:pPr>
        <w:spacing w:after="120" w:before="0"/>
      </w:pPr>
      <w:r>
        <w:rPr>
          <w:b/>
          <w:i w:val="0"/>
        </w:rPr>
        <w:t xml:space="preserve">Decision. </w:t>
      </w:r>
      <w:r>
        <w:rPr>
          <w:b w:val="0"/>
          <w:i w:val="0"/>
        </w:rPr>
        <w:t>Keep the star schema. The grain of FACT_INVOICE_LINE is one row per source invoice line, and that grain is not negotiable. Anything that produces two warehouse rows for one source line is a defect, not a modelling variation.</w:t>
      </w:r>
    </w:p>
    <w:p>
      <w:pPr>
        <w:spacing w:after="120" w:before="0"/>
      </w:pPr>
      <w:r>
        <w:rPr>
          <w:b/>
          <w:i w:val="0"/>
        </w:rPr>
        <w:t xml:space="preserve">Consequences. </w:t>
      </w:r>
      <w:r>
        <w:rPr>
          <w:b w:val="0"/>
          <w:i w:val="0"/>
        </w:rPr>
        <w:t>Every dimension in this note hangs off that grain. Aggregates, if they are ever needed, are built above the fact and never replace it. The grain statement becomes the first thing any reconciliation is tested against.</w:t>
      </w:r>
    </w:p>
    <w:p>
      <w:pPr>
        <w:pStyle w:val="Heading2"/>
        <w:spacing w:before="200" w:after="80"/>
      </w:pPr>
      <w:r>
        <w:rPr>
          <w:color w:val="2E5084"/>
          <w:sz w:val="23"/>
        </w:rPr>
        <w:t>ADR-002  DIM_CUSTOMER keeps history (SCD2)</w:t>
      </w:r>
    </w:p>
    <w:p>
      <w:pPr>
        <w:spacing w:after="80" w:before="0"/>
      </w:pPr>
      <w:r>
        <w:rPr>
          <w:b/>
          <w:i w:val="0"/>
        </w:rPr>
        <w:t xml:space="preserve">Status: </w:t>
      </w:r>
      <w:r>
        <w:rPr>
          <w:b w:val="0"/>
          <w:i w:val="0"/>
        </w:rPr>
        <w:t>Accepted at the design sign-off, 06-May-2026.</w:t>
      </w:r>
    </w:p>
    <w:p>
      <w:pPr>
        <w:spacing w:after="120" w:before="0"/>
      </w:pPr>
      <w:r>
        <w:rPr>
          <w:b/>
          <w:i w:val="0"/>
        </w:rPr>
        <w:t xml:space="preserve">Context. </w:t>
      </w:r>
      <w:r>
        <w:rPr>
          <w:b w:val="0"/>
          <w:i w:val="0"/>
        </w:rPr>
        <w:t>Distributor territory, region and depot assignments change during the year. Sales already reported for a closed period must not be restated against the new territory simply because the distributor was reassigned. The business need is attribution as at the date of the transaction: a sale belongs to the distributor and the territory that held that customer at the time the invoice was raised.</w:t>
      </w:r>
    </w:p>
    <w:p>
      <w:pPr>
        <w:spacing w:after="120" w:before="0"/>
      </w:pPr>
      <w:r>
        <w:rPr>
          <w:b/>
          <w:i w:val="0"/>
        </w:rPr>
        <w:t xml:space="preserve">Decision. </w:t>
      </w:r>
      <w:r>
        <w:rPr>
          <w:b w:val="0"/>
          <w:i w:val="0"/>
        </w:rPr>
        <w:t>DIM_CUSTOMER is SCD2, effective dated with EFF_START_DT, EFF_END_DT and CURRENT_FLG. Tracked attributes are TERRITORY_CODE, REGION_CODE, STATE_CODE, DEPOT_CODE and CUSTOMER_TYPE. Facts join on the surrogate key of the version that was valid at the invoice date, not on the current version.</w:t>
      </w:r>
    </w:p>
    <w:p>
      <w:pPr>
        <w:spacing w:after="120" w:before="0"/>
      </w:pPr>
      <w:r>
        <w:rPr>
          <w:b/>
          <w:i w:val="0"/>
        </w:rPr>
        <w:t xml:space="preserve">Consequences. </w:t>
      </w:r>
      <w:r>
        <w:rPr>
          <w:b w:val="0"/>
          <w:i w:val="0"/>
        </w:rPr>
        <w:t>The dimension grows by version rather than by member. The fact lookup becomes date ranged, which is the change carrying the most build risk. The closing rule in 7.3 becomes a hard invariant with two tests behind it. The nightly load costs measurably more elapsed time; that cost was measured rather than estimated and the measurement lives with the load window impact model.</w:t>
      </w:r>
    </w:p>
    <w:p>
      <w:pPr>
        <w:spacing w:after="200" w:before="0"/>
      </w:pPr>
      <w:r>
        <w:rPr>
          <w:b/>
          <w:i w:val="0"/>
        </w:rPr>
        <w:t xml:space="preserve">Alternatives considered. </w:t>
      </w:r>
      <w:r>
        <w:rPr>
          <w:b w:val="0"/>
          <w:i w:val="0"/>
        </w:rPr>
        <w:t>SCD1 with the territory code carried on the fact row at load time. Rejected. It solves the problem for territory and for nothing else, and it moves the same argument onto every other attribute somebody later wants frozen.</w:t>
      </w:r>
    </w:p>
    <w:p>
      <w:pPr>
        <w:pStyle w:val="Heading2"/>
        <w:spacing w:before="200" w:after="80"/>
      </w:pPr>
      <w:r>
        <w:rPr>
          <w:color w:val="2E5084"/>
          <w:sz w:val="23"/>
        </w:rPr>
        <w:t>ADR-003  DIM_PRODUCT keeps history (SCD2), superseding the April position</w:t>
      </w:r>
    </w:p>
    <w:p>
      <w:pPr>
        <w:spacing w:after="80" w:before="0"/>
      </w:pPr>
      <w:r>
        <w:rPr>
          <w:b/>
          <w:i w:val="0"/>
        </w:rPr>
        <w:t xml:space="preserve">Status: </w:t>
      </w:r>
      <w:r>
        <w:rPr>
          <w:b w:val="0"/>
          <w:i w:val="0"/>
        </w:rPr>
        <w:t>Accepted at the design sign-off, 06-May-2026. Supersedes the position recorded at the architecture review of 14-Apr-2026.</w:t>
      </w:r>
    </w:p>
    <w:p>
      <w:pPr>
        <w:spacing w:after="120" w:before="0"/>
      </w:pPr>
      <w:r>
        <w:rPr>
          <w:b/>
          <w:i w:val="0"/>
        </w:rPr>
        <w:t xml:space="preserve">Context. </w:t>
      </w:r>
      <w:r>
        <w:rPr>
          <w:b w:val="0"/>
          <w:i w:val="0"/>
        </w:rPr>
        <w:t>SCD1 was proposed for DIM_PRODUCT at the architecture review on 14-Apr-2026, on the grounds that SKU attributes rarely change. That was true of the attributes on the table that afternoon. It stopped being true once we worked through what the product mix and contribution reporting actually asks for, because pack size and MRP do change inside a year and the change history is part of the answer rather than noise around it.</w:t>
      </w:r>
    </w:p>
    <w:p>
      <w:pPr>
        <w:spacing w:after="120" w:before="0"/>
      </w:pPr>
      <w:r>
        <w:rPr>
          <w:b/>
          <w:i w:val="0"/>
        </w:rPr>
        <w:t xml:space="preserve">Decision. </w:t>
      </w:r>
      <w:r>
        <w:rPr>
          <w:b w:val="0"/>
          <w:i w:val="0"/>
        </w:rPr>
        <w:t>DIM_PRODUCT is SCD2, on the same standard as DIM_CUSTOMER, tracking PACK_SIZE, MRP_AMT, BRAND_CODE, CATEGORY_CODE and UOM.</w:t>
      </w:r>
    </w:p>
    <w:p>
      <w:pPr>
        <w:spacing w:after="120" w:before="0"/>
      </w:pPr>
      <w:r>
        <w:rPr>
          <w:b/>
          <w:i w:val="0"/>
        </w:rPr>
        <w:t xml:space="preserve">Consequences. </w:t>
      </w:r>
      <w:r>
        <w:rPr>
          <w:b w:val="0"/>
          <w:i w:val="0"/>
        </w:rPr>
        <w:t>Version churn on this dimension is driven mostly by MRP revisions. A prior period resolves the MRP that was in force at the time, which is the point. The conversion is part of this engagement, so rows built before it do not carry a meaningful version history and no report should be written as though they do.</w:t>
      </w:r>
    </w:p>
    <w:p>
      <w:pPr>
        <w:spacing w:after="200" w:before="0"/>
      </w:pPr>
      <w:r>
        <w:rPr>
          <w:b/>
          <w:i w:val="0"/>
        </w:rPr>
        <w:t xml:space="preserve">Note. </w:t>
      </w:r>
      <w:r>
        <w:rPr>
          <w:b w:val="0"/>
          <w:i w:val="0"/>
        </w:rPr>
        <w:t>I have kept this record short on purpose. The reversal itself is not interesting. What it costs the load is, and that belongs with the impact model.</w:t>
      </w:r>
    </w:p>
    <w:p>
      <w:pPr>
        <w:pStyle w:val="Heading2"/>
        <w:spacing w:before="200" w:after="80"/>
      </w:pPr>
      <w:r>
        <w:rPr>
          <w:color w:val="2E5084"/>
          <w:sz w:val="23"/>
        </w:rPr>
        <w:t>ADR-004  Remediation approach for VAR-003</w:t>
      </w:r>
    </w:p>
    <w:p>
      <w:pPr>
        <w:spacing w:after="80" w:before="0"/>
      </w:pPr>
      <w:r>
        <w:rPr>
          <w:b/>
          <w:i w:val="0"/>
        </w:rPr>
        <w:t xml:space="preserve">Status: </w:t>
      </w:r>
      <w:r>
        <w:rPr>
          <w:b w:val="0"/>
          <w:i w:val="0"/>
        </w:rPr>
        <w:t>Accepted at the design sign-off, 06-May-2026. Planned for release R2026.09, 30-Sep-2026.</w:t>
      </w:r>
    </w:p>
    <w:p>
      <w:pPr>
        <w:spacing w:after="120" w:before="0"/>
      </w:pPr>
      <w:r>
        <w:rPr>
          <w:b/>
          <w:i w:val="0"/>
        </w:rPr>
        <w:t xml:space="preserve">Context. </w:t>
      </w:r>
      <w:r>
        <w:rPr>
          <w:b w:val="0"/>
          <w:i w:val="0"/>
        </w:rPr>
        <w:t>VAR-003, the scheme discount double count, is open and the investigation into it has not closed. The remediation below does not depend on where that investigation lands, which is why it could be agreed now. The relevant design fact is that the invoice fact load as built cannot correct a line it has already loaded; it has no merge key and no way of recognising that it has seen a line before.</w:t>
      </w:r>
    </w:p>
    <w:p>
      <w:pPr>
        <w:spacing w:after="120" w:before="0"/>
      </w:pPr>
      <w:r>
        <w:rPr>
          <w:b/>
          <w:i w:val="0"/>
        </w:rPr>
        <w:t xml:space="preserve">Decision. </w:t>
      </w:r>
      <w:r>
        <w:rPr>
          <w:b w:val="0"/>
          <w:i w:val="0"/>
        </w:rPr>
        <w:t>MAP_FACT_INVOICE_LINE is rebuilt as a key based merge on INVOICE_LINE_ID, with a versioned re-extract. The ORION procedure is left unchanged in Phase 1.</w:t>
      </w:r>
    </w:p>
    <w:p>
      <w:pPr>
        <w:spacing w:after="120" w:before="0"/>
      </w:pPr>
      <w:r>
        <w:rPr>
          <w:b/>
          <w:i w:val="0"/>
        </w:rPr>
        <w:t xml:space="preserve">Consequences. </w:t>
      </w:r>
      <w:r>
        <w:rPr>
          <w:b w:val="0"/>
          <w:i w:val="0"/>
        </w:rPr>
        <w:t>The fact gains a merge key and the load becomes idempotent for a re-run: a re-extract of the same source line updates the fact row that is already there instead of adding another one. Regression has to cover re-running a night that has already been loaded, which is not something the current test pack does at all. VAR-003 itself remains open at the date of this note.</w:t>
      </w:r>
    </w:p>
    <w:p>
      <w:pPr>
        <w:pStyle w:val="Heading2"/>
        <w:spacing w:before="200" w:after="80"/>
      </w:pPr>
      <w:r>
        <w:rPr>
          <w:color w:val="2E5084"/>
          <w:sz w:val="23"/>
        </w:rPr>
        <w:t>ADR-005  DIM_DATE key on the invoice fact is derived from INVOICE_DT</w:t>
      </w:r>
    </w:p>
    <w:p>
      <w:pPr>
        <w:spacing w:after="80" w:before="0"/>
      </w:pPr>
      <w:r>
        <w:rPr>
          <w:b/>
          <w:i w:val="0"/>
        </w:rPr>
        <w:t xml:space="preserve">Status: </w:t>
      </w:r>
      <w:r>
        <w:rPr>
          <w:b w:val="0"/>
          <w:i w:val="0"/>
        </w:rPr>
        <w:t xml:space="preserve">Accepted, 06-May-2026. Change reference: </w:t>
      </w:r>
      <w:r>
        <w:rPr>
          <w:b w:val="0"/>
          <w:i w:val="0"/>
          <w:highlight w:val="yellow"/>
        </w:rPr>
        <w:t>TBC</w:t>
      </w:r>
      <w:r>
        <w:rPr>
          <w:b w:val="0"/>
          <w:i w:val="0"/>
        </w:rPr>
        <w:t>.</w:t>
      </w:r>
    </w:p>
    <w:p>
      <w:pPr>
        <w:spacing w:after="120" w:before="0"/>
      </w:pPr>
      <w:r>
        <w:rPr>
          <w:b/>
          <w:i w:val="0"/>
        </w:rPr>
        <w:t xml:space="preserve">Context. </w:t>
      </w:r>
      <w:r>
        <w:rPr>
          <w:b w:val="0"/>
          <w:i w:val="0"/>
        </w:rPr>
        <w:t>DATE_KEY on FACT_INVOICE_LINE was derived from INVOICE_HEADER.CREATED_TS. CREATED_TS is written by the application server in UTC. INVOICE_DT is a DATE and is in IST. An invoice raised after 18:30 IST on the last day of a month therefore carried a CREATED_TS falling in the following month, and the fact row was keyed into the wrong period. This is VAR-002.</w:t>
      </w:r>
    </w:p>
    <w:p>
      <w:pPr>
        <w:spacing w:after="120" w:before="0"/>
      </w:pPr>
      <w:r>
        <w:rPr>
          <w:b/>
          <w:i w:val="0"/>
        </w:rPr>
        <w:t xml:space="preserve">Decision. </w:t>
      </w:r>
      <w:r>
        <w:rPr>
          <w:b w:val="0"/>
          <w:i w:val="0"/>
        </w:rPr>
        <w:t>DATE_KEY is derived from INVOICE_HEADER.INVOICE_DT. CREATED_TS is not used to derive any dimensional key anywhere in BCPL_EDW. Where an audit timestamp is genuinely wanted it is stored as an attribute and labelled as UTC so that the next person does not have to work it out.</w:t>
      </w:r>
    </w:p>
    <w:p>
      <w:pPr>
        <w:spacing w:after="120" w:before="0"/>
      </w:pPr>
      <w:r>
        <w:rPr>
          <w:b/>
          <w:i w:val="0"/>
        </w:rPr>
        <w:t xml:space="preserve">Consequences. </w:t>
      </w:r>
      <w:r>
        <w:rPr>
          <w:b w:val="0"/>
          <w:i w:val="0"/>
        </w:rPr>
        <w:t>Affected periods restate when the change is deployed. Users will see a small movement between two months in the periods concerned, so Finance has to be told before the deployment and not after it. The same rule applies to every other fact that keys a date: derive from the business date column, never from an audit timestamp.</w:t>
      </w:r>
    </w:p>
    <w:p>
      <w:pPr>
        <w:pStyle w:val="Heading1"/>
        <w:spacing w:before="280" w:after="120"/>
      </w:pPr>
      <w:r>
        <w:rPr>
          <w:color w:val="1F3864"/>
          <w:sz w:val="28"/>
        </w:rPr>
        <w:t>Appendix B.  Inputs to this note</w:t>
      </w:r>
    </w:p>
    <w:p>
      <w:pPr>
        <w:pStyle w:val="ListBullet"/>
        <w:spacing w:after="60"/>
      </w:pPr>
      <w:r>
        <w:t>Target model note for BCPL_EDW, circulated 08-Apr-2026.</w:t>
      </w:r>
    </w:p>
    <w:p>
      <w:pPr>
        <w:pStyle w:val="ListBullet"/>
        <w:spacing w:after="60"/>
      </w:pPr>
      <w:r>
        <w:t>Load window impact model for the DIM_CUSTOMER change, circulated 22-Apr-2026.</w:t>
      </w:r>
    </w:p>
    <w:p>
      <w:pPr>
        <w:pStyle w:val="ListBullet"/>
        <w:spacing w:after="60"/>
      </w:pPr>
      <w:r>
        <w:t>Design sign-off session, 06-May-2026.</w:t>
      </w:r>
    </w:p>
    <w:p>
      <w:pPr>
        <w:pStyle w:val="ListBullet"/>
        <w:spacing w:after="60"/>
      </w:pPr>
      <w:r>
        <w:t>BCPL_EDW physical model as extracted from the EDW instance, 05-May-2026.</w:t>
      </w:r>
    </w:p>
    <w:p>
      <w:pPr>
        <w:pStyle w:val="ListBullet"/>
        <w:spacing w:after="60"/>
      </w:pPr>
      <w:r>
        <w:t>Working notes from the architecture review of 14-Apr-2026.</w:t>
      </w:r>
    </w:p>
    <w:p>
      <w:pPr>
        <w:spacing w:after="40" w:before="0"/>
      </w:pPr>
      <w:r>
        <w:rPr>
          <w:b w:val="0"/>
          <w:i w:val="0"/>
          <w:sz w:val="12"/>
        </w:rPr>
      </w:r>
    </w:p>
    <w:p>
      <w:pPr>
        <w:spacing w:after="120" w:before="0"/>
      </w:pPr>
      <w:r>
        <w:rPr>
          <w:b w:val="0"/>
          <w:i/>
        </w:rPr>
        <w:t>Comments on this note to me directly. If a decision in Appendix A is wrong I would rather know now than find it in the build.</w:t>
      </w:r>
    </w:p>
    <w:p>
      <w:pPr>
        <w:spacing w:after="40" w:before="0"/>
      </w:pPr>
      <w:r>
        <w:rPr>
          <w:b w:val="0"/>
          <w:i w:val="0"/>
        </w:rPr>
        <w:t>Karthik Subramanian</w:t>
      </w:r>
    </w:p>
    <w:p>
      <w:pPr>
        <w:spacing w:after="280" w:before="0"/>
      </w:pPr>
      <w:r>
        <w:rPr>
          <w:b w:val="0"/>
          <w:i w:val="0"/>
          <w:sz w:val="19"/>
        </w:rPr>
        <w:t>Northlane Analytics</w:t>
      </w:r>
    </w:p>
    <w:p>
      <w:pPr>
        <w:spacing w:before="360"/>
      </w:pPr>
      <w:r>
        <w:rPr>
          <w:color w:val="808080"/>
          <w:sz w:val="16"/>
        </w:rPr>
        <w:t>SYNTHETIC — generated for internal demo. No real entity depicted.</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Northlane Analytics  |  Project Drishti  |  Confidential   |   Page </w:t>
    </w:r>
    <w:fldSimple w:instr="PAGE \* MERGEFORMAT">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6"/>
      </w:rPr>
      <w:t>Project Drishti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Northlane Analytics</Company>
  <Manager>Northlane Analytics</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BCPL_EDW Dimension Strategy</dc:title>
  <dc:subject>Project Drishti - dimension modelling, effective dating and the ADR register</dc:subject>
  <dc:creator>Karthik Subramanian</dc:creator>
  <cp:keywords>Project Drishti; BCPL_EDW; dimension; SCD2; ADR</cp:keywords>
  <dc:description>SYNTHETIC — generated for internal demo. No real entity depicted.</dc:description>
  <cp:lastModifiedBy>Karthik Subramanian</cp:lastModifiedBy>
  <cp:revision>9</cp:revision>
  <dcterms:created xsi:type="dcterms:W3CDTF">2026-04-19T18:42:00Z</dcterms:created>
  <dcterms:modified xsi:type="dcterms:W3CDTF">2026-05-11T20:05:00Z</dcterms:modified>
  <cp:category>Design</cp:category>
</cp:coreProperties>
</file>