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BCPL_EDW target model - working notes</w:t>
      </w:r>
    </w:p>
    <w:p>
      <w:pPr>
        <w:spacing w:after="40"/>
      </w:pPr>
      <w:r>
        <w:rPr>
          <w:i/>
          <w:sz w:val="19"/>
        </w:rPr>
        <w:t>Project Drishti  |  Bharadwaj Consumer Products Ltd and Northlane Analytics</w:t>
      </w:r>
    </w:p>
    <w:p>
      <w:pPr>
        <w:spacing w:after="40"/>
      </w:pPr>
      <w:r>
        <w:rPr>
          <w:i/>
          <w:sz w:val="19"/>
        </w:rPr>
        <w:t>Prepared by Ishaan Bhatt (Analytics Engineer, Northlane Analytics), with Karthik Subramanian</w:t>
      </w:r>
    </w:p>
    <w:p>
      <w:pPr>
        <w:spacing w:after="40"/>
      </w:pPr>
      <w:r>
        <w:rPr>
          <w:i/>
          <w:sz w:val="19"/>
        </w:rPr>
        <w:t>Version 0.3, 08-Apr-2026. Working draft. This is not the design document.</w:t>
      </w:r>
    </w:p>
    <w:p>
      <w:pPr>
        <w:pStyle w:val="Heading1"/>
      </w:pPr>
      <w:r>
        <w:t>Document history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Version</w:t>
            </w:r>
          </w:p>
        </w:tc>
        <w:tc>
          <w:tcPr>
            <w:tcW w:type="dxa" w:w="2340"/>
          </w:tcPr>
          <w:p>
            <w:r>
              <w:rPr>
                <w:b/>
                <w:sz w:val="18"/>
              </w:rPr>
              <w:t>Date</w:t>
            </w:r>
          </w:p>
        </w:tc>
        <w:tc>
          <w:tcPr>
            <w:tcW w:type="dxa" w:w="2340"/>
          </w:tcPr>
          <w:p>
            <w:r>
              <w:rPr>
                <w:b/>
                <w:sz w:val="18"/>
              </w:rPr>
              <w:t>By</w:t>
            </w:r>
          </w:p>
        </w:tc>
        <w:tc>
          <w:tcPr>
            <w:tcW w:type="dxa" w:w="2340"/>
          </w:tcPr>
          <w:p>
            <w:r>
              <w:rPr>
                <w:b/>
                <w:sz w:val="18"/>
              </w:rPr>
              <w:t>Changes</w:t>
            </w:r>
          </w:p>
        </w:tc>
      </w:tr>
      <w:tr>
        <w:tc>
          <w:tcPr>
            <w:tcW w:type="dxa" w:w="2340"/>
          </w:tcPr>
          <w:p>
            <w:r>
              <w:rPr>
                <w:sz w:val="18"/>
              </w:rPr>
              <w:t>0.1</w:t>
            </w:r>
          </w:p>
        </w:tc>
        <w:tc>
          <w:tcPr>
            <w:tcW w:type="dxa" w:w="2340"/>
          </w:tcPr>
          <w:p>
            <w:r>
              <w:rPr>
                <w:sz w:val="18"/>
              </w:rPr>
              <w:t>27-Mar-2026</w:t>
            </w:r>
          </w:p>
        </w:tc>
        <w:tc>
          <w:tcPr>
            <w:tcW w:type="dxa" w:w="2340"/>
          </w:tcPr>
          <w:p>
            <w:r>
              <w:rPr>
                <w:sz w:val="18"/>
              </w:rPr>
              <w:t>Ishaan Bhatt</w:t>
            </w:r>
          </w:p>
        </w:tc>
        <w:tc>
          <w:tcPr>
            <w:tcW w:type="dxa" w:w="2340"/>
          </w:tcPr>
          <w:p>
            <w:r>
              <w:rPr>
                <w:sz w:val="18"/>
              </w:rPr>
              <w:t>First cut, written up from the DDL Ani sent across and the ORION session earlier in the month</w:t>
            </w:r>
          </w:p>
        </w:tc>
      </w:tr>
      <w:tr>
        <w:tc>
          <w:tcPr>
            <w:tcW w:type="dxa" w:w="2340"/>
          </w:tcPr>
          <w:p>
            <w:r>
              <w:rPr>
                <w:sz w:val="18"/>
              </w:rPr>
              <w:t>0.2</w:t>
            </w:r>
          </w:p>
        </w:tc>
        <w:tc>
          <w:tcPr>
            <w:tcW w:type="dxa" w:w="2340"/>
          </w:tcPr>
          <w:p>
            <w:r>
              <w:rPr>
                <w:sz w:val="18"/>
              </w:rPr>
              <w:t>02-Apr-2026</w:t>
            </w:r>
          </w:p>
        </w:tc>
        <w:tc>
          <w:tcPr>
            <w:tcW w:type="dxa" w:w="2340"/>
          </w:tcPr>
          <w:p>
            <w:r>
              <w:rPr>
                <w:sz w:val="18"/>
              </w:rPr>
              <w:t>Ishaan Bhatt</w:t>
            </w:r>
          </w:p>
        </w:tc>
        <w:tc>
          <w:tcPr>
            <w:tcW w:type="dxa" w:w="2340"/>
          </w:tcPr>
          <w:p>
            <w:r>
              <w:rPr>
                <w:sz w:val="18"/>
              </w:rPr>
              <w:t>Grain sections rewritten after Karthik's comments. Control tables added at the back</w:t>
            </w:r>
          </w:p>
        </w:tc>
      </w:tr>
      <w:tr>
        <w:tc>
          <w:tcPr>
            <w:tcW w:type="dxa" w:w="2340"/>
          </w:tcPr>
          <w:p>
            <w:r>
              <w:rPr>
                <w:sz w:val="18"/>
              </w:rPr>
              <w:t>0.3</w:t>
            </w:r>
          </w:p>
        </w:tc>
        <w:tc>
          <w:tcPr>
            <w:tcW w:type="dxa" w:w="2340"/>
          </w:tcPr>
          <w:p>
            <w:r>
              <w:rPr>
                <w:sz w:val="18"/>
              </w:rPr>
              <w:t>08-Apr-2026</w:t>
            </w:r>
          </w:p>
        </w:tc>
        <w:tc>
          <w:tcPr>
            <w:tcW w:type="dxa" w:w="2340"/>
          </w:tcPr>
          <w:p>
            <w:r>
              <w:rPr>
                <w:sz w:val="18"/>
              </w:rPr>
              <w:t>Ishaan Bhatt</w:t>
            </w:r>
          </w:p>
        </w:tc>
        <w:tc>
          <w:tcPr>
            <w:tcW w:type="dxa" w:w="2340"/>
          </w:tcPr>
          <w:p>
            <w:r>
              <w:rPr>
                <w:sz w:val="18"/>
              </w:rPr>
              <w:t>Minor updates</w:t>
            </w:r>
          </w:p>
        </w:tc>
      </w:tr>
    </w:tbl>
    <w:p/>
    <w:p>
      <w:pPr>
        <w:pStyle w:val="Heading1"/>
      </w:pPr>
      <w:r>
        <w:t>1. Why this note exists</w:t>
      </w:r>
    </w:p>
    <w:p>
      <w:r>
        <w:t>Karthik asked me to write down what is actually sitting in BCPL_EDW today, and what I think the target star should look like, before anybody draws a picture of it on a slide. So that is what this is. Working notes. It is not signed off, it is not the design document, and where I have guessed I have tried to say so rather than leave it looking like a decision.</w:t>
      </w:r>
    </w:p>
    <w:p>
      <w:r>
        <w:t>Two things to keep in mind while reading. First, I have been working off the DDL Ani sent across on 27/03 plus whatever we picked up in the session with him in March, so if something moved in the last ten days I have not got it. Second, the architecture review is next week and a fair bit of what is below is going to get argued about there. That is the point of writing it down now rather than afterwards.</w:t>
      </w:r>
    </w:p>
    <w:p>
      <w:r>
        <w:t>Where I have written a column name I have written it exactly as it is in the database, including the ones that are spelt oddly. Please do not tidy them up.</w:t>
      </w:r>
    </w:p>
    <w:p>
      <w:pPr>
        <w:pStyle w:val="Heading1"/>
      </w:pPr>
      <w:r>
        <w:t>2. What is there today</w:t>
      </w:r>
    </w:p>
    <w:p>
      <w:r>
        <w:t>BCPL_EDW is an Oracle 19c database on edw-db-prd-01.bcpl.local. Single instance, no RAC. 4.1 TB allocated, about 2.8 TB of that used. Three tablespaces matter to us: EDW_DATA for the tables, EDW_IDX for the indexes, and STG_DATA, which is where the staging schema lives. Worth saying out loud, because people get it wrong in conversation constantly: STG_ORION is physically inside the EDW instance. It is not a schema in ORION.</w:t>
      </w:r>
    </w:p>
    <w:p>
      <w:r>
        <w:t>The model itself went in during 2021 and has been extended since without a great deal of ceremony. Counting up, there are eleven tables I would call part of the model. Twelve if you count the tax rate copy, and I do not, for reasons in 5.7. Then three control tables on top of that which carry no business data at all.</w:t>
      </w:r>
    </w:p>
    <w:p>
      <w:pPr>
        <w:pStyle w:val="Heading1"/>
      </w:pPr>
      <w:r>
        <w:t>3. The star, roughly</w:t>
      </w:r>
    </w:p>
    <w:p>
      <w:r>
        <w:t>Three facts. FACT_INVOICE_LINE is the big one and basically everything hangs off it. FACT_ORDER_LINE and FACT_SECONDARY_SALES sit beside it and share dimensions with it. They do not join to it and they should never be made to.</w:t>
      </w:r>
    </w:p>
    <w:p>
      <w:r>
        <w:t>Four dimensions are conformed across all three: DIM_DATE, DIM_CUSTOMER, DIM_PRODUCT and DIM_GEOGRAPHY. DIM_SCHEME and DIM_SALESREP hang off the invoice fact only.</w:t>
      </w:r>
    </w:p>
    <w:p>
      <w:r>
        <w:t>Karthik's definition of conformed, which I am copying down because I want it written in a document somewhere rather than said in a room: the same key means the same thing on every fact it appears on. If CUSTOMER_KEY means the distributor who was billed on one fact and the distributor who uploaded a file on another, then it is not a conformed dimension. It is two dimensions sharing a name. The first time somebody puts both facts on one page the numbers will not add up, and nobody will be able to say why.</w:t>
      </w:r>
    </w:p>
    <w:p>
      <w:r>
        <w:t>There is no bridge table anywhere in the model at the moment and I would like to keep it that way for as long as we can.</w:t>
      </w:r>
    </w:p>
    <w:p>
      <w:pPr>
        <w:pStyle w:val="Heading1"/>
      </w:pPr>
      <w:r>
        <w:t>4. Grain</w:t>
      </w:r>
    </w:p>
    <w:p>
      <w:r>
        <w:t>Karthik opens every session with the same question. What's the grain. It has become a running joke on the team but he is right, and the honest answer for this warehouse is that the grain is written down nowhere at all. So before columns, before keys, before anything else, each fact gets one sentence and the sentence goes in the document.</w:t>
      </w:r>
    </w:p>
    <w:p>
      <w:pPr>
        <w:pStyle w:val="Heading2"/>
      </w:pPr>
      <w:r>
        <w:t>4.1 FACT_INVOICE_LINE</w:t>
      </w:r>
    </w:p>
    <w:p>
      <w:r>
        <w:t>Grain: one row per source invoice line. That is the whole statement. Not one row per invoice. Not one row per invoice per SKU. One row per invoice line as ORION knows it.</w:t>
      </w:r>
    </w:p>
    <w:p>
      <w:r>
        <w:t>The surrogate is INVOICE_LINE_KEY. INVOICE_ID and INVOICE_LINE_ID are carried on the fact as degenerate dimensions, which is to say they are identifiers that live on the fact row and have no dimension table of their own. There is no reason to build a DIM_INVOICE and I will push back hard if anybody proposes one.</w:t>
      </w:r>
    </w:p>
    <w:p>
      <w:r>
        <w:t>Dimension keys on the fact are DATE_KEY, CUSTOMER_KEY, PRODUCT_KEY, GEO_KEY, SALESREP_KEY and SCHEME_KEY. Measures are QTY_CS and QTY_EA for the quantities, cases and eaches, then GROSS_AMT, SCHEME_DISC_AMT, CASH_DISC_AMT, TAX_AMT and NET_AMT. All of those are fully additive along date, customer, product and geography, which is what you want and is not something to take for granted.</w:t>
      </w:r>
    </w:p>
    <w:p>
      <w:r>
        <w:t>NET_AMT is the column that every revenue number in the reporting layer eventually rolls up from, so the definition of it has to be agreed with Shalini's team and then written on the mapping spec (There is no FACT_CREDIT_NOTE in BCPL_EDW; credit notes were left out of the 2021 build and Finance nets them by hand in Excel each month, so the warehouse revenue line is gross of them), and once it is written down we do not quietly change it inside a mapping six months later and tell people afterwards.</w:t>
      </w:r>
    </w:p>
    <w:p>
      <w:r>
        <w:t>SCHEME_DISC_AMT needs a conversation of its own. The Scheme Discount amount that sits on the invoice line and what Finance means when they talk about scheme discount are not obviously the same thing, and I do not want to be the person who assumed. Flagging it, not solving it here.</w:t>
      </w:r>
    </w:p>
    <w:p>
      <w:r>
        <w:t>The fact also carries SRC_DELETE_FLAG straight through from the source row, and then the audit columns LOAD_DT, BATCH_ID and ODI_SESS_NO. Keep all three of those on every new fact we build. BATCH_ID especially. It is the only thing that gets you from a row in the warehouse back to the run that put it there.</w:t>
      </w:r>
    </w:p>
    <w:p>
      <w:pPr>
        <w:pStyle w:val="Heading2"/>
      </w:pPr>
      <w:r>
        <w:t>4.2 FACT_ORDER_LINE</w:t>
      </w:r>
    </w:p>
    <w:p>
      <w:r>
        <w:t>Grain: one row per order line. ORDER_ID and ORDER_LINE_ID as degenerates, same pattern as the invoice fact. Keys are DATE_KEY, CUSTOMER_KEY, PRODUCT_KEY and GEO_KEY. Measures are ORDER_QTY_CS and SERVED_QTY_CS.</w:t>
      </w:r>
    </w:p>
    <w:p>
      <w:r>
        <w:t>This is the fact that feeds fill rate. Fill rate is served over ordered, which is a ratio, which means it is not additive and must not be stored as a column on the fact. Store the two quantities and calculate the ratio in the reporting layer. If we store a percentage on a fact row then sooner or later somebody averages the percentages, and the answer comes out wrong, and it comes out wrong quietly, which is the worst kind.</w:t>
      </w:r>
    </w:p>
    <w:p>
      <w:pPr>
        <w:pStyle w:val="Heading2"/>
      </w:pPr>
      <w:r>
        <w:t>4.3 FACT_SECONDARY_SALES</w:t>
      </w:r>
    </w:p>
    <w:p>
      <w:r>
        <w:t>Grain: one row per distributor per SKU per day. It comes off the DMS feed rather than out of ORION, on its own load plan, and quite often the file simply does not turn up.</w:t>
      </w:r>
    </w:p>
    <w:p>
      <w:r>
        <w:t>Measures are QTY_CS and VALUE_AMT. SRC_FILE_NM sits on the fact and I would keep it there. It is the only thing that tells you which upload a given row arrived on.</w:t>
      </w:r>
    </w:p>
    <w:p>
      <w:r>
        <w:t>The caveat that has to travel with this fact wherever it goes: the feed covers roughly 74% of distributors and it lags around five days. So it is structurally incomplete, and it is never going to tie back to the invoice fact, and it should not be put next to the invoice fact in a way that invites somebody to try. Also, and this one keeps coming back, primary sales and secondary sales are not the same measure. Primary is BCPL billing the distributor. Secondary is the distributor selling on to the retailer. Only the first of those is revenue.</w:t>
      </w:r>
    </w:p>
    <w:p>
      <w:pPr>
        <w:pStyle w:val="Heading1"/>
      </w:pPr>
      <w:r>
        <w:t>5. The dimensions, one at a time</w:t>
      </w:r>
    </w:p>
    <w:p>
      <w:pPr>
        <w:pStyle w:val="Heading2"/>
      </w:pPr>
      <w:r>
        <w:t>5.1 DIM_DATE</w:t>
      </w:r>
    </w:p>
    <w:p>
      <w:r>
        <w:t>5,844 rows, covering 01-Apr-2015 to 31-Mar-2031, so we have runway and nobody has to think about it again for a while. DATE_KEY is a NUMBER(8) in YYYYMMDD form, which I like, because you can read a key off a fact row without joining anything to it.</w:t>
      </w:r>
    </w:p>
    <w:p>
      <w:r>
        <w:t>The fiscal columns are the important part and they are already right. FISCAL_MONTH_NUM has April as 1. FISCAL_QTR is written 'FY26-Q1'. FISCAL_YEAR is written 'FY26'. The convention, which apparently needs restating in every document until people stop asking, is that the fiscal year is named for the calendar year it ends in, so FY26 runs 01-Apr-2025 to 31-Mar-2026. There is also IS_MONTH_END_FLG and IS_WORKING_DAY_FLG. Both useful, both populated.</w:t>
      </w:r>
    </w:p>
    <w:p>
      <w:r>
        <w:t>Two rules I want to hold the line on. One, the warehouse is IST end to end. Every date, every timestamp column, IST, no exceptions and no local conventions creeping in per mapping. Two, every mapping spec must name the exact source column that DATE_KEY is derived from, in words, for that fact. Not implied. Not left to be worked out later by reading the mapping XML. Written down next to the grain statement. And if a fact needs more than one date, an order date and a despatch date say, then it gets more than one date key and both roles get named properly.</w:t>
      </w:r>
    </w:p>
    <w:p>
      <w:r>
        <w:t>One oddity to know about before it surprises somebody. The UNKNOWN row on DIM_DATE has DATE_KEY = -1, which is obviously not a YYYYMMDD value, so this dimension breaks its own key format for exactly one row. That is deliberate and it is consistent with how every other dimension does it. Leave it alone.</w:t>
      </w:r>
    </w:p>
    <w:p>
      <w:pPr>
        <w:pStyle w:val="Heading2"/>
      </w:pPr>
      <w:r>
        <w:t>5.2 DIM_CUSTOMER</w:t>
      </w:r>
    </w:p>
    <w:p>
      <w:r>
        <w:t>Natural key is CUSTOMER_ID, which is OMS_PROD.CUSTOMER.CUST_ID. Surrogate is CUSTOMER_KEY. Attributes are CUSTOMER_CODE, CUSTOMER_NAME, CUSTOMER_TYPE, TERRITORY_CODE, REGION_CODE, STATE_CODE, DEPOT_CODE and CREDIT_LIMIT_AMT.</w:t>
      </w:r>
    </w:p>
    <w:p>
      <w:r>
        <w:t>CREDIT_LIMIT_AMT bothers me slightly. It is a current state number sitting on a dimension, which is perfectly fine if you are looking at a scorecard today and wrong the moment you look back at last year. Not something to fix in this note. Just something to be aware of before somebody builds a trend on it.</w:t>
      </w:r>
    </w:p>
    <w:p>
      <w:r>
        <w:t>Naming, while we are here, because it will bite us. Ani calls these party codes, since that is what the ORION tables call them. The dim calls them customers. The business says distributor. All three refer to the same thing and all three are going to appear across our documents, so somebody needs to decide which word wins in the reporting layer and then hold it. Ritwik and Priya will have a view on that, it is their screens.</w:t>
      </w:r>
    </w:p>
    <w:p>
      <w:pPr>
        <w:pStyle w:val="Heading2"/>
      </w:pPr>
      <w:r>
        <w:t>5.3 DIM_PRODUCT</w:t>
      </w:r>
    </w:p>
    <w:p>
      <w:r>
        <w:t>SKU_ID is the natural key, PRODUCT_KEY the surrogate. Attributes are SKU_CODE, SKU_DESC, BRAND_CODE, BRAND_NAME, CATEGORY_CODE, CATEGORY_NAME, PACK_SIZE, UOM, MRP_AMT, HSN_CODE and ACTIVE_FLG.</w:t>
      </w:r>
    </w:p>
    <w:p>
      <w:r>
        <w:t>MRP revisions are what churn this dimension, by a long way. Nothing else on it moves anywhere near as often. HSN_CODE living here matters more than it looks, because the tax rate lookup keys off HSN, so anything we end up doing about tax has to come back through this dim and not around the side of it.</w:t>
      </w:r>
    </w:p>
    <w:p>
      <w:pPr>
        <w:pStyle w:val="Heading2"/>
      </w:pPr>
      <w:r>
        <w:t>5.4 DIM_GEOGRAPHY</w:t>
      </w:r>
    </w:p>
    <w:p>
      <w:r>
        <w:t>22 rows. The grain is the depot. DEPOT_CODE is the natural key and it carries DEPOT_NAME, CITY, STATE_CODE, STATE_NAME, REGION_CODE and REGION_NAME. Small, stable, boring, which is what you want from a geography dimension.</w:t>
      </w:r>
    </w:p>
    <w:p>
      <w:r>
        <w:t>The thing to be careful about is that depot and territory are two seperate hierarchies. A territory does not roll up into a depot and a depot does not roll up into a territory, they are cut differently for different reasons, so when somebody asks for sales by state we have to be clear about whether they mean the state the goods went to or the state the</w:t>
      </w:r>
    </w:p>
    <w:p>
      <w:r>
        <w:t>Anyway. Ask first, build second.</w:t>
      </w:r>
    </w:p>
    <w:p>
      <w:pPr>
        <w:pStyle w:val="Heading2"/>
      </w:pPr>
      <w:r>
        <w:t>5.5 DIM_SCHEME</w:t>
      </w:r>
    </w:p>
    <w:p>
      <w:r>
        <w:t>Five rows. SCHEME_ID, SCHEME_CODE, SCHEME_NAME, SCHEME_TYPE, START_DT and END_DT. It is the smallest dimension in the warehouse and I would put money on it causing the most trouble per row of anything in the model, because the start and end dates in the source are not as stable as you would hope. Putting that on record here so that when it does cause trouble nobody is surprised.</w:t>
      </w:r>
    </w:p>
    <w:p>
      <w:pPr>
        <w:pStyle w:val="Heading2"/>
      </w:pPr>
      <w:r>
        <w:t>5.6 DIM_SALESREP</w:t>
      </w:r>
    </w:p>
    <w:p>
      <w:r>
        <w:t>This one already carries EFF_START_DT, EFF_END_DT and CURRENT_FLG. Attributes are EMP_ID, ROLE_CODE, TERRITORY_CODE and MANAGER_EMP_ID.</w:t>
      </w:r>
    </w:p>
    <w:p>
      <w:r>
        <w:t>Note there is no name column on this dimension and there should not be one. Employee codes only, in the BCPL-EMP-04412 form. If a report needs to put a person's name on a screen then that is a conversation with the business first, and a change to the model second, in that order.</w:t>
      </w:r>
    </w:p>
    <w:p>
      <w:r>
        <w:t>It is also not loaded on the nightly load. It gets refreshed when somebody asks for it, which means it can be stale, which matters to anyone building something that assumes it is current. Worth knowing up front.</w:t>
      </w:r>
    </w:p>
    <w:p>
      <w:pPr>
        <w:pStyle w:val="Heading2"/>
      </w:pPr>
      <w:r>
        <w:t>5.7 TAX_RATE_MASTER</w:t>
      </w:r>
    </w:p>
    <w:p>
      <w:r>
        <w:t>This is the one I have parked. It sits inside BCPL_EDW with HSN_CODE, GST_RATE_PCT and LOAD_DT on it, and no surrogate key, so it is not a dimension in any sense I recognise. I have not drawn it into the star and I have not modelled it in this note, because I do not think it belongs where it is and I am not confident enough yet to say what it ought to be instead. It is a lookup that somebody put in the warehouse because the warehouse was convenient.</w:t>
      </w:r>
    </w:p>
    <w:p>
      <w:r>
        <w:rPr>
          <w:highlight w:val="yellow"/>
        </w:rPr>
        <w:t>TBC - Karthik to confirm whether the tax rate lookup belongs in the model at all, or whether it stays as it is and we work around it.</w:t>
      </w:r>
    </w:p>
    <w:p>
      <w:pPr>
        <w:pStyle w:val="Heading1"/>
      </w:pPr>
      <w:r>
        <w:t>6. Keys, the -1 row, and naming</w:t>
      </w:r>
    </w:p>
    <w:p>
      <w:r>
        <w:t>Every dimension gets a surrogate key. NUMBER, allocated from a sequence, meaningless, never derived from anything in the source. Facts carry surrogate keys and degenerate identifiers and nothing else that looks like a business key. If we start joining facts to dimensions on natural keys once because it is convenient, we will be doing it everywhere inside a year and then we will be unpicking it.</w:t>
      </w:r>
    </w:p>
    <w:p>
      <w:r>
        <w:t>Every dimension also carries a reserved row at surrogate key -1 standing for UNKNOWN or NOT APPLICABLE. The whole point of that row is that a fact row never carries a null dimension key. Ritwik needs to know the row is there so that the reporting layer deals with it deliberately rather than by accident.</w:t>
      </w:r>
    </w:p>
    <w:p>
      <w:r>
        <w:t>Naming conventions. None of these are interesting but all of them are cheaper to agree now than to argue about in September:</w:t>
      </w:r>
    </w:p>
    <w:p>
      <w:pPr>
        <w:pStyle w:val="ListBullet"/>
      </w:pPr>
      <w:r>
        <w:t>DIM_ and FACT_ prefixes on the model tables. Control tables are ETL_.</w:t>
      </w:r>
    </w:p>
    <w:p>
      <w:pPr>
        <w:pStyle w:val="ListBullet"/>
      </w:pPr>
      <w:r>
        <w:t>_KEY suffix for surrogate keys, and only for surrogate keys. Nothing else gets a _KEY.</w:t>
      </w:r>
    </w:p>
    <w:p>
      <w:pPr>
        <w:pStyle w:val="ListBullet"/>
      </w:pPr>
      <w:r>
        <w:t>_AMT for money, _QTY or _QTY_CS for quantities, _DT for dates, _TS for timestamps.</w:t>
      </w:r>
    </w:p>
    <w:p>
      <w:pPr>
        <w:pStyle w:val="ListBullet"/>
      </w:pPr>
      <w:r>
        <w:t>_FLG for flags, and it is CURRENT_FLG. Not CURRENT_FLAG. Somebody is going to type CURRENT_FLAG within a week of reading this and then spend an afternoon on it.</w:t>
      </w:r>
    </w:p>
    <w:p>
      <w:pPr>
        <w:pStyle w:val="ListBullet"/>
      </w:pPr>
      <w:r>
        <w:t>Uppercase.</w:t>
      </w:r>
    </w:p>
    <w:p>
      <w:pPr>
        <w:pStyle w:val="Heading1"/>
      </w:pPr>
      <w:r>
        <w:t>7. Do we need a monthly summary table?</w:t>
      </w:r>
    </w:p>
    <w:p>
      <w:r>
        <w:t>Short digression, because Priya asked me about this last week and I said I would write down where I landed rather than answer it twice. The OBIEE reports are slow. Everybody knows the OBIEE reports are slow. The assumption in the room was that we would build a pre-aggregated monthly sales table in the warehouse to make the new reports fast.</w:t>
      </w:r>
    </w:p>
    <w:p>
      <w:r>
        <w:t>My view, and Karthik has not disagreed with it, is not yet. Two reasons. A summary table is a second copy of a number, and a second copy of a number is a thing that can disagree with the first copy, and it will choose to do that at month end in front of somebody senior. Second reason, the reporting layer is doing its own compression and its own aggregation already, so building a summary now means solving a performance problem we have not measured. If the model does not perform once Ritwik has something real to test against, then we revisit it, and at that point we will have an actual reason and an actual number instead of a feeling. Kindly do not add one before then.</w:t>
      </w:r>
    </w:p>
    <w:p>
      <w:pPr>
        <w:pStyle w:val="Heading1"/>
      </w:pPr>
      <w:r>
        <w:t>8. The tables that are not part of the model</w:t>
      </w:r>
    </w:p>
    <w:p>
      <w:pPr>
        <w:pStyle w:val="Heading2"/>
      </w:pPr>
      <w:r>
        <w:t>8.1 SEC_USER_REGION</w:t>
      </w:r>
    </w:p>
    <w:p>
      <w:r>
        <w:t>USER_UPN, REGION_CODE, LOAD_DT. It maps a person to the regions they are allowed to see and the reporting layer uses it to decide who sees what. It is not part of the star, it carries no business data, and it should not be maintained on the same cycle as the sales load, because the people who approve access are not the people who run the load and the two things fail for completely different reasons.</w:t>
      </w:r>
    </w:p>
    <w:p>
      <w:pPr>
        <w:pStyle w:val="Heading2"/>
      </w:pPr>
      <w:r>
        <w:t>8.2 ETL_BATCH_CONTROL</w:t>
      </w:r>
    </w:p>
    <w:p>
      <w:r>
        <w:t>One row per load plan run. BATCH_ID, LOAD_PLAN_NAME, BUSINESS_DATE, START_TS, END_TS, STATUS which is RUNNING or DONE or FAILED, ROWS_INSERTED, ROWS_REJECTED, EXTRACT_HIGH_TS and RESTART_COUNT.</w:t>
      </w:r>
    </w:p>
    <w:p>
      <w:r>
        <w:t>BATCH_ID being stamped onto the fact rows is, as I said further up, the single most useful thing in the entire control layer. Whoever put it there in 2021 did us a favour. Keep it.</w:t>
      </w:r>
    </w:p>
    <w:p>
      <w:r>
        <w:t>Two things I noticed and have not chased down. There are rows sitting in this table at RUNNING from months ago, left behind by plans that stopped before they reached their closing step, so a count of RUNNING rows is not a count of jobs in flight and should not be put on an operations screen as though it were. And EXTRACT_HIGH_TS is clearly a high water mark of some kind, but I have not traced how or when it gets set and I am not going to guess in a document. [Farida to explain]</w:t>
      </w:r>
    </w:p>
    <w:p>
      <w:pPr>
        <w:pStyle w:val="Heading2"/>
      </w:pPr>
      <w:r>
        <w:t>8.3 ETL_ERROR_LOG</w:t>
      </w:r>
    </w:p>
    <w:p>
      <w:r>
        <w:t>ERROR_ID, BATCH_ID, OBJECT_NM, ERROR_TS, ERROR_TEXT. Rejected rows are copied on to it from the E$ tables by a post step. One caveat for anybody who wants to use it as a health check, and I would like this one repeated to the business at some point: an empty error log means nothing was rejected. It means precisely that and nothing beyond it. It is not evidence that a load was correct.</w:t>
      </w:r>
    </w:p>
    <w:p>
      <w:pPr>
        <w:pStyle w:val="Heading2"/>
      </w:pPr>
      <w:r>
        <w:t>8.4 ETL_PARAM</w:t>
      </w:r>
    </w:p>
    <w:p>
      <w:r>
        <w:t>Name and value pairs with UPD_TS and UPD_BY alongside. There are a handful of rows in it. I have not gone through what each one actually drives and it is out of scope for this note, but somebody should, because a parameter table with no documentation against it is a parameter table that is going to surprise us at some point.</w:t>
      </w:r>
    </w:p>
    <w:p>
      <w:pPr>
        <w:pStyle w:val="Heading1"/>
      </w:pPr>
      <w:r>
        <w:t>9. The load window, and why it constrains all of this</w:t>
      </w:r>
    </w:p>
    <w:p>
      <w:r>
        <w:t>Putting the numbers in here so that nobody designs something expensive without knowing what the budget is. The nightly load starts at 01:00 IST. On an average night the plan is finished around 01:58, and by the time the post load checks and the batch close are done it is about 02:05. The availability SLA to the business is 05:30.</w:t>
      </w:r>
    </w:p>
    <w:p>
      <w:r>
        <w:t>So there is headroom. It is not infinite and it is not ours to spend without asking. Anything the target model adds, an extra column that needs a lookup, an extra table, extra history on a dimension, comes out of that gap. Farida will ask what it costs and she will want a measured number rather than an estimate, which is entirely fair. So when we propose something, we measure it on DEV first and we bring the figuers with us.</w:t>
      </w:r>
    </w:p>
    <w:p>
      <w:pPr>
        <w:pStyle w:val="Heading1"/>
      </w:pPr>
      <w:r>
        <w:t>10. What this note deliberately does not cover</w:t>
      </w:r>
    </w:p>
    <w:p>
      <w:r>
        <w:t>How the dimensions handle change over time is not in here. Karthik is doing a seperate note on effective dating and I would much rather one document said it properly than two documents said it slightly differently. Same goes for anything about the mappings themselves, which belongs with Farida's inventory and not with the model.</w:t>
      </w:r>
    </w:p>
    <w:p>
      <w:r>
        <w:t>Partitioning is not covered either, and that one is not a choice, it is a gap. The indexes on FACT_INVOICE_LINE are created LOCAL, which means the table has to be partitioned, but the partition clause was not in the DDL I recieved, so I do not actually know what it is partitioned on. It is almost certainly DATE_KEY. I would rather have it confirmed than assume it and then design a load around the assumption. [Ani to confirm]</w:t>
      </w:r>
    </w:p>
    <w:p>
      <w:pPr>
        <w:pStyle w:val="Heading1"/>
      </w:pPr>
      <w:r>
        <w:t>11. Open items</w:t>
      </w:r>
    </w:p>
    <w:p>
      <w:pPr>
        <w:pStyle w:val="ListBullet"/>
      </w:pPr>
      <w:r>
        <w:t>Confirm the partition scheme on FACT_INVOICE_LINE, and whether the other two facts are partitioned at all. Ani.</w:t>
      </w:r>
    </w:p>
    <w:p>
      <w:pPr>
        <w:pStyle w:val="ListBullet"/>
      </w:pPr>
      <w:r>
        <w:t>Agree the NET_AMT definition with Finance Systems and get it written on the mapping spec. Karthik and me.</w:t>
      </w:r>
    </w:p>
    <w:p>
      <w:pPr>
        <w:pStyle w:val="ListBullet"/>
      </w:pPr>
      <w:r>
        <w:t>Decide what happens to the tax rate lookup. Karthik. Still TBC.</w:t>
      </w:r>
    </w:p>
    <w:p>
      <w:pPr>
        <w:pStyle w:val="ListBullet"/>
      </w:pPr>
      <w:r>
        <w:t>Pick one word for distributor and hold it across the whole reporting layer. Ritwik and Priya.</w:t>
      </w:r>
    </w:p>
    <w:p>
      <w:pPr>
        <w:pStyle w:val="ListBullet"/>
      </w:pPr>
      <w:r>
        <w:t>Walk through what is actually in ETL_PARAM and write it down somewhere.</w:t>
      </w:r>
    </w:p>
    <w:p>
      <w:pPr>
        <w:pStyle w:val="ListBullet"/>
      </w:pPr>
      <w:r>
        <w:t>Naming.</w:t>
      </w:r>
    </w:p>
    <w:p/>
    <w:p>
      <w:r>
        <w:rPr>
          <w:i/>
          <w:sz w:val="16"/>
        </w:rPr>
        <w:t>SYNTHETIC — generated for internal demo. No real entity depicted.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sz w:val="16"/>
      </w:rPr>
      <w:t>DOC-05  BCPL_EDW target model notes  v0.3  08-Apr-2026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Project Drishti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Company>Northlane Analytics</Company>
  <Manager>Karthik Subramanian</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BCPL_EDW target model - working notes</dc:title>
  <dc:subject>Project Drishti - EDW target star schema</dc:subject>
  <dc:creator>Ishaan Bhatt</dc:creator>
  <cp:keywords>Drishti; BCPL_EDW; star schema; grain; target model</cp:keywords>
  <dc:description>SYNTHETIC — generated for internal demo. No real entity depicted.</dc:description>
  <cp:lastModifiedBy>Karthik Subramanian</cp:lastModifiedBy>
  <cp:revision>3</cp:revision>
  <dcterms:created xsi:type="dcterms:W3CDTF">2026-03-27T22:10:00Z</dcterms:created>
  <dcterms:modified xsi:type="dcterms:W3CDTF">2026-04-08T19:42:00Z</dcterms:modified>
  <cp:category>Working notes</cp:category>
</cp:coreProperties>
</file>