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C75DE8" w14:textId="08F12A6E" w:rsidR="00E30366" w:rsidRDefault="00E30366" w:rsidP="00E30366">
      <w:pPr>
        <w:rPr>
          <w:rFonts w:cstheme="minorHAnsi"/>
          <w:b/>
          <w:bCs/>
          <w:sz w:val="28"/>
          <w:szCs w:val="28"/>
        </w:rPr>
      </w:pPr>
      <w:r>
        <w:rPr>
          <w:rFonts w:cstheme="minorHAnsi"/>
          <w:b/>
          <w:bCs/>
          <w:sz w:val="28"/>
          <w:szCs w:val="28"/>
        </w:rPr>
        <w:t xml:space="preserve">Recommendations on thermal mark </w:t>
      </w:r>
      <w:r w:rsidR="00924FD3">
        <w:rPr>
          <w:rFonts w:cstheme="minorHAnsi"/>
          <w:b/>
          <w:bCs/>
          <w:sz w:val="28"/>
          <w:szCs w:val="28"/>
        </w:rPr>
        <w:t xml:space="preserve">ring </w:t>
      </w:r>
      <w:r>
        <w:rPr>
          <w:rFonts w:cstheme="minorHAnsi"/>
          <w:b/>
          <w:bCs/>
          <w:sz w:val="28"/>
          <w:szCs w:val="28"/>
        </w:rPr>
        <w:t xml:space="preserve">widths to improve </w:t>
      </w:r>
      <w:r w:rsidR="00D87C45">
        <w:rPr>
          <w:rFonts w:cstheme="minorHAnsi"/>
          <w:b/>
          <w:bCs/>
          <w:sz w:val="28"/>
          <w:szCs w:val="28"/>
        </w:rPr>
        <w:t xml:space="preserve">salmon </w:t>
      </w:r>
      <w:r>
        <w:rPr>
          <w:rFonts w:cstheme="minorHAnsi"/>
          <w:b/>
          <w:bCs/>
          <w:sz w:val="28"/>
          <w:szCs w:val="28"/>
        </w:rPr>
        <w:t>hatche</w:t>
      </w:r>
      <w:r w:rsidR="00D87C45">
        <w:rPr>
          <w:rFonts w:cstheme="minorHAnsi"/>
          <w:b/>
          <w:bCs/>
          <w:sz w:val="28"/>
          <w:szCs w:val="28"/>
        </w:rPr>
        <w:t>ry</w:t>
      </w:r>
      <w:r>
        <w:rPr>
          <w:rFonts w:cstheme="minorHAnsi"/>
          <w:b/>
          <w:bCs/>
          <w:sz w:val="28"/>
          <w:szCs w:val="28"/>
        </w:rPr>
        <w:t xml:space="preserve"> thermal marking programs </w:t>
      </w:r>
    </w:p>
    <w:p w14:paraId="132CA11C" w14:textId="4CF099F3" w:rsidR="00E30366" w:rsidRDefault="00162E42" w:rsidP="00E30366">
      <w:pPr>
        <w:rPr>
          <w:rFonts w:cstheme="minorHAnsi"/>
        </w:rPr>
      </w:pPr>
      <w:r>
        <w:rPr>
          <w:rFonts w:cstheme="minorHAnsi"/>
        </w:rPr>
        <w:t>I’ve developed a calculation called ring width</w:t>
      </w:r>
      <w:r w:rsidR="00272D06">
        <w:rPr>
          <w:rFonts w:cstheme="minorHAnsi"/>
        </w:rPr>
        <w:t xml:space="preserve"> which can be used</w:t>
      </w:r>
      <w:r>
        <w:rPr>
          <w:rFonts w:cstheme="minorHAnsi"/>
        </w:rPr>
        <w:t xml:space="preserve"> as </w:t>
      </w:r>
      <w:r w:rsidR="00E93104">
        <w:rPr>
          <w:rFonts w:cstheme="minorHAnsi"/>
        </w:rPr>
        <w:t xml:space="preserve">a </w:t>
      </w:r>
      <w:r>
        <w:rPr>
          <w:rFonts w:cstheme="minorHAnsi"/>
        </w:rPr>
        <w:t>tool</w:t>
      </w:r>
      <w:r w:rsidR="00272D06">
        <w:rPr>
          <w:rFonts w:cstheme="minorHAnsi"/>
        </w:rPr>
        <w:t xml:space="preserve"> </w:t>
      </w:r>
      <w:r>
        <w:rPr>
          <w:rFonts w:cstheme="minorHAnsi"/>
        </w:rPr>
        <w:t xml:space="preserve">by hatchery managers to improve thermal mark quality. Ring width is the band width of a thermal mark divided by the number of rings in that band. </w:t>
      </w:r>
      <w:r w:rsidR="00924FD3">
        <w:rPr>
          <w:rFonts w:cstheme="minorHAnsi"/>
        </w:rPr>
        <w:t xml:space="preserve">This calculated </w:t>
      </w:r>
      <w:r w:rsidR="00E93104">
        <w:rPr>
          <w:rFonts w:cstheme="minorHAnsi"/>
        </w:rPr>
        <w:t>value</w:t>
      </w:r>
      <w:r w:rsidR="00924FD3">
        <w:rPr>
          <w:rFonts w:cstheme="minorHAnsi"/>
        </w:rPr>
        <w:t xml:space="preserve"> can </w:t>
      </w:r>
      <w:r w:rsidR="00E93104">
        <w:rPr>
          <w:rFonts w:cstheme="minorHAnsi"/>
        </w:rPr>
        <w:t xml:space="preserve">be used as a </w:t>
      </w:r>
      <w:r w:rsidR="00924FD3">
        <w:rPr>
          <w:rFonts w:cstheme="minorHAnsi"/>
        </w:rPr>
        <w:t xml:space="preserve">guide when </w:t>
      </w:r>
      <w:r w:rsidR="00E30366">
        <w:rPr>
          <w:rFonts w:cstheme="minorHAnsi"/>
        </w:rPr>
        <w:t xml:space="preserve">creating marks, warn when marks are too thin, and </w:t>
      </w:r>
      <w:r w:rsidR="00E93104">
        <w:rPr>
          <w:rFonts w:cstheme="minorHAnsi"/>
        </w:rPr>
        <w:t>compare</w:t>
      </w:r>
      <w:r w:rsidR="00924FD3">
        <w:rPr>
          <w:rFonts w:cstheme="minorHAnsi"/>
        </w:rPr>
        <w:t xml:space="preserve"> </w:t>
      </w:r>
      <w:r w:rsidR="00D6165C" w:rsidRPr="00D6165C">
        <w:rPr>
          <w:rFonts w:cstheme="minorHAnsi"/>
        </w:rPr>
        <w:t>North Pacific Anadromous Fish Commission (NPAFC)</w:t>
      </w:r>
      <w:r w:rsidR="00D6165C">
        <w:rPr>
          <w:rFonts w:cstheme="minorHAnsi"/>
        </w:rPr>
        <w:t xml:space="preserve"> </w:t>
      </w:r>
      <w:r w:rsidR="009129EE">
        <w:rPr>
          <w:rFonts w:cstheme="minorHAnsi"/>
        </w:rPr>
        <w:t>mark</w:t>
      </w:r>
      <w:r w:rsidR="00E93104">
        <w:rPr>
          <w:rFonts w:cstheme="minorHAnsi"/>
        </w:rPr>
        <w:t>s to each other quantitatively</w:t>
      </w:r>
      <w:r w:rsidR="009129EE">
        <w:rPr>
          <w:rFonts w:cstheme="minorHAnsi"/>
        </w:rPr>
        <w:t xml:space="preserve">. </w:t>
      </w:r>
    </w:p>
    <w:p w14:paraId="0D340AB0" w14:textId="0E8FAC79" w:rsidR="00D64C6C" w:rsidRPr="00E30366" w:rsidRDefault="00FC6142" w:rsidP="00E30366">
      <w:pPr>
        <w:rPr>
          <w:rFonts w:cstheme="minorHAnsi"/>
        </w:rPr>
      </w:pPr>
      <w:r>
        <w:rPr>
          <w:rFonts w:cstheme="minorHAnsi"/>
        </w:rPr>
        <w:t>Variations in r</w:t>
      </w:r>
      <w:r w:rsidR="00924FD3">
        <w:rPr>
          <w:rFonts w:cstheme="minorHAnsi"/>
        </w:rPr>
        <w:t xml:space="preserve">ing </w:t>
      </w:r>
      <w:r w:rsidR="00E30366">
        <w:rPr>
          <w:rFonts w:cstheme="minorHAnsi"/>
        </w:rPr>
        <w:t xml:space="preserve">width can significantly affect the ability to read a mark and </w:t>
      </w:r>
      <w:r w:rsidR="00191869">
        <w:rPr>
          <w:rFonts w:cstheme="minorHAnsi"/>
        </w:rPr>
        <w:t xml:space="preserve">the use of </w:t>
      </w:r>
      <w:r w:rsidR="00E30366">
        <w:rPr>
          <w:rFonts w:cstheme="minorHAnsi"/>
        </w:rPr>
        <w:t xml:space="preserve">wider marks can </w:t>
      </w:r>
      <w:r w:rsidR="00191869">
        <w:rPr>
          <w:rFonts w:cstheme="minorHAnsi"/>
        </w:rPr>
        <w:t xml:space="preserve">increase </w:t>
      </w:r>
      <w:r w:rsidR="00E30366">
        <w:rPr>
          <w:rFonts w:cstheme="minorHAnsi"/>
        </w:rPr>
        <w:t xml:space="preserve">efficiencies for thermal mark programs. </w:t>
      </w:r>
      <w:r w:rsidR="00191869">
        <w:rPr>
          <w:rFonts w:cstheme="minorHAnsi"/>
        </w:rPr>
        <w:t xml:space="preserve">Therefore, I’ve developed the following recommendations: 1. </w:t>
      </w:r>
      <w:r w:rsidR="00C1642A">
        <w:rPr>
          <w:rFonts w:cstheme="minorHAnsi"/>
        </w:rPr>
        <w:t>ring widths</w:t>
      </w:r>
      <w:r w:rsidR="001C3FF1">
        <w:rPr>
          <w:rFonts w:cstheme="minorHAnsi"/>
        </w:rPr>
        <w:t xml:space="preserve"> should not be</w:t>
      </w:r>
      <w:r w:rsidR="00A45C39">
        <w:rPr>
          <w:rFonts w:cstheme="minorHAnsi"/>
        </w:rPr>
        <w:t xml:space="preserve"> less than ~2.0um</w:t>
      </w:r>
      <w:r w:rsidR="00191869">
        <w:rPr>
          <w:rFonts w:cstheme="minorHAnsi"/>
        </w:rPr>
        <w:t>;</w:t>
      </w:r>
      <w:r w:rsidR="00A45C39">
        <w:rPr>
          <w:rFonts w:cstheme="minorHAnsi"/>
        </w:rPr>
        <w:t xml:space="preserve"> </w:t>
      </w:r>
      <w:r w:rsidR="00191869">
        <w:rPr>
          <w:rFonts w:cstheme="minorHAnsi"/>
        </w:rPr>
        <w:t xml:space="preserve">2. </w:t>
      </w:r>
      <w:r w:rsidR="00AF3C99">
        <w:rPr>
          <w:rFonts w:cstheme="minorHAnsi"/>
        </w:rPr>
        <w:t>ring width</w:t>
      </w:r>
      <w:r w:rsidR="00C1642A">
        <w:rPr>
          <w:rFonts w:cstheme="minorHAnsi"/>
        </w:rPr>
        <w:t>s should be</w:t>
      </w:r>
      <w:r w:rsidR="00AF3C99">
        <w:rPr>
          <w:rFonts w:cstheme="minorHAnsi"/>
        </w:rPr>
        <w:t xml:space="preserve"> greater than 3u</w:t>
      </w:r>
      <w:r w:rsidR="00E30366">
        <w:rPr>
          <w:rFonts w:cstheme="minorHAnsi"/>
        </w:rPr>
        <w:t>m</w:t>
      </w:r>
      <w:r w:rsidR="00191869">
        <w:rPr>
          <w:rFonts w:cstheme="minorHAnsi"/>
        </w:rPr>
        <w:t xml:space="preserve">; and 3. </w:t>
      </w:r>
      <w:r w:rsidR="00E30366">
        <w:rPr>
          <w:rFonts w:cstheme="minorHAnsi"/>
        </w:rPr>
        <w:t xml:space="preserve">a longer mark cycle </w:t>
      </w:r>
      <w:r w:rsidR="001C3FF1">
        <w:rPr>
          <w:rFonts w:cstheme="minorHAnsi"/>
        </w:rPr>
        <w:t xml:space="preserve">should be used </w:t>
      </w:r>
      <w:r w:rsidR="00E30366">
        <w:rPr>
          <w:rFonts w:cstheme="minorHAnsi"/>
        </w:rPr>
        <w:t>between ring</w:t>
      </w:r>
      <w:r w:rsidR="001C3FF1">
        <w:rPr>
          <w:rFonts w:cstheme="minorHAnsi"/>
        </w:rPr>
        <w:t>s</w:t>
      </w:r>
      <w:r w:rsidR="00E30366">
        <w:rPr>
          <w:rFonts w:cstheme="minorHAnsi"/>
        </w:rPr>
        <w:t xml:space="preserve"> for post hatch</w:t>
      </w:r>
      <w:r w:rsidR="00D32BE0">
        <w:rPr>
          <w:rFonts w:cstheme="minorHAnsi"/>
        </w:rPr>
        <w:t xml:space="preserve"> </w:t>
      </w:r>
      <w:r w:rsidR="00C708E8">
        <w:rPr>
          <w:rFonts w:cstheme="minorHAnsi"/>
        </w:rPr>
        <w:t xml:space="preserve">marks </w:t>
      </w:r>
      <w:r w:rsidR="00D32BE0">
        <w:rPr>
          <w:rFonts w:cstheme="minorHAnsi"/>
        </w:rPr>
        <w:t>to</w:t>
      </w:r>
      <w:r w:rsidR="0071068E">
        <w:rPr>
          <w:rFonts w:cstheme="minorHAnsi"/>
        </w:rPr>
        <w:t xml:space="preserve"> in</w:t>
      </w:r>
      <w:r w:rsidR="00D32BE0">
        <w:rPr>
          <w:rFonts w:cstheme="minorHAnsi"/>
        </w:rPr>
        <w:t>crease quality</w:t>
      </w:r>
      <w:r w:rsidR="00E30366">
        <w:rPr>
          <w:rFonts w:cstheme="minorHAnsi"/>
        </w:rPr>
        <w:t xml:space="preserve">. </w:t>
      </w:r>
    </w:p>
    <w:p w14:paraId="29A81950" w14:textId="60A741A7" w:rsidR="00AF3C99" w:rsidRDefault="00D64C6C" w:rsidP="00AF3C99">
      <w:pPr>
        <w:pStyle w:val="ListParagraph"/>
        <w:numPr>
          <w:ilvl w:val="0"/>
          <w:numId w:val="1"/>
        </w:numPr>
        <w:rPr>
          <w:rFonts w:cstheme="minorHAnsi"/>
        </w:rPr>
      </w:pPr>
      <w:r>
        <w:rPr>
          <w:rFonts w:cstheme="minorHAnsi"/>
        </w:rPr>
        <w:t>T</w:t>
      </w:r>
      <w:r w:rsidR="00AF3C99" w:rsidRPr="00A45C39">
        <w:rPr>
          <w:rFonts w:cstheme="minorHAnsi"/>
        </w:rPr>
        <w:t>hermal marks should never be so narrow that they have a ring width of less than</w:t>
      </w:r>
      <w:r>
        <w:rPr>
          <w:rFonts w:cstheme="minorHAnsi"/>
        </w:rPr>
        <w:t xml:space="preserve"> ~</w:t>
      </w:r>
      <w:r w:rsidR="00AF3C99" w:rsidRPr="00D64C6C">
        <w:rPr>
          <w:rFonts w:cstheme="minorHAnsi"/>
        </w:rPr>
        <w:t xml:space="preserve">2.0um. Once </w:t>
      </w:r>
      <w:r w:rsidR="001C3FF1">
        <w:rPr>
          <w:rFonts w:cstheme="minorHAnsi"/>
        </w:rPr>
        <w:t xml:space="preserve">ring width drops below this </w:t>
      </w:r>
      <w:r w:rsidR="00AF3C99" w:rsidRPr="00D64C6C">
        <w:rPr>
          <w:rFonts w:cstheme="minorHAnsi"/>
        </w:rPr>
        <w:t xml:space="preserve">threshold there will be a negative impact on the mark. Below this threshold marks become increasingly difficult to see, requiring delicate grinding and a doubling of the viewing magnification from 200x to 400x. These inefficiencies are not conducive to a “production style” marking lab where large numbers of otoliths are read in season with a quick turnaround time. </w:t>
      </w:r>
    </w:p>
    <w:p w14:paraId="28D2C36D" w14:textId="3A66A2FA" w:rsidR="00D64C6C" w:rsidRDefault="00D64C6C" w:rsidP="00D64C6C">
      <w:pPr>
        <w:pStyle w:val="ListParagraph"/>
        <w:numPr>
          <w:ilvl w:val="0"/>
          <w:numId w:val="1"/>
        </w:numPr>
        <w:rPr>
          <w:rFonts w:cstheme="minorHAnsi"/>
        </w:rPr>
      </w:pPr>
      <w:r w:rsidRPr="00D64C6C">
        <w:rPr>
          <w:rFonts w:cstheme="minorHAnsi"/>
        </w:rPr>
        <w:t xml:space="preserve">Thermal marks should have a ring width greater than 3um. As you can see on the graph, </w:t>
      </w:r>
      <w:r w:rsidR="00D6165C">
        <w:rPr>
          <w:rFonts w:cstheme="minorHAnsi"/>
        </w:rPr>
        <w:t xml:space="preserve">Alaska </w:t>
      </w:r>
      <w:r w:rsidR="00D5306A">
        <w:rPr>
          <w:rFonts w:cstheme="minorHAnsi"/>
        </w:rPr>
        <w:t>(A</w:t>
      </w:r>
      <w:r w:rsidRPr="00D64C6C">
        <w:rPr>
          <w:rFonts w:cstheme="minorHAnsi"/>
        </w:rPr>
        <w:t>K</w:t>
      </w:r>
      <w:r w:rsidR="00D5306A">
        <w:rPr>
          <w:rFonts w:cstheme="minorHAnsi"/>
        </w:rPr>
        <w:t>)</w:t>
      </w:r>
      <w:r w:rsidRPr="00D64C6C">
        <w:rPr>
          <w:rFonts w:cstheme="minorHAnsi"/>
        </w:rPr>
        <w:t xml:space="preserve"> and </w:t>
      </w:r>
      <w:r w:rsidR="00D6165C">
        <w:rPr>
          <w:rFonts w:cstheme="minorHAnsi"/>
        </w:rPr>
        <w:t>Washington</w:t>
      </w:r>
      <w:r w:rsidR="00D5306A">
        <w:rPr>
          <w:rFonts w:cstheme="minorHAnsi"/>
        </w:rPr>
        <w:t>,</w:t>
      </w:r>
      <w:r w:rsidR="00D6165C">
        <w:rPr>
          <w:rFonts w:cstheme="minorHAnsi"/>
        </w:rPr>
        <w:t xml:space="preserve"> Seattle Public Utilities</w:t>
      </w:r>
      <w:r w:rsidR="006F4AC1">
        <w:rPr>
          <w:rFonts w:cstheme="minorHAnsi"/>
        </w:rPr>
        <w:t xml:space="preserve"> (</w:t>
      </w:r>
      <w:r w:rsidRPr="00D64C6C">
        <w:rPr>
          <w:rFonts w:cstheme="minorHAnsi"/>
        </w:rPr>
        <w:t>WA(SPU)</w:t>
      </w:r>
      <w:r w:rsidR="006F4AC1">
        <w:rPr>
          <w:rFonts w:cstheme="minorHAnsi"/>
        </w:rPr>
        <w:t>)</w:t>
      </w:r>
      <w:r w:rsidRPr="00D64C6C">
        <w:rPr>
          <w:rFonts w:cstheme="minorHAnsi"/>
        </w:rPr>
        <w:t xml:space="preserve"> sockeye marks follow this standard and have a history of producing relatively good sockeye marks easily viewed </w:t>
      </w:r>
      <w:r w:rsidR="001C3FF1">
        <w:rPr>
          <w:rFonts w:cstheme="minorHAnsi"/>
        </w:rPr>
        <w:t>with</w:t>
      </w:r>
      <w:r w:rsidRPr="00D64C6C">
        <w:rPr>
          <w:rFonts w:cstheme="minorHAnsi"/>
        </w:rPr>
        <w:t xml:space="preserve"> 200x magnification. This can result in increased efficiencies for thermal marking programs. </w:t>
      </w:r>
      <w:r w:rsidR="00E93104">
        <w:rPr>
          <w:rFonts w:cstheme="minorHAnsi"/>
        </w:rPr>
        <w:t xml:space="preserve">The range between </w:t>
      </w:r>
      <w:r w:rsidR="00CD11F7">
        <w:rPr>
          <w:rFonts w:cstheme="minorHAnsi"/>
        </w:rPr>
        <w:t xml:space="preserve">2.0um and 3.0um are reserved for narrow marks designated with a hatch code(n). </w:t>
      </w:r>
    </w:p>
    <w:p w14:paraId="75B0DC70" w14:textId="27A808E3" w:rsidR="00E30366" w:rsidRPr="004E6892" w:rsidRDefault="00E30366" w:rsidP="00E30366">
      <w:pPr>
        <w:pStyle w:val="ListParagraph"/>
        <w:numPr>
          <w:ilvl w:val="0"/>
          <w:numId w:val="1"/>
        </w:numPr>
        <w:rPr>
          <w:rFonts w:cstheme="minorHAnsi"/>
        </w:rPr>
      </w:pPr>
      <w:r w:rsidRPr="004E6892">
        <w:rPr>
          <w:rFonts w:cstheme="minorHAnsi"/>
        </w:rPr>
        <w:t>Use a longer mark cycle between rings for</w:t>
      </w:r>
      <w:r w:rsidR="00924FD3" w:rsidRPr="004E6892">
        <w:rPr>
          <w:rFonts w:cstheme="minorHAnsi"/>
        </w:rPr>
        <w:t xml:space="preserve"> </w:t>
      </w:r>
      <w:r w:rsidRPr="004E6892">
        <w:rPr>
          <w:rFonts w:cstheme="minorHAnsi"/>
        </w:rPr>
        <w:t>post hatch marks to have the same or greater width as pre hatch marks. This is due to the otolith growing slower and, in some cases, colder ambient water. The long existing notion that pre hatch marks are wider, and therefore, superior is misleading. Post hatch marks can be just as wide, it just takes a longer marking cycle. Evidence of this can be seen in the graph below with WA(SPU) post hatch marks being wider than AK pre hatch (</w:t>
      </w:r>
      <w:r w:rsidR="007C7849" w:rsidRPr="004E6892">
        <w:rPr>
          <w:rFonts w:cstheme="minorHAnsi"/>
        </w:rPr>
        <w:t>4.1um</w:t>
      </w:r>
      <w:r w:rsidRPr="004E6892">
        <w:rPr>
          <w:rFonts w:cstheme="minorHAnsi"/>
        </w:rPr>
        <w:t xml:space="preserve"> vs. 3</w:t>
      </w:r>
      <w:r w:rsidR="007C7849" w:rsidRPr="004E6892">
        <w:rPr>
          <w:rFonts w:cstheme="minorHAnsi"/>
        </w:rPr>
        <w:t>.8</w:t>
      </w:r>
      <w:r w:rsidRPr="004E6892">
        <w:rPr>
          <w:rFonts w:cstheme="minorHAnsi"/>
        </w:rPr>
        <w:t xml:space="preserve">um). </w:t>
      </w:r>
    </w:p>
    <w:p w14:paraId="3C0F397E" w14:textId="304DAF76" w:rsidR="004E6892" w:rsidRPr="00D64C6C" w:rsidRDefault="004E6892" w:rsidP="00E30366">
      <w:pPr>
        <w:pStyle w:val="ListParagraph"/>
        <w:rPr>
          <w:rFonts w:cstheme="minorHAnsi"/>
        </w:rPr>
      </w:pPr>
    </w:p>
    <w:p w14:paraId="67CF2DAD" w14:textId="646708B2" w:rsidR="008D0A7D" w:rsidRDefault="005148FF">
      <w:r>
        <w:rPr>
          <w:noProof/>
        </w:rPr>
        <w:lastRenderedPageBreak/>
        <w:drawing>
          <wp:inline distT="0" distB="0" distL="0" distR="0" wp14:anchorId="5FC5897A" wp14:editId="3837EDFB">
            <wp:extent cx="4572000" cy="2743200"/>
            <wp:effectExtent l="0" t="0" r="0" b="0"/>
            <wp:docPr id="1" name="Chart 1">
              <a:extLst xmlns:a="http://schemas.openxmlformats.org/drawingml/2006/main">
                <a:ext uri="{FF2B5EF4-FFF2-40B4-BE49-F238E27FC236}">
                  <a16:creationId xmlns:a16="http://schemas.microsoft.com/office/drawing/2014/main" id="{D472C13C-01AB-40DE-8E08-CAB96D4117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sectPr w:rsidR="008D0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2A9407B"/>
    <w:multiLevelType w:val="hybridMultilevel"/>
    <w:tmpl w:val="E31C2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C99"/>
    <w:rsid w:val="00162E42"/>
    <w:rsid w:val="00191869"/>
    <w:rsid w:val="001C3FF1"/>
    <w:rsid w:val="00272D06"/>
    <w:rsid w:val="002B18F0"/>
    <w:rsid w:val="002C7DF1"/>
    <w:rsid w:val="0033205B"/>
    <w:rsid w:val="00352CB9"/>
    <w:rsid w:val="00495A25"/>
    <w:rsid w:val="004E6892"/>
    <w:rsid w:val="005148FF"/>
    <w:rsid w:val="005762BA"/>
    <w:rsid w:val="00605492"/>
    <w:rsid w:val="00610558"/>
    <w:rsid w:val="006E1287"/>
    <w:rsid w:val="006F4AC1"/>
    <w:rsid w:val="0071068E"/>
    <w:rsid w:val="007C7849"/>
    <w:rsid w:val="008005BD"/>
    <w:rsid w:val="008D0A7D"/>
    <w:rsid w:val="009129EE"/>
    <w:rsid w:val="00924FD3"/>
    <w:rsid w:val="00A45C39"/>
    <w:rsid w:val="00AA5434"/>
    <w:rsid w:val="00AF3C99"/>
    <w:rsid w:val="00C1642A"/>
    <w:rsid w:val="00C525C6"/>
    <w:rsid w:val="00C708E8"/>
    <w:rsid w:val="00CD11F7"/>
    <w:rsid w:val="00CD3008"/>
    <w:rsid w:val="00D32BE0"/>
    <w:rsid w:val="00D5306A"/>
    <w:rsid w:val="00D6165C"/>
    <w:rsid w:val="00D64C6C"/>
    <w:rsid w:val="00D87C45"/>
    <w:rsid w:val="00DC08F4"/>
    <w:rsid w:val="00E30366"/>
    <w:rsid w:val="00E93104"/>
    <w:rsid w:val="00F356EA"/>
    <w:rsid w:val="00FC6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3D720"/>
  <w15:chartTrackingRefBased/>
  <w15:docId w15:val="{CBE9B6F3-7AAD-4E8F-AB5A-5A9C4607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C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3C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3C99"/>
    <w:rPr>
      <w:rFonts w:ascii="Segoe UI" w:hAnsi="Segoe UI" w:cs="Segoe UI"/>
      <w:sz w:val="18"/>
      <w:szCs w:val="18"/>
    </w:rPr>
  </w:style>
  <w:style w:type="character" w:styleId="CommentReference">
    <w:name w:val="annotation reference"/>
    <w:basedOn w:val="DefaultParagraphFont"/>
    <w:uiPriority w:val="99"/>
    <w:semiHidden/>
    <w:unhideWhenUsed/>
    <w:rsid w:val="00AF3C99"/>
    <w:rPr>
      <w:sz w:val="16"/>
      <w:szCs w:val="16"/>
    </w:rPr>
  </w:style>
  <w:style w:type="paragraph" w:styleId="CommentText">
    <w:name w:val="annotation text"/>
    <w:basedOn w:val="Normal"/>
    <w:link w:val="CommentTextChar"/>
    <w:uiPriority w:val="99"/>
    <w:semiHidden/>
    <w:unhideWhenUsed/>
    <w:rsid w:val="00AF3C99"/>
    <w:pPr>
      <w:spacing w:line="240" w:lineRule="auto"/>
    </w:pPr>
    <w:rPr>
      <w:sz w:val="20"/>
      <w:szCs w:val="20"/>
    </w:rPr>
  </w:style>
  <w:style w:type="character" w:customStyle="1" w:styleId="CommentTextChar">
    <w:name w:val="Comment Text Char"/>
    <w:basedOn w:val="DefaultParagraphFont"/>
    <w:link w:val="CommentText"/>
    <w:uiPriority w:val="99"/>
    <w:semiHidden/>
    <w:rsid w:val="00AF3C99"/>
    <w:rPr>
      <w:sz w:val="20"/>
      <w:szCs w:val="20"/>
    </w:rPr>
  </w:style>
  <w:style w:type="paragraph" w:styleId="CommentSubject">
    <w:name w:val="annotation subject"/>
    <w:basedOn w:val="CommentText"/>
    <w:next w:val="CommentText"/>
    <w:link w:val="CommentSubjectChar"/>
    <w:uiPriority w:val="99"/>
    <w:semiHidden/>
    <w:unhideWhenUsed/>
    <w:rsid w:val="00AF3C99"/>
    <w:rPr>
      <w:b/>
      <w:bCs/>
    </w:rPr>
  </w:style>
  <w:style w:type="character" w:customStyle="1" w:styleId="CommentSubjectChar">
    <w:name w:val="Comment Subject Char"/>
    <w:basedOn w:val="CommentTextChar"/>
    <w:link w:val="CommentSubject"/>
    <w:uiPriority w:val="99"/>
    <w:semiHidden/>
    <w:rsid w:val="00AF3C99"/>
    <w:rPr>
      <w:b/>
      <w:bCs/>
      <w:sz w:val="20"/>
      <w:szCs w:val="20"/>
    </w:rPr>
  </w:style>
  <w:style w:type="paragraph" w:styleId="ListParagraph">
    <w:name w:val="List Paragraph"/>
    <w:basedOn w:val="Normal"/>
    <w:uiPriority w:val="34"/>
    <w:qFormat/>
    <w:rsid w:val="00AF3C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Pre &amp; post hatch thermal mark ring widths of sockeye </a:t>
            </a:r>
          </a:p>
        </c:rich>
      </c:tx>
      <c:layout>
        <c:manualLayout>
          <c:xMode val="edge"/>
          <c:yMode val="edge"/>
          <c:x val="0.16606933508311461"/>
          <c:y val="2.7777777777777776E-2"/>
        </c:manualLayout>
      </c:layout>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lineChart>
        <c:grouping val="standard"/>
        <c:varyColors val="0"/>
        <c:ser>
          <c:idx val="0"/>
          <c:order val="0"/>
          <c:tx>
            <c:strRef>
              <c:f>Sheet2!$D$4</c:f>
              <c:strCache>
                <c:ptCount val="1"/>
                <c:pt idx="0">
                  <c:v>AK pre hatch</c:v>
                </c:pt>
              </c:strCache>
            </c:strRef>
          </c:tx>
          <c:spPr>
            <a:ln w="22225" cap="rnd">
              <a:solidFill>
                <a:schemeClr val="accent1"/>
              </a:solidFill>
            </a:ln>
            <a:effectLst>
              <a:glow rad="139700">
                <a:schemeClr val="accent1">
                  <a:satMod val="175000"/>
                  <a:alpha val="14000"/>
                </a:schemeClr>
              </a:glow>
            </a:effectLst>
          </c:spPr>
          <c:marker>
            <c:symbol val="circle"/>
            <c:size val="4"/>
            <c:spPr>
              <a:solidFill>
                <a:srgbClr val="0070C0"/>
              </a:solidFill>
              <a:ln>
                <a:noFill/>
              </a:ln>
              <a:effectLst>
                <a:glow rad="63500">
                  <a:schemeClr val="accent1">
                    <a:satMod val="175000"/>
                    <a:alpha val="25000"/>
                  </a:schemeClr>
                </a:glow>
              </a:effectLst>
            </c:spPr>
          </c:marker>
          <c:cat>
            <c:numRef>
              <c:f>Sheet2!$C$5:$C$10</c:f>
              <c:numCache>
                <c:formatCode>General</c:formatCode>
                <c:ptCount val="6"/>
                <c:pt idx="0">
                  <c:v>2013</c:v>
                </c:pt>
                <c:pt idx="1">
                  <c:v>2014</c:v>
                </c:pt>
                <c:pt idx="2">
                  <c:v>2015</c:v>
                </c:pt>
                <c:pt idx="3">
                  <c:v>2016</c:v>
                </c:pt>
                <c:pt idx="4">
                  <c:v>2017</c:v>
                </c:pt>
                <c:pt idx="5">
                  <c:v>2018</c:v>
                </c:pt>
              </c:numCache>
            </c:numRef>
          </c:cat>
          <c:val>
            <c:numRef>
              <c:f>Sheet2!$D$5:$D$10</c:f>
              <c:numCache>
                <c:formatCode>General</c:formatCode>
                <c:ptCount val="6"/>
                <c:pt idx="0">
                  <c:v>3.8</c:v>
                </c:pt>
                <c:pt idx="1">
                  <c:v>3.8</c:v>
                </c:pt>
                <c:pt idx="2">
                  <c:v>3.7</c:v>
                </c:pt>
                <c:pt idx="3">
                  <c:v>3.8</c:v>
                </c:pt>
                <c:pt idx="4">
                  <c:v>3.9</c:v>
                </c:pt>
              </c:numCache>
            </c:numRef>
          </c:val>
          <c:smooth val="0"/>
          <c:extLst>
            <c:ext xmlns:c16="http://schemas.microsoft.com/office/drawing/2014/chart" uri="{C3380CC4-5D6E-409C-BE32-E72D297353CC}">
              <c16:uniqueId val="{00000000-D40D-49FF-9E64-8069691769AA}"/>
            </c:ext>
          </c:extLst>
        </c:ser>
        <c:ser>
          <c:idx val="1"/>
          <c:order val="1"/>
          <c:tx>
            <c:strRef>
              <c:f>Sheet2!$E$4</c:f>
              <c:strCache>
                <c:ptCount val="1"/>
                <c:pt idx="0">
                  <c:v>AK post hatch</c:v>
                </c:pt>
              </c:strCache>
            </c:strRef>
          </c:tx>
          <c:spPr>
            <a:ln w="22225" cap="rnd">
              <a:solidFill>
                <a:schemeClr val="accent2"/>
              </a:solidFill>
            </a:ln>
            <a:effectLst>
              <a:glow rad="139700">
                <a:schemeClr val="accent2">
                  <a:satMod val="175000"/>
                  <a:alpha val="14000"/>
                </a:schemeClr>
              </a:glow>
            </a:effectLst>
          </c:spPr>
          <c:marker>
            <c:symbol val="circle"/>
            <c:size val="4"/>
            <c:spPr>
              <a:solidFill>
                <a:schemeClr val="accent2"/>
              </a:solidFill>
              <a:ln>
                <a:noFill/>
              </a:ln>
              <a:effectLst>
                <a:glow rad="63500">
                  <a:schemeClr val="accent2">
                    <a:satMod val="175000"/>
                    <a:alpha val="25000"/>
                  </a:schemeClr>
                </a:glow>
              </a:effectLst>
            </c:spPr>
          </c:marker>
          <c:cat>
            <c:numRef>
              <c:f>Sheet2!$C$5:$C$10</c:f>
              <c:numCache>
                <c:formatCode>General</c:formatCode>
                <c:ptCount val="6"/>
                <c:pt idx="0">
                  <c:v>2013</c:v>
                </c:pt>
                <c:pt idx="1">
                  <c:v>2014</c:v>
                </c:pt>
                <c:pt idx="2">
                  <c:v>2015</c:v>
                </c:pt>
                <c:pt idx="3">
                  <c:v>2016</c:v>
                </c:pt>
                <c:pt idx="4">
                  <c:v>2017</c:v>
                </c:pt>
                <c:pt idx="5">
                  <c:v>2018</c:v>
                </c:pt>
              </c:numCache>
            </c:numRef>
          </c:cat>
          <c:val>
            <c:numRef>
              <c:f>Sheet2!$E$5:$E$10</c:f>
              <c:numCache>
                <c:formatCode>General</c:formatCode>
                <c:ptCount val="6"/>
                <c:pt idx="0">
                  <c:v>3</c:v>
                </c:pt>
                <c:pt idx="1">
                  <c:v>3.1</c:v>
                </c:pt>
                <c:pt idx="2">
                  <c:v>3</c:v>
                </c:pt>
                <c:pt idx="3">
                  <c:v>3.3</c:v>
                </c:pt>
                <c:pt idx="4">
                  <c:v>2.8</c:v>
                </c:pt>
              </c:numCache>
            </c:numRef>
          </c:val>
          <c:smooth val="0"/>
          <c:extLst>
            <c:ext xmlns:c16="http://schemas.microsoft.com/office/drawing/2014/chart" uri="{C3380CC4-5D6E-409C-BE32-E72D297353CC}">
              <c16:uniqueId val="{00000001-D40D-49FF-9E64-8069691769AA}"/>
            </c:ext>
          </c:extLst>
        </c:ser>
        <c:ser>
          <c:idx val="2"/>
          <c:order val="2"/>
          <c:tx>
            <c:strRef>
              <c:f>Sheet2!$F$4</c:f>
              <c:strCache>
                <c:ptCount val="1"/>
                <c:pt idx="0">
                  <c:v>BC post hatch</c:v>
                </c:pt>
              </c:strCache>
            </c:strRef>
          </c:tx>
          <c:spPr>
            <a:ln w="22225" cap="rnd">
              <a:solidFill>
                <a:schemeClr val="accent3">
                  <a:lumMod val="60000"/>
                  <a:lumOff val="40000"/>
                </a:schemeClr>
              </a:solidFill>
            </a:ln>
            <a:effectLst>
              <a:glow rad="139700">
                <a:schemeClr val="accent3">
                  <a:satMod val="175000"/>
                  <a:alpha val="14000"/>
                </a:schemeClr>
              </a:glow>
            </a:effectLst>
          </c:spPr>
          <c:marker>
            <c:symbol val="circle"/>
            <c:size val="4"/>
            <c:spPr>
              <a:solidFill>
                <a:schemeClr val="accent3">
                  <a:lumMod val="60000"/>
                  <a:lumOff val="40000"/>
                </a:schemeClr>
              </a:solidFill>
              <a:ln>
                <a:noFill/>
              </a:ln>
              <a:effectLst>
                <a:glow rad="63500">
                  <a:schemeClr val="accent3">
                    <a:satMod val="175000"/>
                    <a:alpha val="25000"/>
                  </a:schemeClr>
                </a:glow>
              </a:effectLst>
            </c:spPr>
          </c:marker>
          <c:cat>
            <c:numRef>
              <c:f>Sheet2!$C$5:$C$10</c:f>
              <c:numCache>
                <c:formatCode>General</c:formatCode>
                <c:ptCount val="6"/>
                <c:pt idx="0">
                  <c:v>2013</c:v>
                </c:pt>
                <c:pt idx="1">
                  <c:v>2014</c:v>
                </c:pt>
                <c:pt idx="2">
                  <c:v>2015</c:v>
                </c:pt>
                <c:pt idx="3">
                  <c:v>2016</c:v>
                </c:pt>
                <c:pt idx="4">
                  <c:v>2017</c:v>
                </c:pt>
                <c:pt idx="5">
                  <c:v>2018</c:v>
                </c:pt>
              </c:numCache>
            </c:numRef>
          </c:cat>
          <c:val>
            <c:numRef>
              <c:f>Sheet2!$F$5:$F$10</c:f>
              <c:numCache>
                <c:formatCode>General</c:formatCode>
                <c:ptCount val="6"/>
                <c:pt idx="1">
                  <c:v>1.4</c:v>
                </c:pt>
                <c:pt idx="2">
                  <c:v>1.6</c:v>
                </c:pt>
                <c:pt idx="3">
                  <c:v>1.6</c:v>
                </c:pt>
                <c:pt idx="4">
                  <c:v>1.6</c:v>
                </c:pt>
                <c:pt idx="5">
                  <c:v>2</c:v>
                </c:pt>
              </c:numCache>
            </c:numRef>
          </c:val>
          <c:smooth val="0"/>
          <c:extLst>
            <c:ext xmlns:c16="http://schemas.microsoft.com/office/drawing/2014/chart" uri="{C3380CC4-5D6E-409C-BE32-E72D297353CC}">
              <c16:uniqueId val="{00000002-D40D-49FF-9E64-8069691769AA}"/>
            </c:ext>
          </c:extLst>
        </c:ser>
        <c:ser>
          <c:idx val="3"/>
          <c:order val="3"/>
          <c:tx>
            <c:strRef>
              <c:f>Sheet2!$G$4</c:f>
              <c:strCache>
                <c:ptCount val="1"/>
                <c:pt idx="0">
                  <c:v>WA(SPU) pre hatch</c:v>
                </c:pt>
              </c:strCache>
            </c:strRef>
          </c:tx>
          <c:spPr>
            <a:ln w="22225" cap="rnd">
              <a:solidFill>
                <a:schemeClr val="accent4"/>
              </a:solidFill>
            </a:ln>
            <a:effectLst>
              <a:glow rad="139700">
                <a:schemeClr val="accent4">
                  <a:satMod val="175000"/>
                  <a:alpha val="14000"/>
                </a:schemeClr>
              </a:glow>
            </a:effectLst>
          </c:spPr>
          <c:marker>
            <c:symbol val="circle"/>
            <c:size val="3"/>
            <c:spPr>
              <a:solidFill>
                <a:srgbClr val="FFC000"/>
              </a:solidFill>
              <a:ln>
                <a:noFill/>
              </a:ln>
              <a:effectLst>
                <a:glow rad="63500">
                  <a:schemeClr val="accent4">
                    <a:satMod val="175000"/>
                    <a:alpha val="25000"/>
                  </a:schemeClr>
                </a:glow>
              </a:effectLst>
            </c:spPr>
          </c:marker>
          <c:dPt>
            <c:idx val="2"/>
            <c:marker>
              <c:symbol val="circle"/>
              <c:size val="3"/>
              <c:spPr>
                <a:solidFill>
                  <a:srgbClr val="FFC000"/>
                </a:solidFill>
                <a:ln>
                  <a:solidFill>
                    <a:schemeClr val="accent4"/>
                  </a:solidFill>
                </a:ln>
                <a:effectLst>
                  <a:glow rad="63500">
                    <a:schemeClr val="accent4">
                      <a:satMod val="175000"/>
                      <a:alpha val="25000"/>
                    </a:schemeClr>
                  </a:glow>
                </a:effectLst>
              </c:spPr>
            </c:marker>
            <c:bubble3D val="0"/>
            <c:spPr>
              <a:ln w="22225" cap="rnd">
                <a:solidFill>
                  <a:schemeClr val="accent4"/>
                </a:solidFill>
              </a:ln>
              <a:effectLst>
                <a:glow rad="139700">
                  <a:schemeClr val="accent4">
                    <a:satMod val="175000"/>
                    <a:alpha val="14000"/>
                  </a:schemeClr>
                </a:glow>
              </a:effectLst>
            </c:spPr>
            <c:extLst>
              <c:ext xmlns:c16="http://schemas.microsoft.com/office/drawing/2014/chart" uri="{C3380CC4-5D6E-409C-BE32-E72D297353CC}">
                <c16:uniqueId val="{00000004-D40D-49FF-9E64-8069691769AA}"/>
              </c:ext>
            </c:extLst>
          </c:dPt>
          <c:dPt>
            <c:idx val="3"/>
            <c:marker>
              <c:symbol val="circle"/>
              <c:size val="3"/>
              <c:spPr>
                <a:solidFill>
                  <a:srgbClr val="FFC000"/>
                </a:solidFill>
                <a:ln>
                  <a:solidFill>
                    <a:schemeClr val="accent4">
                      <a:alpha val="94000"/>
                    </a:schemeClr>
                  </a:solidFill>
                </a:ln>
                <a:effectLst>
                  <a:glow rad="63500">
                    <a:schemeClr val="accent4">
                      <a:satMod val="175000"/>
                      <a:alpha val="25000"/>
                    </a:schemeClr>
                  </a:glow>
                </a:effectLst>
              </c:spPr>
            </c:marker>
            <c:bubble3D val="0"/>
            <c:extLst>
              <c:ext xmlns:c16="http://schemas.microsoft.com/office/drawing/2014/chart" uri="{C3380CC4-5D6E-409C-BE32-E72D297353CC}">
                <c16:uniqueId val="{00000005-D40D-49FF-9E64-8069691769AA}"/>
              </c:ext>
            </c:extLst>
          </c:dPt>
          <c:dPt>
            <c:idx val="5"/>
            <c:marker>
              <c:symbol val="circle"/>
              <c:size val="3"/>
              <c:spPr>
                <a:solidFill>
                  <a:srgbClr val="FFC000"/>
                </a:solidFill>
                <a:ln>
                  <a:solidFill>
                    <a:srgbClr val="FFFF00"/>
                  </a:solidFill>
                </a:ln>
                <a:effectLst>
                  <a:glow rad="63500">
                    <a:schemeClr val="accent4">
                      <a:satMod val="175000"/>
                      <a:alpha val="25000"/>
                    </a:schemeClr>
                  </a:glow>
                </a:effectLst>
              </c:spPr>
            </c:marker>
            <c:bubble3D val="0"/>
            <c:spPr>
              <a:ln w="22225" cap="rnd">
                <a:solidFill>
                  <a:schemeClr val="accent4"/>
                </a:solidFill>
              </a:ln>
              <a:effectLst>
                <a:glow rad="139700">
                  <a:schemeClr val="accent4">
                    <a:satMod val="175000"/>
                    <a:alpha val="14000"/>
                  </a:schemeClr>
                </a:glow>
              </a:effectLst>
            </c:spPr>
            <c:extLst>
              <c:ext xmlns:c16="http://schemas.microsoft.com/office/drawing/2014/chart" uri="{C3380CC4-5D6E-409C-BE32-E72D297353CC}">
                <c16:uniqueId val="{00000007-D40D-49FF-9E64-8069691769AA}"/>
              </c:ext>
            </c:extLst>
          </c:dPt>
          <c:cat>
            <c:numRef>
              <c:f>Sheet2!$C$5:$C$10</c:f>
              <c:numCache>
                <c:formatCode>General</c:formatCode>
                <c:ptCount val="6"/>
                <c:pt idx="0">
                  <c:v>2013</c:v>
                </c:pt>
                <c:pt idx="1">
                  <c:v>2014</c:v>
                </c:pt>
                <c:pt idx="2">
                  <c:v>2015</c:v>
                </c:pt>
                <c:pt idx="3">
                  <c:v>2016</c:v>
                </c:pt>
                <c:pt idx="4">
                  <c:v>2017</c:v>
                </c:pt>
                <c:pt idx="5">
                  <c:v>2018</c:v>
                </c:pt>
              </c:numCache>
            </c:numRef>
          </c:cat>
          <c:val>
            <c:numRef>
              <c:f>Sheet2!$G$5:$G$10</c:f>
              <c:numCache>
                <c:formatCode>General</c:formatCode>
                <c:ptCount val="6"/>
                <c:pt idx="1">
                  <c:v>3.7</c:v>
                </c:pt>
                <c:pt idx="2">
                  <c:v>5.3</c:v>
                </c:pt>
                <c:pt idx="3">
                  <c:v>5.0999999999999996</c:v>
                </c:pt>
                <c:pt idx="5">
                  <c:v>5.9</c:v>
                </c:pt>
              </c:numCache>
            </c:numRef>
          </c:val>
          <c:smooth val="0"/>
          <c:extLst>
            <c:ext xmlns:c16="http://schemas.microsoft.com/office/drawing/2014/chart" uri="{C3380CC4-5D6E-409C-BE32-E72D297353CC}">
              <c16:uniqueId val="{00000008-D40D-49FF-9E64-8069691769AA}"/>
            </c:ext>
          </c:extLst>
        </c:ser>
        <c:ser>
          <c:idx val="4"/>
          <c:order val="4"/>
          <c:tx>
            <c:strRef>
              <c:f>Sheet2!$H$4</c:f>
              <c:strCache>
                <c:ptCount val="1"/>
                <c:pt idx="0">
                  <c:v>WA(SPU) post hatch</c:v>
                </c:pt>
              </c:strCache>
            </c:strRef>
          </c:tx>
          <c:spPr>
            <a:ln w="22225" cap="rnd">
              <a:solidFill>
                <a:srgbClr val="00B050"/>
              </a:solidFill>
            </a:ln>
            <a:effectLst>
              <a:glow rad="139700">
                <a:schemeClr val="accent5">
                  <a:satMod val="175000"/>
                  <a:alpha val="14000"/>
                </a:schemeClr>
              </a:glow>
            </a:effectLst>
          </c:spPr>
          <c:marker>
            <c:symbol val="circle"/>
            <c:size val="4"/>
            <c:spPr>
              <a:solidFill>
                <a:srgbClr val="00B050"/>
              </a:solidFill>
              <a:ln>
                <a:noFill/>
              </a:ln>
              <a:effectLst>
                <a:glow rad="63500">
                  <a:schemeClr val="accent5">
                    <a:satMod val="175000"/>
                    <a:alpha val="25000"/>
                  </a:schemeClr>
                </a:glow>
              </a:effectLst>
            </c:spPr>
          </c:marker>
          <c:cat>
            <c:numRef>
              <c:f>Sheet2!$C$5:$C$10</c:f>
              <c:numCache>
                <c:formatCode>General</c:formatCode>
                <c:ptCount val="6"/>
                <c:pt idx="0">
                  <c:v>2013</c:v>
                </c:pt>
                <c:pt idx="1">
                  <c:v>2014</c:v>
                </c:pt>
                <c:pt idx="2">
                  <c:v>2015</c:v>
                </c:pt>
                <c:pt idx="3">
                  <c:v>2016</c:v>
                </c:pt>
                <c:pt idx="4">
                  <c:v>2017</c:v>
                </c:pt>
                <c:pt idx="5">
                  <c:v>2018</c:v>
                </c:pt>
              </c:numCache>
            </c:numRef>
          </c:cat>
          <c:val>
            <c:numRef>
              <c:f>Sheet2!$H$5:$H$10</c:f>
              <c:numCache>
                <c:formatCode>General</c:formatCode>
                <c:ptCount val="6"/>
                <c:pt idx="2">
                  <c:v>4.3</c:v>
                </c:pt>
                <c:pt idx="3">
                  <c:v>4.2</c:v>
                </c:pt>
                <c:pt idx="4">
                  <c:v>4</c:v>
                </c:pt>
                <c:pt idx="5">
                  <c:v>3.9</c:v>
                </c:pt>
              </c:numCache>
            </c:numRef>
          </c:val>
          <c:smooth val="0"/>
          <c:extLst>
            <c:ext xmlns:c16="http://schemas.microsoft.com/office/drawing/2014/chart" uri="{C3380CC4-5D6E-409C-BE32-E72D297353CC}">
              <c16:uniqueId val="{00000009-D40D-49FF-9E64-8069691769AA}"/>
            </c:ext>
          </c:extLst>
        </c:ser>
        <c:dLbls>
          <c:showLegendKey val="0"/>
          <c:showVal val="0"/>
          <c:showCatName val="0"/>
          <c:showSerName val="0"/>
          <c:showPercent val="0"/>
          <c:showBubbleSize val="0"/>
        </c:dLbls>
        <c:marker val="1"/>
        <c:smooth val="0"/>
        <c:axId val="451801576"/>
        <c:axId val="451802232"/>
      </c:lineChart>
      <c:catAx>
        <c:axId val="451801576"/>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451802232"/>
        <c:crosses val="autoZero"/>
        <c:auto val="1"/>
        <c:lblAlgn val="ctr"/>
        <c:lblOffset val="100"/>
        <c:noMultiLvlLbl val="0"/>
      </c:catAx>
      <c:valAx>
        <c:axId val="451802232"/>
        <c:scaling>
          <c:orientation val="minMax"/>
          <c:max val="6"/>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US"/>
                  <a:t>Ring width (um)</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451801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237</TotalTime>
  <Pages>2</Pages>
  <Words>352</Words>
  <Characters>2008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wunderlich</dc:creator>
  <cp:keywords/>
  <dc:description/>
  <cp:lastModifiedBy>michael wunderlich</cp:lastModifiedBy>
  <cp:revision>25</cp:revision>
  <cp:lastPrinted>2020-12-05T23:34:00Z</cp:lastPrinted>
  <dcterms:created xsi:type="dcterms:W3CDTF">2020-12-05T18:11:00Z</dcterms:created>
  <dcterms:modified xsi:type="dcterms:W3CDTF">2020-12-07T15:41:00Z</dcterms:modified>
</cp:coreProperties>
</file>