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after="220" w:lineRule="auto"/>
      </w:pPr>
      <w:r>
        <w:rPr>
          <w:rFonts w:eastAsia="Georgia" w:cs="Georgia" w:ascii="Georgia" w:hAnsi="Georgia"/>
        </w:rPr>
        <w:t xml:space="preserve">在识别出茶芽在图像中的位置（像素坐标 </w:t>
      </w:r>
      <m:oMath>
        <m:r>
          <m:rPr>
            <m:sty m:val="i"/>
          </m:rPr>
          <m:t>u</m:t>
        </m:r>
        <m:r>
          <m:rPr>
            <m:sty m:val="p"/>
          </m:rPr>
          <m:t>,</m:t>
        </m:r>
        <m:r>
          <m:rPr>
            <m:sty m:val="i"/>
          </m:rPr>
          <m:t>v</m:t>
        </m:r>
      </m:oMath>
      <w:r>
        <w:rPr>
          <w:rFonts w:eastAsia="Georgia" w:cs="Georgia" w:ascii="Georgia" w:hAnsi="Georgia"/>
        </w:rPr>
        <w:t xml:space="preserve"> ）后，代码的另一大核心功能是计算茶芽相对于无人机（或相机）的空间位置，这是后续引导机械臂采摘的基础。通过阅读代码中的坐标转换函数，我理解了其背后的针孔相机模型原理。代码首先获取识别框中心点的像素坐标，结合深度相机（或双目视觉）获取的深度信息 </w:t>
      </w:r>
      <m:oMath>
        <m:sSub>
          <m:sSubPr/>
          <m:e>
            <m:r>
              <m:rPr>
                <m:sty m:val="i"/>
              </m:rPr>
              <m:t>Z</m:t>
            </m:r>
          </m:e>
          <m:sub>
            <m:r>
              <m:rPr>
                <m:sty m:val="i"/>
              </m:rPr>
              <m:t>c</m:t>
            </m:r>
          </m:sub>
        </m:sSub>
      </m:oMath>
      <w:r>
        <w:rPr>
          <w:rFonts w:eastAsia="Georgia" w:cs="Georgia" w:ascii="Georgia" w:hAnsi="Georgia"/>
        </w:rPr>
        <w:t xml:space="preserve"> ，利用相机内参矩阵（Intrinsic Matrix，包含焦距 </w:t>
      </w:r>
      <m:oMath>
        <m:sSub>
          <m:sSubPr/>
          <m:e>
            <m:r>
              <m:rPr>
                <m:sty m:val="i"/>
              </m:rPr>
              <m:t>f</m:t>
            </m:r>
          </m:e>
          <m:sub>
            <m:r>
              <m:rPr>
                <m:sty m:val="i"/>
              </m:rPr>
              <m:t>x</m:t>
            </m:r>
          </m:sub>
        </m:sSub>
        <m:r>
          <m:rPr>
            <m:sty m:val="p"/>
          </m:rPr>
          <m:t>,</m:t>
        </m:r>
        <m:sSub>
          <m:sSubPr/>
          <m:e>
            <m:r>
              <m:rPr>
                <m:sty m:val="i"/>
              </m:rPr>
              <m:t>f</m:t>
            </m:r>
          </m:e>
          <m:sub>
            <m:r>
              <m:rPr>
                <m:sty m:val="i"/>
              </m:rPr>
              <m:t>y</m:t>
            </m:r>
          </m:sub>
        </m:sSub>
      </m:oMath>
      <w:r>
        <w:rPr>
          <w:rFonts w:eastAsia="Georgia" w:cs="Georgia" w:ascii="Georgia" w:hAnsi="Georgia"/>
        </w:rPr>
        <w:t xml:space="preserve"> 和光心 </w:t>
      </w:r>
      <m:oMath>
        <m:sSub>
          <m:sSubPr/>
          <m:e>
            <m:r>
              <m:rPr>
                <m:sty m:val="i"/>
              </m:rPr>
              <m:t>c</m:t>
            </m:r>
          </m:e>
          <m:sub>
            <m:r>
              <m:rPr>
                <m:sty m:val="i"/>
              </m:rPr>
              <m:t>x</m:t>
            </m:r>
          </m:sub>
        </m:sSub>
        <m:r>
          <m:rPr>
            <m:sty m:val="p"/>
          </m:rPr>
          <m:t>,</m:t>
        </m:r>
        <m:sSub>
          <m:sSubPr/>
          <m:e>
            <m:r>
              <m:rPr>
                <m:sty m:val="i"/>
              </m:rPr>
              <m:t>c</m:t>
            </m:r>
          </m:e>
          <m:sub>
            <m:r>
              <m:rPr>
                <m:sty m:val="i"/>
              </m:rPr>
              <m:t>y</m:t>
            </m:r>
          </m:sub>
        </m:sSub>
      </m:oMath>
      <w:r>
        <w:rPr>
          <w:rFonts w:eastAsia="Georgia" w:cs="Georgia" w:ascii="Georgia" w:hAnsi="Georgia"/>
        </w:rPr>
        <w:t xml:space="preserve"> ）进行反向投影。具体的计算逻辑为： </w:t>
      </w:r>
      <m:oMath>
        <m:r>
          <m:rPr>
            <m:sty m:val="i"/>
          </m:rPr>
          <m:t>X</m:t>
        </m:r>
        <m:r>
          <m:rPr>
            <m:sty m:val="p"/>
          </m:rPr>
          <m:t>=</m:t>
        </m:r>
        <m:d>
          <m:dPr>
            <m:begChr m:val="("/>
            <m:endChr m:val=")"/>
            <m:ctrlPr>
              <w:rPr>
                <w:rFonts w:ascii="Cambria Math" w:hAnsi="Cambria Math"/>
              </w:rPr>
            </m:ctrlPr>
          </m:dPr>
          <m:e>
            <m:r>
              <m:rPr>
                <m:sty m:val="i"/>
              </m:rPr>
              <m:t>u</m:t>
            </m:r>
            <m:r>
              <m:rPr>
                <m:sty m:val="p"/>
              </m:rPr>
              <m:t>−</m:t>
            </m:r>
            <m:sSub>
              <m:sSubPr/>
              <m:e>
                <m:r>
                  <m:rPr>
                    <m:sty m:val="i"/>
                  </m:rPr>
                  <m:t>c</m:t>
                </m:r>
              </m:e>
              <m:sub>
                <m:r>
                  <m:rPr>
                    <m:sty m:val="i"/>
                  </m:rPr>
                  <m:t>x</m:t>
                </m:r>
              </m:sub>
            </m:sSub>
          </m:e>
        </m:d>
        <m:r>
          <m:rPr>
            <m:sty m:val="p"/>
          </m:rPr>
          <m:t>⋅</m:t>
        </m:r>
        <m:sSub>
          <m:sSubPr/>
          <m:e>
            <m:r>
              <m:rPr>
                <m:sty m:val="i"/>
              </m:rPr>
              <m:t>Z</m:t>
            </m:r>
          </m:e>
          <m:sub>
            <m:r>
              <m:rPr>
                <m:sty m:val="i"/>
              </m:rPr>
              <m:t>c</m:t>
            </m:r>
          </m:sub>
        </m:sSub>
        <m:r>
          <m:rPr>
            <m:sty m:val="p"/>
          </m:rPr>
          <m:t>/</m:t>
        </m:r>
        <m:sSub>
          <m:sSubPr/>
          <m:e>
            <m:r>
              <m:rPr>
                <m:sty m:val="i"/>
              </m:rPr>
              <m:t>f</m:t>
            </m:r>
          </m:e>
          <m:sub>
            <m:r>
              <m:rPr>
                <m:sty m:val="i"/>
              </m:rPr>
              <m:t>x</m:t>
            </m:r>
          </m:sub>
        </m:sSub>
        <m:r>
          <m:rPr>
            <m:sty m:val="p"/>
          </m:rPr>
          <m:t>,</m:t>
        </m:r>
        <m:r>
          <m:rPr>
            <m:sty m:val="i"/>
          </m:rPr>
          <m:t>Y</m:t>
        </m:r>
        <m:r>
          <m:rPr>
            <m:sty m:val="p"/>
          </m:rPr>
          <m:t>=</m:t>
        </m:r>
        <m:d>
          <m:dPr>
            <m:begChr m:val="("/>
            <m:endChr m:val=")"/>
            <m:ctrlPr>
              <w:rPr>
                <w:rFonts w:ascii="Cambria Math" w:hAnsi="Cambria Math"/>
              </w:rPr>
            </m:ctrlPr>
          </m:dPr>
          <m:e>
            <m:r>
              <m:rPr>
                <m:sty m:val="i"/>
              </m:rPr>
              <m:t>v</m:t>
            </m:r>
            <m:r>
              <m:rPr>
                <m:sty m:val="p"/>
              </m:rPr>
              <m:t>−</m:t>
            </m:r>
            <m:sSub>
              <m:sSubPr/>
              <m:e>
                <m:r>
                  <m:rPr>
                    <m:sty m:val="i"/>
                  </m:rPr>
                  <m:t>c</m:t>
                </m:r>
              </m:e>
              <m:sub>
                <m:r>
                  <m:rPr>
                    <m:sty m:val="i"/>
                  </m:rPr>
                  <m:t>y</m:t>
                </m:r>
              </m:sub>
            </m:sSub>
          </m:e>
        </m:d>
        <m:r>
          <m:rPr>
            <m:sty m:val="p"/>
          </m:rPr>
          <m:t>⋅</m:t>
        </m:r>
        <m:sSub>
          <m:sSubPr/>
          <m:e>
            <m:r>
              <m:rPr>
                <m:sty m:val="i"/>
              </m:rPr>
              <m:t>Z</m:t>
            </m:r>
          </m:e>
          <m:sub>
            <m:r>
              <m:rPr>
                <m:sty m:val="i"/>
              </m:rPr>
              <m:t>c</m:t>
            </m:r>
          </m:sub>
        </m:sSub>
        <m:r>
          <m:rPr>
            <m:sty m:val="p"/>
          </m:rPr>
          <m:t>/</m:t>
        </m:r>
        <m:sSub>
          <m:sSubPr/>
          <m:e>
            <m:r>
              <m:rPr>
                <m:sty m:val="i"/>
              </m:rPr>
              <m:t>f</m:t>
            </m:r>
          </m:e>
          <m:sub>
            <m:r>
              <m:rPr>
                <m:sty m:val="i"/>
              </m:rPr>
              <m:t>y</m:t>
            </m:r>
          </m:sub>
        </m:sSub>
      </m:oMath>
      <w:r>
        <w:rPr>
          <w:rFonts w:eastAsia="Georgia" w:cs="Georgia" w:ascii="Georgia" w:hAnsi="Georgia"/>
        </w:rPr>
        <w:t xml:space="preserve"> 。这组公式将二维图像上的点还原为了三维空间中的物理坐标 </w:t>
      </w:r>
      <m:oMath>
        <m:r>
          <m:rPr>
            <m:sty m:val="p"/>
          </m:rPr>
          <m:t>(</m:t>
        </m:r>
        <m:r>
          <m:rPr>
            <m:sty m:val="i"/>
          </m:rPr>
          <m:t>X</m:t>
        </m:r>
        <m:r>
          <m:rPr>
            <m:sty m:val="p"/>
          </m:rPr>
          <m:t>,</m:t>
        </m:r>
        <m:r>
          <m:rPr>
            <m:sty m:val="i"/>
          </m:rPr>
          <m:t>Y</m:t>
        </m:r>
        <m:r>
          <m:rPr>
            <m:sty m:val="p"/>
          </m:rPr>
          <m:t>,</m:t>
        </m:r>
        <m:r>
          <m:rPr>
            <m:sty m:val="i"/>
          </m:rPr>
          <m:t>Z</m:t>
        </m:r>
        <m:r>
          <m:rPr>
            <m:sty m:val="p"/>
          </m:rPr>
          <m:t>)</m:t>
        </m:r>
      </m:oMath>
      <w:r>
        <w:rPr>
          <w:rFonts w:eastAsia="Georgia" w:cs="Georgia" w:ascii="Georgia" w:hAnsi="Georgia"/>
        </w:rPr>
        <w:t xml:space="preserve"> 。通过实际运行代码并打印输出日志，我直观地看到了当移动茶芽样本时，输出的 </w:t>
      </w:r>
      <m:oMath>
        <m:r>
          <m:rPr>
            <m:sty m:val="i"/>
          </m:rPr>
          <m:t>X</m:t>
        </m:r>
        <m:r>
          <m:rPr>
            <m:sty m:val="p"/>
          </m:rPr>
          <m:t>,</m:t>
        </m:r>
        <m:r>
          <m:rPr>
            <m:sty m:val="i"/>
          </m:rPr>
          <m:t>Y</m:t>
        </m:r>
        <m:r>
          <m:rPr>
            <m:sty m:val="p"/>
          </m:rPr>
          <m:t>,</m:t>
        </m:r>
        <m:r>
          <m:rPr>
            <m:sty m:val="i"/>
          </m:rPr>
          <m:t>Z</m:t>
        </m:r>
      </m:oMath>
      <w:r>
        <w:rPr>
          <w:rFonts w:eastAsia="Georgia" w:cs="Georgia" w:ascii="Georgia" w:hAnsi="Georgia"/>
        </w:rPr>
        <w:t xml:space="preserve"> 坐标数值随之线性变化的现象，验证了代码中相对位置解算模块的准确性。</w:t>
      </w:r>
    </w:p>
    <w:sectPr>
      <w:pgSz w:w="12240" w:h="15840" w:orient="portrait"/>
      <w:pgMar w:top="1440" w:right="1800" w:bottom="1440" w:left="1800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2"/>
        <w:szCs w:val="22"/>
        <w:lang w:val="zh-CN" w:eastAsia="zh-CN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2"/>
      <w:szCs w:val="22"/>
      <w:lang w:val="zh-CN" w:eastAsia="zh-CN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2025-11-21T07:23:41.583Z</dcterms:created>
  <dcterms:modified xsi:type="dcterms:W3CDTF">2025-11-21T07:23:41.583Z</dcterms:modified>
</cp:coreProperties>
</file>