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60" w:before="0"/>
        <w:jc w:val="center"/>
      </w:pPr>
      <w:r>
        <w:rPr>
          <w:rFonts w:ascii="Poppins" w:cs="Poppins" w:eastAsia="Poppins" w:hAnsi="Poppins"/>
          <w:b/>
          <w:bCs/>
          <w:color w:val="4827BE"/>
          <w:sz w:val="56"/>
          <w:szCs w:val="56"/>
        </w:rPr>
        <w:t xml:space="preserve">MELONN</w:t>
      </w:r>
    </w:p>
    <w:p>
      <w:pPr>
        <w:spacing w:after="120" w:before="0"/>
        <w:jc w:val="center"/>
      </w:pPr>
      <w:r>
        <w:rPr>
          <w:rFonts w:ascii="Poppins" w:cs="Poppins" w:eastAsia="Poppins" w:hAnsi="Poppins"/>
          <w:b/>
          <w:bCs/>
          <w:color w:val="1A1659"/>
          <w:sz w:val="40"/>
          <w:szCs w:val="40"/>
        </w:rPr>
        <w:t xml:space="preserve">Cohort Analysis App v2</w:t>
      </w:r>
    </w:p>
    <w:p>
      <w:pPr>
        <w:spacing w:after="480" w:before="0"/>
        <w:jc w:val="center"/>
      </w:pPr>
      <w:r>
        <w:rPr>
          <w:rFonts w:ascii="Poppins" w:cs="Poppins" w:eastAsia="Poppins" w:hAnsi="Poppins"/>
          <w:i/>
          <w:iCs/>
          <w:color w:val="6B6B9A"/>
          <w:sz w:val="28"/>
          <w:szCs w:val="28"/>
        </w:rPr>
        <w:t xml:space="preserve">Product Requirements Document</w:t>
      </w:r>
    </w:p>
    <w:p>
      <w:pPr>
        <w:pBdr>
          <w:bottom w:val="single" w:color="EDE9F8" w:sz="4" w:space="1"/>
        </w:pBdr>
        <w:spacing w:after="160" w:before="160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6B6B9A"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659"/>
                <w:sz w:val="20"/>
                <w:szCs w:val="20"/>
              </w:rPr>
              <w:t xml:space="preserve">2.0 — Draft</w:t>
            </w:r>
          </w:p>
        </w:tc>
      </w:tr>
      <w:tr>
        <w:tc>
          <w:tcPr>
            <w:tcW w:type="dxa" w:w="3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6B6B9A"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659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3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6B6B9A"/>
                <w:sz w:val="20"/>
                <w:szCs w:val="20"/>
              </w:rPr>
              <w:t xml:space="preserve">Equipo</w:t>
            </w:r>
          </w:p>
        </w:tc>
        <w:tc>
          <w:tcPr>
            <w:tcW w:type="dxa" w:w="6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659"/>
                <w:sz w:val="20"/>
                <w:szCs w:val="20"/>
              </w:rPr>
              <w:t xml:space="preserve">Revenue Ops · Finance · Desarrollo</w:t>
            </w:r>
          </w:p>
        </w:tc>
      </w:tr>
      <w:tr>
        <w:tc>
          <w:tcPr>
            <w:tcW w:type="dxa" w:w="3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6B6B9A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1A1659"/>
                <w:sz w:val="20"/>
                <w:szCs w:val="20"/>
              </w:rPr>
              <w:t xml:space="preserve">Dash (Plotly) + Python + Amazon Redshift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1. Visión General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La app de Cohortes v2 reemplaza la herramienta React/Firebase existente (v4) con una aplicación Dash (Plotly) conectada directamente a Amazon Redshift. El objetivo es ofrecer a Revenue Ops y Finance un análisis en tiempo real de la retención de sellers — medida tanto en revenue (NRR / NDR) como en órdenes (NOR / ODR) — sin necesidad de cargar archivos Excel manualmente.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La versión 1 validó la metodología con datos del Excel. La v2 productiviza esa metodología sobre datos vivos de Redshift, heredando la identidad visual de Melonn del SG&amp;A Control y extendiendo las capacidades con filtros adicionales y la integración del forecast.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1.1 Objetivos de Negocio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Calcular y visualizar NDR y NOR por cohorte con datos de Redshift en tiempo real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Medir la retención de revenue desde M0 hasta M24+ para sellers colombianos y mexicanos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Identificar cohortes de alto y bajo valor para informar decisiones de Revenue Ops y Finance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Integrar datos reales e histórico en una sola vista continua (Feb 2021 → presente)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Preparar la base para incorporar el Rolling Forecast de órdenes hasta Dic 2026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1.2 Usuarios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8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Necesidad principal</w:t>
            </w:r>
          </w:p>
        </w:tc>
        <w:tc>
          <w:tcPr>
            <w:tcW w:type="dxa" w:w="358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Métricas clave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Finance</w:t>
            </w:r>
          </w:p>
        </w:tc>
        <w:tc>
          <w:tcPr>
            <w:tcW w:type="dxa" w:w="358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total por cohorte, NNR para modelo financiero</w:t>
            </w:r>
          </w:p>
        </w:tc>
        <w:tc>
          <w:tcPr>
            <w:tcW w:type="dxa" w:w="358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NNR, NRR, NDR, FX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358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Retención en órdenes, curvas de vida por cohorte</w:t>
            </w:r>
          </w:p>
        </w:tc>
        <w:tc>
          <w:tcPr>
            <w:tcW w:type="dxa" w:w="358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NOR, ODR, M13, M25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CEO / Junta</w:t>
            </w:r>
          </w:p>
        </w:tc>
        <w:tc>
          <w:tcPr>
            <w:tcW w:type="dxa" w:w="358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KPIs consolidados para informes trimestrales</w:t>
            </w:r>
          </w:p>
        </w:tc>
        <w:tc>
          <w:tcPr>
            <w:tcW w:type="dxa" w:w="358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NOR, NNO, NNR por trimestre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2. Arquitectura de Datos</w:t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2.1 Fuentes de Datos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El modelo combina dos fuentes de revenue mediante UNION ALL y una fuente única de órdenes: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Tabla Redshift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7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histórico</w:t>
            </w:r>
          </w:p>
        </w:tc>
        <w:tc>
          <w:tcPr>
            <w:tcW w:type="dxa" w:w="2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staging.finance.financial_planning_historical_revenue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Feb 2021 – Dic 2023</w:t>
            </w:r>
          </w:p>
        </w:tc>
        <w:tc>
          <w:tcPr>
            <w:tcW w:type="dxa" w:w="27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Cargado desde Excel. 63,862 rows.</w:t>
            </w:r>
          </w:p>
        </w:tc>
      </w:tr>
      <w:tr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Redshift</w:t>
            </w:r>
          </w:p>
        </w:tc>
        <w:tc>
          <w:tcPr>
            <w:tcW w:type="dxa" w:w="2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staging.profitability.* (Rentabilidad_master)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Ene 2024 – presente</w:t>
            </w:r>
          </w:p>
        </w:tc>
        <w:tc>
          <w:tcPr>
            <w:tcW w:type="dxa" w:w="27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Subquery embebido en 02_inputs_revenue.sql</w:t>
            </w:r>
          </w:p>
        </w:tc>
      </w:tr>
      <w:tr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Órdenes (completo)</w:t>
            </w:r>
          </w:p>
        </w:tc>
        <w:tc>
          <w:tcPr>
            <w:tcW w:type="dxa" w:w="2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staging.orbita.sell_order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Feb 2021 – presente</w:t>
            </w:r>
          </w:p>
        </w:tc>
        <w:tc>
          <w:tcPr>
            <w:tcW w:type="dxa" w:w="27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Historia completa. items_reservation_date via sell_order_log.</w:t>
            </w:r>
          </w:p>
        </w:tc>
      </w:tr>
      <w:tr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Maestro sellers</w:t>
            </w:r>
          </w:p>
        </w:tc>
        <w:tc>
          <w:tcPr>
            <w:tcW w:type="dxa" w:w="2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core.data_warehouse.dim_seller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Siempre</w:t>
            </w:r>
          </w:p>
        </w:tc>
        <w:tc>
          <w:tcPr>
            <w:tcW w:type="dxa" w:w="27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cohort, segment, country_id, churn_date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2.2 Queries SQL Validadas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2000"/>
      </w:tblGrid>
      <w:tr>
        <w:tc>
          <w:tcPr>
            <w:tcW w:type="dxa" w:w="3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Cohortes/queries/01_inputs_orders.sql</w:t>
            </w:r>
          </w:p>
        </w:tc>
        <w:tc>
          <w:tcPr>
            <w:tcW w:type="dxa" w:w="3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Órdenes por seller × mes con lifecycle_month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C97A"/>
                <w:sz w:val="20"/>
                <w:szCs w:val="20"/>
              </w:rPr>
              <w:t xml:space="preserve">✅ Validada (D3)</w:t>
            </w:r>
          </w:p>
        </w:tc>
      </w:tr>
      <w:tr>
        <w:tc>
          <w:tcPr>
            <w:tcW w:type="dxa" w:w="3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Cohortes/queries/02_inputs_revenue.sql</w:t>
            </w:r>
          </w:p>
        </w:tc>
        <w:tc>
          <w:tcPr>
            <w:tcW w:type="dxa" w:w="3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UNION ALL: histórico + Redshift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C97A"/>
                <w:sz w:val="20"/>
                <w:szCs w:val="20"/>
              </w:rPr>
              <w:t xml:space="preserve">✅ Validada (D4)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2.3 Convenciones Clave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Cohorte = mes de primera facturación del seller (DATE_TRUNC de cohort en dim_seller)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lifecycle_month: M1 = mes de entrada, calculado como DATEDIFF(month, cohort_month, order_month) + 1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Fuente de órdenes: staging.orbita.sell_order — NO usar fact_sell_order (historia solo desde Ene 2023)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items_reservation_date: MIN(action_date) de sell_order_log WHERE sell_order_state_id = 2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Revenue: D2C/B2B con prefijos d2c_ir_ / b2b_ir_; sin filtro usar ir_ (total)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Credit notes: excluidas por default (cubren múltiples meses → ruido)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FX defaults: COP/USD = 3800 · MXN/USD = 17.5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3. Panel de Filtros Globales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Todos los filtros aplican globalmente a las 4 vistas. El sidebar es fijo (igual al SG&amp;A Control).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País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COL · MEX · Consolidado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Consolidado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Consolidado = suma COL + MEX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Segmentos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Tiny · Starter · Plus · Top · Enterprise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Starter, Plus, Top, Enterprise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Tiny excluido por default desde Q1 2024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Churn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Incluir / Excluir churned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Incluir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Basado en churn_date IS NOT NULL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Outliers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Remover / No remover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No remover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Flag en dim_seller o tabla auxiliar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Tipo de orden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D2C · B2B · Ambos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Ambos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fulfillment_type.order_type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Corte Base/Nuevos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Picker de mes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Dic 2024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Separa NRR/NOR vs NDR/ODR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FX COP/USD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Input numérico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3800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Para vista Consolidado en USD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FX MXN/USD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Input numérico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17.5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Para vista Consolidado en USD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Factor estacionalidad NNR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Input numérico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Ajusta NNR si seller entró en temporada alta</w:t>
            </w:r>
          </w:p>
        </w:tc>
      </w:tr>
      <w:tr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Tipo de cohorte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Original / Ajustada</w:t>
            </w:r>
          </w:p>
        </w:tc>
        <w:tc>
          <w:tcPr>
            <w:tcW w:type="dxa" w:w="2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Original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Ajustada aún no definida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4. Vistas de la Aplicación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La app tiene 4 tabs principales en el sidebar. Cada tab tiene su propio panel de contenido.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4.1 Vista: Inputs (Datos Reales)</w:t>
      </w:r>
    </w:p>
    <w:p>
      <w:pPr>
        <w:spacing w:after="80" w:before="0"/>
      </w:pPr>
      <w:r>
        <w:rPr>
          <w:rFonts w:ascii="Poppins" w:cs="Poppins" w:eastAsia="Poppins" w:hAnsi="Poppins"/>
          <w:i/>
          <w:iCs/>
          <w:color w:val="6B6B9A"/>
          <w:sz w:val="20"/>
          <w:szCs w:val="20"/>
        </w:rPr>
        <w:t xml:space="preserve">Equivalente al tab "Inputs Reales" del código v4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Propósito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Mostrar los datos brutos de revenue y órdenes por seller agrupados por cohorte y mes calendario. Es la fuente de verdad antes de aplicar suavizados o cálculos de retención.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Tabla triangular: filas = cohortes, columnas = meses calendario (Feb 2021 → presente)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Selector de métrica: Revenue (MM COP/MXN/USD) u Órdenes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Fila de totales mensuales al pie (suma de todas las cohortes activas en ese mes)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Fila de NNR y NNO al pie (avg M2+M3 por cohorte, suavizado por estacionalidad)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Scroll horizontal sincronizado entre header de fechas y tabla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Celdas en 0 muestran "-" para claridad visual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Diseño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Header fijo con fechas calendario (sticky horizontal y vertical)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Primera columna fija: nombre de cohorte + segmento + count de sellers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Resaltado especial en columnas M13 y M25 (lifecycle) con borde verde #00C97A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Color de fondo proporcional al valor de la celda (heatmap suave)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4.2 Vista: NOR / NRR (Retención Base)</w:t>
      </w:r>
    </w:p>
    <w:p>
      <w:pPr>
        <w:spacing w:after="80" w:before="0"/>
      </w:pPr>
      <w:r>
        <w:rPr>
          <w:rFonts w:ascii="Poppins" w:cs="Poppins" w:eastAsia="Poppins" w:hAnsi="Poppins"/>
          <w:i/>
          <w:iCs/>
          <w:color w:val="6B6B9A"/>
          <w:sz w:val="20"/>
          <w:szCs w:val="20"/>
        </w:rPr>
        <w:t xml:space="preserve">Aplica a sellers con entrada ≤ corte Base (default: Dic 2024)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Propósito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Visualizar la retención YoY de la base de sellers maduros. NOR es la métrica preferida por ser limpia de efectos de precio; NRR como complemento que incluye revenue.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Sub-panel A: Tabla de datos suavizados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Misma estructura que Inputs, pero con suavizado de 3 períodos aplicado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Solo incluye cohortes con ≥ 13 meses de historia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Selector para ver datos brutos vs suavizados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Sub-panel B: Gráfico de línea NOR mensual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Eje X: mes calendario · Eje Y: ratio NOR (%)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Línea principal: NOR mensual calculado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Banda de referencia: 100% (línea horizontal punteada)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Tooltip: num, den, ratio al hacer hover sobre un punto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NRR como segunda línea (misma escala) para comparación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Panel de KPIs — NOR/NRR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NOR LTM (últimos 12 meses): promedio o último valor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NRR LTM: idem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Tendencia: flecha ↑↓ vs trimestre anterior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Fórmula NOR</w:t>
      </w:r>
    </w:p>
    <w:p>
      <w:pPr>
        <w:shd w:fill="F2F0FC" w:val="clear"/>
        <w:spacing w:after="80" w:before="80"/>
      </w:pPr>
      <w:r>
        <w:rPr>
          <w:rFonts w:ascii="Courier New" w:cs="Courier New" w:eastAsia="Courier New" w:hAnsi="Courier New"/>
          <w:color w:val="1A1659"/>
          <w:sz w:val="20"/>
          <w:szCs w:val="20"/>
        </w:rPr>
        <w:t xml:space="preserve">NOR(mes_t) = Σ Orders_smooth(cohortes edad &gt; 12m, en mes_t)</w:t>
      </w:r>
      <w:r>
        <w:rPr>
          <w:rFonts w:ascii="Courier New" w:cs="Courier New" w:eastAsia="Courier New" w:hAnsi="Courier New"/>
          <w:color w:val="1A1659"/>
          <w:sz w:val="20"/>
          <w:szCs w:val="20"/>
        </w:rPr>
        <w:br/>
        <w:t xml:space="preserve">              / Σ Orders_smooth(cohortes edad &gt; 12m, en mes_t − 12)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4.3 Vista: NDR / ODR (Retención por Cohorte)</w:t>
      </w:r>
    </w:p>
    <w:p>
      <w:pPr>
        <w:spacing w:after="80" w:before="0"/>
      </w:pPr>
      <w:r>
        <w:rPr>
          <w:rFonts w:ascii="Poppins" w:cs="Poppins" w:eastAsia="Poppins" w:hAnsi="Poppins"/>
          <w:i/>
          <w:iCs/>
          <w:color w:val="6B6B9A"/>
          <w:sz w:val="20"/>
          <w:szCs w:val="20"/>
        </w:rPr>
        <w:t xml:space="preserve">Aplica a sellers con entrada ≥ Ene 2025 (post-corte Base)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Propósito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Curva atemporal de cuánto crece una cohorte respecto a su M0. Permite comparar la maduración de cohortes de distintos meses en el mismo eje de tiempo (M0=100%).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Tabla heatmap principal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Filas: cohortes (ej. 2025-01, 2025-02, ...) — nuevas primero (orden descendente)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Columnas: M0, M1, M2, ... M24 (lifecycle months)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M0 siempre = 100%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Celdas vacías si aún no hay datos (cohorte reciente)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Colores: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≥ 100%: verde #00C97A con opacidad proporcional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80%–99%: verde suave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&lt; 80%: lila suave #4827BE con opacidad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Columnas M13 y M25: borde izquierdo grueso verde #00C97A + badge destacado en header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Filas de promedios (pie de tabla)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Promedio simple: media aritmética de cohortes con dato en Mn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Promedio ponderado: ponderado por NNR de cada cohorte ← principal para informes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Selector de métrica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ODR (Órdenes) — default y preferido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NDR (Revenue) — como complemento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Panel lateral: curva de retención promedio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Gráfico de línea: eje X = lifecycle month (M0–M24), eje Y = retención (%)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Línea de promedio ponderado + banda de confianza (percentiles 25–75)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Líneas individuales por cohorte (tenues, color por año de entrada)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Marcadores verticales en M13 y M25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Fórmula ODR</w:t>
      </w:r>
    </w:p>
    <w:p>
      <w:pPr>
        <w:shd w:fill="F2F0FC" w:val="clear"/>
        <w:spacing w:after="80" w:before="80"/>
      </w:pPr>
      <w:r>
        <w:rPr>
          <w:rFonts w:ascii="Courier New" w:cs="Courier New" w:eastAsia="Courier New" w:hAnsi="Courier New"/>
          <w:color w:val="1A1659"/>
          <w:sz w:val="20"/>
          <w:szCs w:val="20"/>
        </w:rPr>
        <w:t xml:space="preserve">ODR(cohorte, Mn) = Orders_smooth(cohorte, Mn) / Orders_smooth(cohorte, M0)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4.4 Vista: NNR / NNO (Revenue y Órdenes Nuevas)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Propósito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Medir el "tamaño" de los sellers nuevos que entran cada mes. Insumo directo del modelo financiero: cuánto revenue / cuántas órdenes nuevas ingresaron al sistema mensualmente.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Gráfico de barras mensual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Eje X: mes de entrada de la cohorte · Eje Y: NNR en MM COP o NNO en órdenes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Una barra por cohorte (= mes de primera facturación)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Desglose por segmento mediante stack o color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Selector de métrica: NNR (revenue) vs NNO (órdenes)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Panel de KPIs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NNR trimestral actual vs trimestre anterior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NNO trimestral actual vs trimestre anterior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% variación YoY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Poppins" w:cs="Poppins" w:eastAsia="Poppins" w:hAnsi="Poppins"/>
          <w:b/>
          <w:bCs/>
          <w:color w:val="1A1659"/>
          <w:sz w:val="22"/>
          <w:szCs w:val="22"/>
        </w:rPr>
        <w:t xml:space="preserve">Fórmula NNR</w:t>
      </w:r>
    </w:p>
    <w:p>
      <w:pPr>
        <w:shd w:fill="F2F0FC" w:val="clear"/>
        <w:spacing w:after="80" w:before="80"/>
      </w:pPr>
      <w:r>
        <w:rPr>
          <w:rFonts w:ascii="Courier New" w:cs="Courier New" w:eastAsia="Courier New" w:hAnsi="Courier New"/>
          <w:color w:val="1A1659"/>
          <w:sz w:val="20"/>
          <w:szCs w:val="20"/>
        </w:rPr>
        <w:t xml:space="preserve">NNR(cohorte) = avg( Revenue_smooth(M2) + Revenue_smooth(M3) ) × factor_estacionalidad</w:t>
      </w:r>
    </w:p>
    <w:p>
      <w:pPr>
        <w:spacing w:after="80" w:before="0"/>
      </w:pPr>
      <w:r>
        <w:rPr>
          <w:rFonts w:ascii="Poppins" w:cs="Poppins" w:eastAsia="Poppins" w:hAnsi="Poppins"/>
          <w:i/>
          <w:iCs/>
          <w:color w:val="6B6B9A"/>
          <w:sz w:val="20"/>
          <w:szCs w:val="20"/>
        </w:rPr>
        <w:t xml:space="preserve">M0 = mes de entrada. M2 y M3 son los primeros meses completos estables. Factor de estacionalidad configurable en el panel de filtros.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5. Glosario de Métricas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960"/>
        <w:gridCol w:w="2600"/>
      </w:tblGrid>
      <w:tr>
        <w:tc>
          <w:tcPr>
            <w:tcW w:type="dxa" w:w="1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Fórmula (resumen)</w:t>
            </w:r>
          </w:p>
        </w:tc>
        <w:tc>
          <w:tcPr>
            <w:tcW w:type="dxa" w:w="2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1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NNR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Net New Revenue</w:t>
            </w:r>
          </w:p>
        </w:tc>
        <w:tc>
          <w:tcPr>
            <w:tcW w:type="dxa" w:w="2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avg(Rev M2 + Rev M3) × factor_estacionalidad</w:t>
            </w:r>
          </w:p>
        </w:tc>
        <w:tc>
          <w:tcPr>
            <w:tcW w:type="dxa" w:w="2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Sellers nuevos (post-corte)</w:t>
            </w:r>
          </w:p>
        </w:tc>
      </w:tr>
      <w:tr>
        <w:tc>
          <w:tcPr>
            <w:tcW w:type="dxa" w:w="1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NNO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Net New Orders</w:t>
            </w:r>
          </w:p>
        </w:tc>
        <w:tc>
          <w:tcPr>
            <w:tcW w:type="dxa" w:w="2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avg(Orders M2 + Orders M3)</w:t>
            </w:r>
          </w:p>
        </w:tc>
        <w:tc>
          <w:tcPr>
            <w:tcW w:type="dxa" w:w="2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Sellers nuevos (post-corte)</w:t>
            </w:r>
          </w:p>
        </w:tc>
      </w:tr>
      <w:tr>
        <w:tc>
          <w:tcPr>
            <w:tcW w:type="dxa" w:w="1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NRR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2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Σ Rev(cohortes maduras, t) / Σ Rev(t-12)</w:t>
            </w:r>
          </w:p>
        </w:tc>
        <w:tc>
          <w:tcPr>
            <w:tcW w:type="dxa" w:w="2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Base (pre-corte, YoY)</w:t>
            </w:r>
          </w:p>
        </w:tc>
      </w:tr>
      <w:tr>
        <w:tc>
          <w:tcPr>
            <w:tcW w:type="dxa" w:w="1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NOR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Net Order Retention</w:t>
            </w:r>
          </w:p>
        </w:tc>
        <w:tc>
          <w:tcPr>
            <w:tcW w:type="dxa" w:w="2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Σ Orders_smooth(maduros, t) / Σ Orders_smooth(t-12)</w:t>
            </w:r>
          </w:p>
        </w:tc>
        <w:tc>
          <w:tcPr>
            <w:tcW w:type="dxa" w:w="2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Base (pre-corte, YoY) — preferida</w:t>
            </w:r>
          </w:p>
        </w:tc>
      </w:tr>
      <w:tr>
        <w:tc>
          <w:tcPr>
            <w:tcW w:type="dxa" w:w="1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NDR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Net Dollar Retention</w:t>
            </w:r>
          </w:p>
        </w:tc>
        <w:tc>
          <w:tcPr>
            <w:tcW w:type="dxa" w:w="2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Rev(cohorte, Mn) / Rev(cohorte, M0)</w:t>
            </w:r>
          </w:p>
        </w:tc>
        <w:tc>
          <w:tcPr>
            <w:tcW w:type="dxa" w:w="2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Cohortes post-corte, M0–M24</w:t>
            </w:r>
          </w:p>
        </w:tc>
      </w:tr>
      <w:tr>
        <w:tc>
          <w:tcPr>
            <w:tcW w:type="dxa" w:w="1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ODR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Order Dollar Retention</w:t>
            </w:r>
          </w:p>
        </w:tc>
        <w:tc>
          <w:tcPr>
            <w:tcW w:type="dxa" w:w="2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Orders(cohorte, Mn) / Orders(cohorte, M0)</w:t>
            </w:r>
          </w:p>
        </w:tc>
        <w:tc>
          <w:tcPr>
            <w:tcW w:type="dxa" w:w="2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Cohortes post-corte — preferida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5.1 Suavizado de 3 Períodos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NOR, NDR y ODR aplican suavizado antes del cálculo. El suavizado evita distorsiones por picos estacionales o meses sin actividad.</w:t>
      </w:r>
    </w:p>
    <w:p>
      <w:pPr>
        <w:spacing w:after="0" w:before="80"/>
      </w:pPr>
      <w:r>
        <w:t xml:space="preserve"/>
      </w:r>
    </w:p>
    <w:p>
      <w:pPr>
        <w:shd w:fill="F2F0FC" w:val="clear"/>
        <w:spacing w:after="80" w:before="80"/>
      </w:pPr>
      <w:r>
        <w:rPr>
          <w:rFonts w:ascii="Courier New" w:cs="Courier New" w:eastAsia="Courier New" w:hAnsi="Courier New"/>
          <w:color w:val="1A1659"/>
          <w:sz w:val="20"/>
          <w:szCs w:val="20"/>
        </w:rPr>
        <w:t xml:space="preserve">smooth(seller, mes_i) = avg( values[mes_{i-2}], values[mes_{i-1}], values[mes_i] )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  -- solo periodos con valor &gt; 0 se incluyen en el promedio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Para periodos antes del mes de entrada de la cohorte, el valor es 0 (no se incluyen en el promedio).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5.2 Corte Base vs Nuevos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1960"/>
      </w:tblGrid>
      <w:tr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Criterio (default)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Métricas aplicables</w:t>
            </w:r>
          </w:p>
        </w:tc>
        <w:tc>
          <w:tcPr>
            <w:tcW w:type="dxa" w:w="1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cohort_month ≤ Dic 2024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NRR, NOR</w:t>
            </w:r>
          </w:p>
        </w:tc>
        <w:tc>
          <w:tcPr>
            <w:tcW w:type="dxa" w:w="1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Clientes maduros (análisis YoY)</w:t>
            </w:r>
          </w:p>
        </w:tc>
      </w:tr>
      <w:tr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Nuevos</w:t>
            </w:r>
          </w:p>
        </w:tc>
        <w:tc>
          <w:tcPr>
            <w:tcW w:type="dxa" w:w="3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cohort_month ≥ Ene 2025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NDR, ODR, NNR, NNO</w:t>
            </w:r>
          </w:p>
        </w:tc>
        <w:tc>
          <w:tcPr>
            <w:tcW w:type="dxa" w:w="1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Primeros 24 meses de vida</w:t>
            </w:r>
          </w:p>
        </w:tc>
      </w:tr>
    </w:tbl>
    <w:p>
      <w:pPr>
        <w:spacing w:after="80" w:before="0"/>
      </w:pPr>
      <w:r>
        <w:rPr>
          <w:rFonts w:ascii="Poppins" w:cs="Poppins" w:eastAsia="Poppins" w:hAnsi="Poppins"/>
          <w:i/>
          <w:iCs/>
          <w:color w:val="6B6B9A"/>
          <w:sz w:val="20"/>
          <w:szCs w:val="20"/>
        </w:rPr>
        <w:t xml:space="preserve">El corte es configurable por el usuario. En 2027 se esperaría mover a Dic 2025.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6. Stack Técnico y Arquitectura de la App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6.1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Dash (Plotly) + Python 3.11</w:t>
            </w:r>
          </w:p>
        </w:tc>
        <w:tc>
          <w:tcPr>
            <w:tcW w:type="dxa" w:w="3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Mismo stack que SG&amp;A Control. Entry point: python run.py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Amazon Redshift</w:t>
            </w:r>
          </w:p>
        </w:tc>
        <w:tc>
          <w:tcPr>
            <w:tcW w:type="dxa" w:w="3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Credenciales via .env. Reutilizar connection.py del SG&amp;A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Capa de datos</w:t>
            </w:r>
          </w:p>
        </w:tc>
        <w:tc>
          <w:tcPr>
            <w:tcW w:type="dxa" w:w="3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Python (psycopg2 / SQLAlchemy)</w:t>
            </w:r>
          </w:p>
        </w:tc>
        <w:tc>
          <w:tcPr>
            <w:tcW w:type="dxa" w:w="3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data_loader.py por vista. Cache con @lru_cache o dcc.Store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3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Plotly Graph Objects + Dash DataTable</w:t>
            </w:r>
          </w:p>
        </w:tc>
        <w:tc>
          <w:tcPr>
            <w:tcW w:type="dxa" w:w="3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Heatmaps, líneas, barras. Colores Melonn.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Estilos</w:t>
            </w:r>
          </w:p>
        </w:tc>
        <w:tc>
          <w:tcPr>
            <w:tcW w:type="dxa" w:w="3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CSS inline + assets/style.css</w:t>
            </w:r>
          </w:p>
        </w:tc>
        <w:tc>
          <w:tcPr>
            <w:tcW w:type="dxa" w:w="3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Heredar de SG&amp;A Control. Paleta Melonn. Poppins.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6.2 Estructura de Carpetas</w:t>
      </w:r>
    </w:p>
    <w:p>
      <w:pPr>
        <w:shd w:fill="F2F0FC" w:val="clear"/>
        <w:spacing w:after="80" w:before="80"/>
      </w:pPr>
      <w:r>
        <w:rPr>
          <w:rFonts w:ascii="Courier New" w:cs="Courier New" w:eastAsia="Courier New" w:hAnsi="Courier New"/>
          <w:color w:val="1A1659"/>
          <w:sz w:val="20"/>
          <w:szCs w:val="20"/>
        </w:rPr>
        <w:t xml:space="preserve">cohortes/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├── run.py                    ← Entry point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├── app/                      ← Dash app init + layout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├── callbacks/                ← Callbacks por vista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│   ├── cb_inputs.py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│   ├── cb_nor.py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│   ├── cb_ndr.py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│   └── cb_nnr.py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├── components/               ← Sidebar, KPI cards, filtros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├── data/                     ← data_loader.py + connection.py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├── queries/                  ← 01_inputs_orders.sql, 02_inputs_revenue.sql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├── assets/                   ← style.css, logo</w:t>
      </w:r>
      <w:r>
        <w:rPr>
          <w:rFonts w:ascii="Courier New" w:cs="Courier New" w:eastAsia="Courier New" w:hAnsi="Courier New"/>
          <w:color w:val="6B6B9A"/>
          <w:sz w:val="20"/>
          <w:szCs w:val="20"/>
        </w:rPr>
        <w:br/>
        <w:t xml:space="preserve">└── Cohortes/                 ← Docs, queries originales, outputs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6.3 Flujo de Datos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Usuario ajusta filtros en el sidebar (país, segmento, churn, FX, corte Base)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Dash callback detecta cambio y llama data_loader con los parámetros del filtro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data_loader ejecuta 01_inputs_orders.sql y 02_inputs_revenue.sql contra Redshift con parámetros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Python aplica lógica de métricas: suavizado → NOR / NDR / ODR / NNR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Dash renderiza tablas heatmap y gráficos con los datos calculados</w:t>
      </w:r>
    </w:p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Poppins" w:cs="Poppins" w:eastAsia="Poppins" w:hAnsi="Poppins"/>
          <w:i/>
          <w:iCs/>
          <w:color w:val="6B6B9A"/>
          <w:sz w:val="20"/>
          <w:szCs w:val="20"/>
        </w:rPr>
        <w:t xml:space="preserve">Cache: los datos crudos se cachean por combinación de parámetros (TTL configurable, default 30 min) para minimizar queries a Redshift.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7. Identidad Visual Melonn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7.1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8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Page BG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#F8F7FF</w:t>
            </w:r>
          </w:p>
        </w:tc>
        <w:tc>
          <w:tcPr>
            <w:tcW w:type="dxa" w:w="4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Fondo de la app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20"/>
                <w:szCs w:val="20"/>
              </w:rPr>
              <w:t xml:space="preserve">Deep Blue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#1A1659</w:t>
            </w:r>
          </w:p>
        </w:tc>
        <w:tc>
          <w:tcPr>
            <w:tcW w:type="dxa" w:w="4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Header, sidebar, texto primario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4827B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#4827BE</w:t>
            </w:r>
          </w:p>
        </w:tc>
        <w:tc>
          <w:tcPr>
            <w:tcW w:type="dxa" w:w="4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Títulos, acentos, nav activo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9684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20"/>
                <w:szCs w:val="20"/>
              </w:rPr>
              <w:t xml:space="preserve">Soft Lilac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#9684E1</w:t>
            </w:r>
          </w:p>
        </w:tc>
        <w:tc>
          <w:tcPr>
            <w:tcW w:type="dxa" w:w="4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Bordes suaves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00C9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20"/>
                <w:szCs w:val="20"/>
              </w:rPr>
              <w:t xml:space="preserve">Verde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#00C97A</w:t>
            </w:r>
          </w:p>
        </w:tc>
        <w:tc>
          <w:tcPr>
            <w:tcW w:type="dxa" w:w="4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Retención alta, M13/M25, métricas favorables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820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20"/>
                <w:szCs w:val="20"/>
              </w:rPr>
              <w:t xml:space="preserve">Naranja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#FF820F</w:t>
            </w:r>
          </w:p>
        </w:tc>
        <w:tc>
          <w:tcPr>
            <w:tcW w:type="dxa" w:w="4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Churn, métricas desfavorables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6B6B9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20"/>
                <w:szCs w:val="20"/>
              </w:rPr>
              <w:t xml:space="preserve">Muted</w:t>
            </w:r>
          </w:p>
        </w:tc>
        <w:tc>
          <w:tcPr>
            <w:tcW w:type="dxa" w:w="2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#6B6B9A</w:t>
            </w:r>
          </w:p>
        </w:tc>
        <w:tc>
          <w:tcPr>
            <w:tcW w:type="dxa" w:w="49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Texto secundario, labels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7.2 Tipografía y Componentes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Fuente: Poppins — Bold 700 para títulos, SemiBold 600 para labels, Regular 400 para texto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Solo Light Mode — sin dark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Cards: border-radius 12px · box-shadow 0 2px 16px rgba(72,39,190,0.08)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Logo: https://i.postimg.cc/bNP45qQ2/MELONN-LOGO-Oscuro.png · sobre fondo blanco en header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Sidebar fijo de 240px, igual al SG&amp;A Control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7.3 Heatmap de Cohortes — Escala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5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≥ 100%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00C9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FFFFFF"/>
                <w:sz w:val="20"/>
                <w:szCs w:val="20"/>
              </w:rPr>
              <w:t xml:space="preserve">Verde #00C97A, opacidad 20%</w:t>
            </w:r>
          </w:p>
        </w:tc>
        <w:tc>
          <w:tcPr>
            <w:tcW w:type="dxa" w:w="45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Cohorte creció vs M0 — expansión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80% – 99%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80E8B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Verde suave, opacidad 15%</w:t>
            </w:r>
          </w:p>
        </w:tc>
        <w:tc>
          <w:tcPr>
            <w:tcW w:type="dxa" w:w="45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Retención buena — estable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&lt; 80%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Lila #4827BE, opacidad 5%</w:t>
            </w:r>
          </w:p>
        </w:tc>
        <w:tc>
          <w:tcPr>
            <w:tcW w:type="dxa" w:w="45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Churn significativo</w:t>
            </w:r>
          </w:p>
        </w:tc>
      </w:tr>
      <w:tr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Sin dato</w:t>
            </w:r>
          </w:p>
        </w:tc>
        <w:tc>
          <w:tcPr>
            <w:tcW w:type="dxa" w:w="24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Transparente / "-"</w:t>
            </w:r>
          </w:p>
        </w:tc>
        <w:tc>
          <w:tcPr>
            <w:tcW w:type="dxa" w:w="45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Cohorte aún sin datos para ese lifecycle month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8. Roadmap de Implementación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4200"/>
        <w:gridCol w:w="2240"/>
      </w:tblGrid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Fundación de datos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Queries 01 y 02 validadas. Tabla histórica revenue cargada.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C9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PRD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Este documento.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C97A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Scaffold de la app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Estructura de carpetas, layout Dash, sidebar, filtros conectados a Redshift.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🔴 Pendiente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Vista Inputs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Tabla triangular real con heatmap, scroll sincronizado, KPIs NNR/NNO.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🔴 Pendiente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Vista NOR / NRR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Tabla suavizada + gráfico de línea + KPI panel.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🔴 Pendiente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Vista NDR / ODR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Heatmap de cohortes (M0–M24), promedios, curva de retención.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🔴 Pendiente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Vista NNR / NNO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Gráfico de barras mensual por segmento + KPIs trimstrales.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🔴 Pendiente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Factor estacionalidad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Definición del factor y su integración en NNR.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🔴 Pendiente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Rolling Forecast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Integración de datos reales + forecast en NOR y ODR.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6B6B9A"/>
                <w:sz w:val="20"/>
                <w:szCs w:val="20"/>
              </w:rPr>
              <w:t xml:space="preserve">⏳ Futuro</w:t>
            </w:r>
          </w:p>
        </w:tc>
      </w:tr>
      <w:tr>
        <w:tc>
          <w:tcPr>
            <w:tcW w:type="dxa" w:w="72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Deploy</w:t>
            </w:r>
          </w:p>
        </w:tc>
        <w:tc>
          <w:tcPr>
            <w:tcW w:type="dxa" w:w="42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Deploy en infraestructura Melonn. Acceso para todos los usuarios.</w:t>
            </w:r>
          </w:p>
        </w:tc>
        <w:tc>
          <w:tcPr>
            <w:tcW w:type="dxa" w:w="224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6B6B9A"/>
                <w:sz w:val="20"/>
                <w:szCs w:val="20"/>
              </w:rPr>
              <w:t xml:space="preserve">⏳ Futuro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Poppins" w:cs="Poppins" w:eastAsia="Poppins" w:hAnsi="Poppins"/>
          <w:b/>
          <w:bCs/>
          <w:color w:val="4827BE"/>
          <w:sz w:val="26"/>
          <w:szCs w:val="26"/>
        </w:rPr>
        <w:t xml:space="preserve">8.1 Decisiones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4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Factor de estacionalidad NNR</w:t>
            </w:r>
          </w:p>
        </w:tc>
        <w:tc>
          <w:tcPr>
            <w:tcW w:type="dxa" w:w="5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Valor numérico para ajustar NNR cuando la cohorte entró en temporada alta (Oct-Dic). Necesita definición con Finance.</w:t>
            </w:r>
          </w:p>
        </w:tc>
      </w:tr>
      <w:tr>
        <w:tc>
          <w:tcPr>
            <w:tcW w:type="dxa" w:w="4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Excepción seller MEX</w:t>
            </w:r>
          </w:p>
        </w:tc>
        <w:tc>
          <w:tcPr>
            <w:tcW w:type="dxa" w:w="5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1 seller en MEX con corte Base diferente al default. Pendiente identificar seller_id y corte correcto.</w:t>
            </w:r>
          </w:p>
        </w:tc>
      </w:tr>
      <w:tr>
        <w:tc>
          <w:tcPr>
            <w:tcW w:type="dxa" w:w="4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Cohorte "Ajustada" vs "Original"</w:t>
            </w:r>
          </w:p>
        </w:tc>
        <w:tc>
          <w:tcPr>
            <w:tcW w:type="dxa" w:w="5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El filtro "Tipo de cohorte" está previsto pero aún no se ha definido qué es una cohorte "Ajustada" en este contexto.</w:t>
            </w:r>
          </w:p>
        </w:tc>
      </w:tr>
      <w:tr>
        <w:tc>
          <w:tcPr>
            <w:tcW w:type="dxa" w:w="40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TTL de caché Redshift</w:t>
            </w:r>
          </w:p>
        </w:tc>
        <w:tc>
          <w:tcPr>
            <w:tcW w:type="dxa" w:w="53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Determinar el tiempo de expiración del caché de queries según frecuencia de actualización de los datos fuente.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Poppins" w:cs="Poppins" w:eastAsia="Poppins" w:hAnsi="Poppins"/>
          <w:b/>
          <w:bCs/>
          <w:color w:val="1A1659"/>
          <w:sz w:val="32"/>
          <w:szCs w:val="32"/>
        </w:rPr>
        <w:t xml:space="preserve">9. Preguntas de Negocio Abiertas</w:t>
      </w:r>
    </w:p>
    <w:p>
      <w:pPr>
        <w:spacing w:after="120" w:before="0"/>
      </w:pPr>
      <w:r>
        <w:rPr>
          <w:rFonts w:ascii="Poppins" w:cs="Poppins" w:eastAsia="Poppins" w:hAnsi="Poppins"/>
          <w:color w:val="1A1659"/>
          <w:sz w:val="22"/>
          <w:szCs w:val="22"/>
        </w:rPr>
        <w:t xml:space="preserve">Las siguientes preguntas están identificadas como prioritarias para las próximas sesiones de trabajo. Ver también: Cohortes/research/preguntas_negocio.md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1800"/>
        <w:gridCol w:w="2160"/>
      </w:tblGrid>
      <w:tr>
        <w:tc>
          <w:tcPr>
            <w:tcW w:type="dxa" w:w="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1A16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¿Cuál es el ODR promedio ponderado de las cohortes 2025 a M6?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2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C97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¿El NOR de la base pre-2025 está por encima o por debajo de 100% en los últimos 12 meses?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Finance</w:t>
            </w:r>
          </w:p>
        </w:tc>
        <w:tc>
          <w:tcPr>
            <w:tcW w:type="dxa" w:w="2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C97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¿Cuánto NNR en MM COP ingresó en Q1 2025 vs Q1 2024?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Finance / Junta</w:t>
            </w:r>
          </w:p>
        </w:tc>
        <w:tc>
          <w:tcPr>
            <w:tcW w:type="dxa" w:w="2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C97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¿El forecast de órdenes 2025–2026 es consistente con el NDR histórico de cohortes equivalentes?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2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¿Qué segmentos tienen mejor retención a M13? ¿Enterprise supera a Starter?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2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0ED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4827BE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¿Cuál es la diferencia de retención entre COL y MEX a M13?</w:t>
            </w:r>
          </w:p>
        </w:tc>
        <w:tc>
          <w:tcPr>
            <w:tcW w:type="dxa" w:w="180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A1659"/>
                <w:sz w:val="20"/>
                <w:szCs w:val="20"/>
              </w:rPr>
              <w:t xml:space="preserve">Revenue Ops</w:t>
            </w:r>
          </w:p>
        </w:tc>
        <w:tc>
          <w:tcPr>
            <w:tcW w:type="dxa" w:w="2160"/>
            <w:tcBorders>
              <w:top w:val="single" w:color="EDE9F8" w:sz="1"/>
              <w:left w:val="single" w:color="EDE9F8" w:sz="1"/>
              <w:bottom w:val="single" w:color="EDE9F8" w:sz="1"/>
              <w:right w:val="single" w:color="EDE9F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820F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EDE9F8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Poppins" w:cs="Poppins" w:eastAsia="Poppins" w:hAnsi="Poppins"/>
          <w:i/>
          <w:iCs/>
          <w:color w:val="6B6B9A"/>
          <w:sz w:val="18"/>
          <w:szCs w:val="18"/>
        </w:rPr>
        <w:t xml:space="preserve">PRD v2.0 · Melonn Cohort Analysis ·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8" w:sz="4" w:space="1"/>
      </w:pBdr>
      <w:jc w:val="center"/>
    </w:pPr>
    <w:r>
      <w:rPr>
        <w:rFonts w:ascii="Poppins" w:cs="Poppins" w:eastAsia="Poppins" w:hAnsi="Poppins"/>
        <w:color w:val="6B6B9A"/>
        <w:sz w:val="18"/>
        <w:szCs w:val="18"/>
      </w:rPr>
      <w:t xml:space="preserve">Página </w:t>
    </w:r>
    <w:r>
      <w:rPr>
        <w:rFonts w:ascii="Poppins" w:cs="Poppins" w:eastAsia="Poppins" w:hAnsi="Poppins"/>
        <w:color w:val="6B6B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oppins" w:cs="Poppins" w:eastAsia="Poppins" w:hAnsi="Poppins"/>
        <w:color w:val="6B6B9A"/>
        <w:sz w:val="18"/>
        <w:szCs w:val="18"/>
      </w:rPr>
      <w:t xml:space="preserve"> de </w:t>
    </w:r>
    <w:r>
      <w:rPr>
        <w:rFonts w:ascii="Poppins" w:cs="Poppins" w:eastAsia="Poppins" w:hAnsi="Poppins"/>
        <w:color w:val="6B6B9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9F8" w:sz="4" w:space="1"/>
      </w:pBdr>
      <w:jc w:val="right"/>
    </w:pPr>
    <w:r>
      <w:rPr>
        <w:rFonts w:ascii="Poppins" w:cs="Poppins" w:eastAsia="Poppins" w:hAnsi="Poppins"/>
        <w:color w:val="6B6B9A"/>
        <w:sz w:val="18"/>
        <w:szCs w:val="18"/>
      </w:rPr>
      <w:t xml:space="preserve">Melonn · Cohort Analysis App v2 ·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6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Poppins" w:cs="Poppins" w:eastAsia="Poppins" w:hAnsi="Poppins"/>
      <w:b/>
      <w:bCs/>
      <w:color w:val="1A16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oppins" w:cs="Poppins" w:eastAsia="Poppins" w:hAnsi="Poppins"/>
      <w:b/>
      <w:bCs/>
      <w:color w:val="4827B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Poppins" w:cs="Poppins" w:eastAsia="Poppins" w:hAnsi="Poppins"/>
      <w:b/>
      <w:bCs/>
      <w:color w:val="1A16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2026-04-09T19:30:18.216Z</dcterms:created>
  <dcterms:modified xsi:type="dcterms:W3CDTF">2026-04-09T19:30:18.216Z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