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23.odttf" ContentType="application/vnd.openxmlformats-officedocument.obfuscatedFont"/>
  <Override PartName="/word/fonts/font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color w:val="FFFFFF"/>
        </w:rPr>
      </w:pPr>
      <w:r>
        <w:rPr>
          <w:color w:val="FFFFFF"/>
        </w:rPr>
        <w:t>Confidence-Calibrated Biophysical Geometric Neural Networks for Robust Protein-Ligand Binding-Site Prediction</w:t>
      </w:r>
    </w:p>
    <w:p>
      <w:pPr>
        <w:pStyle w:val="Subtitle"/>
        <w:jc w:val="center"/>
        <w:rPr>
          <w:color w:val="FFFFFF"/>
        </w:rPr>
      </w:pPr>
      <w:r>
        <w:rPr>
          <w:color w:val="FFFFFF"/>
        </w:rPr>
        <w:t>Research Proposal</w:t>
      </w:r>
    </w:p>
    <w:p>
      <w:pPr>
        <w:pStyle w:val="normal1"/>
        <w:spacing w:lineRule="auto" w:line="259" w:before="0" w:after="100"/>
        <w:rPr>
          <w:color w:val="FFFFFF"/>
        </w:rPr>
      </w:pPr>
      <w:r>
        <w:rPr>
          <w:color w:val="FFFFFF"/>
        </w:rPr>
      </w:r>
    </w:p>
    <w:p>
      <w:pPr>
        <w:pStyle w:val="normal1"/>
        <w:spacing w:lineRule="auto" w:line="259" w:before="0" w:after="100"/>
        <w:jc w:val="center"/>
        <w:rPr>
          <w:color w:val="FFFFFF"/>
        </w:rPr>
      </w:pPr>
      <w:r>
        <w:rPr>
          <w:b/>
          <w:bCs/>
          <w:color w:val="FFFFFF"/>
          <w:sz w:val="24"/>
          <w:szCs w:val="24"/>
        </w:rPr>
        <w:t>Core theme: mathematical biophysical priors + uncertainty-aware geometric reasoning</w:t>
      </w:r>
    </w:p>
    <w:p>
      <w:pPr>
        <w:pStyle w:val="normal1"/>
        <w:spacing w:lineRule="auto" w:line="259" w:before="0" w:after="100"/>
        <w:jc w:val="center"/>
        <w:rPr>
          <w:color w:val="FFFFFF"/>
        </w:rPr>
      </w:pPr>
      <w:r>
        <w:rPr>
          <w:color w:val="FFFFFF"/>
        </w:rPr>
        <w:t>Prepared from the current PBSP architecture, pilot experiments, and the combined confidence-aware GNN proposal.</w:t>
      </w:r>
    </w:p>
    <w:p>
      <w:pPr>
        <w:pStyle w:val="normal1"/>
        <w:spacing w:lineRule="auto" w:line="259" w:before="0" w:after="100"/>
        <w:rPr>
          <w:color w:val="FFFFFF"/>
        </w:rPr>
      </w:pPr>
      <w:r>
        <w:rPr>
          <w:color w:val="FFFFFF"/>
        </w:rPr>
      </w:r>
      <w:r>
        <w:br w:type="page"/>
      </w:r>
    </w:p>
    <w:p>
      <w:pPr>
        <w:pStyle w:val="Heading1"/>
        <w:spacing w:lineRule="auto" w:line="240" w:before="0" w:after="80"/>
        <w:rPr>
          <w:color w:val="FFFFFF"/>
        </w:rPr>
      </w:pPr>
      <w:r>
        <w:rPr>
          <w:color w:val="FFFFFF"/>
        </w:rPr>
        <w:t>1. Summary</w:t>
      </w:r>
    </w:p>
    <w:p>
      <w:pPr>
        <w:pStyle w:val="normal1"/>
        <w:spacing w:lineRule="auto" w:line="259" w:before="0" w:after="100"/>
        <w:rPr>
          <w:color w:val="FFFFFF"/>
        </w:rPr>
      </w:pPr>
      <w:r>
        <w:rPr>
          <w:color w:val="FFFFFF"/>
        </w:rPr>
        <w:t>This research proposes a confidence-calibrated, biophysically informed geometric graph neural network (GNN) for residue-level protein-ligand binding-site prediction. The central premise is that modern structure-based predictors should not treat every geometric observation as equally reliable. Predicted protein structures contain spatially heterogeneous uncertainty, and this uncertainty can affect distances, orientations, cavity descriptors, and message-passing edges. The proposed method therefore separates sequence/evolutionary evidence from coordinate-dependent geometric evidence and uses calibrated structural confidence to regulate only the geometric component.</w:t>
      </w:r>
    </w:p>
    <w:p>
      <w:pPr>
        <w:pStyle w:val="normal1"/>
        <w:spacing w:lineRule="auto" w:line="259" w:before="0" w:after="100"/>
        <w:rPr>
          <w:color w:val="FFFFFF"/>
        </w:rPr>
      </w:pPr>
      <w:r>
        <w:rPr>
          <w:color w:val="FFFFFF"/>
        </w:rPr>
        <w:t>The second pillar of the proposal is interpretable mathematical feature engineering. Rather than relying exclusively on latent embeddings, the model incorporates compact biophysical descriptors such as relative solvent accessibility (RSA), side-chain exposure, cavity depth, local packing density, conservation-exposure interactions, and periodic backbone representations. These features are treated as testable inductive priors: they are retained only if controlled ablations demonstrate value beyond ESM-based and geometric representations.</w:t>
      </w:r>
    </w:p>
    <w:p>
      <w:pPr>
        <w:pStyle w:val="normal1"/>
        <w:spacing w:lineRule="auto" w:line="259" w:before="0" w:after="100"/>
        <w:jc w:val="center"/>
        <w:rPr>
          <w:color w:val="FFFFFF"/>
        </w:rPr>
      </w:pPr>
      <w:r>
        <w:rPr>
          <w:rFonts w:eastAsia="Cambria Math" w:cs="Cambria Math" w:ascii="Cambria Math" w:hAnsi="Cambria Math"/>
          <w:color w:val="FFFFFF"/>
          <w:sz w:val="22"/>
          <w:szCs w:val="22"/>
        </w:rPr>
        <w:t>Protein sequence + biophysical priors + calibrated structural uncertainty → robust binding-site prediction</w:t>
      </w:r>
    </w:p>
    <w:p>
      <w:pPr>
        <w:pStyle w:val="Heading1"/>
        <w:spacing w:lineRule="auto" w:line="240" w:before="160" w:after="80"/>
        <w:rPr>
          <w:color w:val="FFFFFF"/>
        </w:rPr>
      </w:pPr>
      <w:r>
        <w:rPr>
          <w:color w:val="FFFFFF"/>
        </w:rPr>
        <w:t>2. Background and Motivation</w:t>
      </w:r>
    </w:p>
    <w:p>
      <w:pPr>
        <w:pStyle w:val="normal1"/>
        <w:spacing w:lineRule="auto" w:line="259" w:before="0" w:after="100"/>
        <w:rPr>
          <w:color w:val="FFFFFF"/>
        </w:rPr>
      </w:pPr>
      <w:r>
        <w:rPr>
          <w:color w:val="FFFFFF"/>
        </w:rPr>
        <w:t>Protein binding-site prediction is central to structure-based drug discovery, functional annotation, docking, and protein design. Classical pocket-detection methods use surface geometry and cavity statistics, while recent deep-learning methods increasingly combine protein language models with graph or equivariant geometric networks. The rapid growth of predicted structural databases has made structure-based prediction possible for proteins lacking experimentally solved structures.</w:t>
      </w:r>
    </w:p>
    <w:p>
      <w:pPr>
        <w:pStyle w:val="normal1"/>
        <w:spacing w:lineRule="auto" w:line="259" w:before="0" w:after="100"/>
        <w:rPr>
          <w:color w:val="FFFFFF"/>
        </w:rPr>
      </w:pPr>
      <w:r>
        <w:rPr>
          <w:color w:val="FFFFFF"/>
        </w:rPr>
        <w:t>However, predicted structures are not uniformly reliable. Per-residue confidence values such as pLDDT describe local model confidence, while pairwise uncertainty measures such as Predicted Aligned Error (PAE) describe uncertainty in relative residue or domain placement. A conventional GNN generally propagates messages over spatial edges without distinguishing between highly reliable and uncertain geometry. This creates a potential failure mode: uncertain coordinates may alter local neighborhoods, cavity descriptors, edge distances, and orientations, yet are processed as if they were equally trustworthy.</w:t>
      </w:r>
    </w:p>
    <w:p>
      <w:pPr>
        <w:pStyle w:val="normal1"/>
        <w:spacing w:lineRule="auto" w:line="259" w:before="0" w:after="100"/>
        <w:rPr>
          <w:color w:val="FFFFFF"/>
        </w:rPr>
      </w:pPr>
      <w:r>
        <w:rPr>
          <w:color w:val="FFFFFF"/>
        </w:rPr>
        <w:t>Naively suppressing low-confidence residues is also undesirable because flexible loops and conformationally dynamic regions can participate directly in binding. The proposed research therefore does not discard uncertain residues. Instead, it preserves sequence and biochemical evidence while selectively attenuating only coordinate-dependent information.</w:t>
      </w:r>
    </w:p>
    <w:p>
      <w:pPr>
        <w:pStyle w:val="Heading1"/>
        <w:spacing w:lineRule="auto" w:line="240" w:before="160" w:after="80"/>
        <w:rPr>
          <w:color w:val="FFFFFF"/>
        </w:rPr>
      </w:pPr>
      <w:r>
        <w:rPr>
          <w:color w:val="FFFFFF"/>
        </w:rPr>
        <w:t>3. Research Gap and Central Hypothesis</w:t>
      </w:r>
    </w:p>
    <w:p>
      <w:pPr>
        <w:pStyle w:val="normal1"/>
        <w:spacing w:lineRule="auto" w:line="259" w:before="0" w:after="100"/>
        <w:rPr>
          <w:color w:val="FFFFFF"/>
        </w:rPr>
      </w:pPr>
      <w:r>
        <w:rPr>
          <w:color w:val="FFFFFF"/>
        </w:rPr>
        <w:t>The key research gap is not merely whether pLDDT can be added to a binding-site model, but how uncertainty should be represented and where it should act inside the geometric reasoning process. Existing multimodal predictors already combine sequence and structure, and recent work has begun to use confidence-aware adaptation. A stronger research question is therefore whether structural confidence can be calibrated against observed geometric error and then used as an interpretable reliability variable inside message passing and mathematical pocket descriptors.</w:t>
      </w:r>
    </w:p>
    <w:p>
      <w:pPr>
        <w:pStyle w:val="normal1"/>
        <w:spacing w:lineRule="auto" w:line="259" w:before="0" w:after="100"/>
        <w:rPr>
          <w:color w:val="FFFFFF"/>
        </w:rPr>
      </w:pPr>
      <w:r>
        <w:rPr>
          <w:b/>
          <w:bCs/>
          <w:color w:val="FFFFFF"/>
        </w:rPr>
        <w:t xml:space="preserve">Central hypothesis: </w:t>
      </w:r>
      <w:r>
        <w:rPr>
          <w:color w:val="FFFFFF"/>
        </w:rPr>
        <w:t>Explicitly separating biochemical evidence from uncertain geometric evidence, while calibrating geometric trust using structural-confidence signals, will improve robustness on predicted and structurally perturbed proteins without unnecessarily suppressing useful sequence information.</w:t>
      </w:r>
    </w:p>
    <w:p>
      <w:pPr>
        <w:pStyle w:val="Heading1"/>
        <w:spacing w:lineRule="auto" w:line="240" w:before="160" w:after="80"/>
        <w:rPr>
          <w:color w:val="FFFFFF"/>
        </w:rPr>
      </w:pPr>
      <w:r>
        <w:rPr>
          <w:color w:val="FFFFFF"/>
        </w:rPr>
        <w:t>4. Research Objectives</w:t>
      </w:r>
    </w:p>
    <w:p>
      <w:pPr>
        <w:pStyle w:val="normal1"/>
        <w:keepNext w:val="false"/>
        <w:keepLines w:val="false"/>
        <w:pageBreakBefore w:val="false"/>
        <w:widowControl/>
        <w:numPr>
          <w:ilvl w:val="0"/>
          <w:numId w:val="2"/>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Develop a multimodal residue representation combining protein language-model embeddings, evolutionary information, and interpretable biophysical descriptors.</w:t>
      </w:r>
    </w:p>
    <w:p>
      <w:pPr>
        <w:pStyle w:val="normal1"/>
        <w:keepNext w:val="false"/>
        <w:keepLines w:val="false"/>
        <w:pageBreakBefore w:val="false"/>
        <w:widowControl/>
        <w:numPr>
          <w:ilvl w:val="0"/>
          <w:numId w:val="2"/>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Develop geometry-specific confidence gating so that uncertainty modulates coordinate-dependent evidence rather than all residue information.</w:t>
      </w:r>
    </w:p>
    <w:p>
      <w:pPr>
        <w:pStyle w:val="normal1"/>
        <w:keepNext w:val="false"/>
        <w:keepLines w:val="false"/>
        <w:pageBreakBefore w:val="false"/>
        <w:widowControl/>
        <w:numPr>
          <w:ilvl w:val="0"/>
          <w:numId w:val="2"/>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Calibrate pLDDT/PAE-derived confidence against observed PDB-to-predicted-structure geometric disagreement.</w:t>
      </w:r>
    </w:p>
    <w:p>
      <w:pPr>
        <w:pStyle w:val="normal1"/>
        <w:keepNext w:val="false"/>
        <w:keepLines w:val="false"/>
        <w:pageBreakBefore w:val="false"/>
        <w:widowControl/>
        <w:numPr>
          <w:ilvl w:val="0"/>
          <w:numId w:val="2"/>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Introduce uncertainty-aware mathematical descriptors, including confidence-weighted local packing density.</w:t>
      </w:r>
    </w:p>
    <w:p>
      <w:pPr>
        <w:pStyle w:val="normal1"/>
        <w:keepNext w:val="false"/>
        <w:keepLines w:val="false"/>
        <w:pageBreakBefore w:val="false"/>
        <w:widowControl/>
        <w:numPr>
          <w:ilvl w:val="0"/>
          <w:numId w:val="2"/>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Evaluate whether engineered descriptors contribute beyond ESM and geometric representations using strict ablation studies.</w:t>
      </w:r>
    </w:p>
    <w:p>
      <w:pPr>
        <w:pStyle w:val="normal1"/>
        <w:keepNext w:val="false"/>
        <w:keepLines w:val="false"/>
        <w:pageBreakBefore w:val="false"/>
        <w:widowControl/>
        <w:numPr>
          <w:ilvl w:val="0"/>
          <w:numId w:val="2"/>
        </w:numPr>
        <w:shd w:val="clear" w:fill="auto"/>
        <w:spacing w:lineRule="auto" w:line="276" w:before="0" w:after="20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Evaluate robustness using sequence-clustered real-protein benchmarks, paired experimental/predicted structures, and controlled coordinate perturbations.</w:t>
      </w:r>
    </w:p>
    <w:p>
      <w:pPr>
        <w:pStyle w:val="Heading1"/>
        <w:spacing w:lineRule="auto" w:line="240" w:before="160" w:after="80"/>
        <w:rPr>
          <w:color w:val="FFFFFF"/>
        </w:rPr>
      </w:pPr>
      <w:r>
        <w:rPr>
          <w:color w:val="FFFFFF"/>
        </w:rPr>
        <w:t>5. Proposed Protein Representation</w:t>
      </w:r>
    </w:p>
    <w:p>
      <w:pPr>
        <w:pStyle w:val="normal1"/>
        <w:spacing w:lineRule="auto" w:line="259" w:before="0" w:after="100"/>
        <w:rPr>
          <w:color w:val="FFFFFF"/>
        </w:rPr>
      </w:pPr>
      <w:r>
        <w:rPr>
          <w:color w:val="FFFFFF"/>
        </w:rPr>
        <w:t>Each protein is represented as a residue graph G = (V, E), where each node corresponds to one amino-acid residue and edges connect spatial neighbors under a k-nearest-neighbor and distance-cutoff rule. The architecture uses separate feature branches so that sequence, biophysical, and structural information remain semantically distinguishable before fusion.</w:t>
      </w:r>
    </w:p>
    <w:p>
      <w:pPr>
        <w:pStyle w:val="Heading2"/>
        <w:spacing w:lineRule="auto" w:line="240" w:before="160" w:after="80"/>
        <w:rPr>
          <w:color w:val="FFFFFF"/>
        </w:rPr>
      </w:pPr>
      <w:r>
        <w:rPr>
          <w:color w:val="FFFFFF"/>
        </w:rPr>
        <w:t>5.1 Sequence and Evolutionary Branch</w:t>
      </w:r>
    </w:p>
    <w:p>
      <w:pPr>
        <w:pStyle w:val="normal1"/>
        <w:spacing w:lineRule="auto" w:line="259" w:before="0" w:after="100"/>
        <w:jc w:val="center"/>
        <w:rPr>
          <w:color w:val="FFFFFF"/>
        </w:rPr>
      </w:pPr>
      <w:r>
        <w:rPr>
          <w:rFonts w:eastAsia="Cambria Math" w:cs="Cambria Math" w:ascii="Cambria Math" w:hAnsi="Cambria Math"/>
          <w:color w:val="FFFFFF"/>
          <w:sz w:val="22"/>
          <w:szCs w:val="22"/>
        </w:rPr>
        <w:t>hᵢˢᵉᑫ = fₛₑᑫ(ESMᵢ, PSSMᵢ, Conservationᵢ, Hydrophobicityᵢ)</w:t>
      </w:r>
    </w:p>
    <w:p>
      <w:pPr>
        <w:pStyle w:val="normal1"/>
        <w:spacing w:lineRule="auto" w:line="259" w:before="0" w:after="100"/>
        <w:rPr>
          <w:color w:val="FFFFFF"/>
        </w:rPr>
      </w:pPr>
      <w:r>
        <w:rPr>
          <w:color w:val="FFFFFF"/>
        </w:rPr>
        <w:t>This branch contains information that does not depend directly on predicted coordinates and therefore should not be automatically suppressed when structural confidence is low.</w:t>
      </w:r>
    </w:p>
    <w:p>
      <w:pPr>
        <w:pStyle w:val="Heading2"/>
        <w:spacing w:lineRule="auto" w:line="240" w:before="160" w:after="80"/>
        <w:rPr>
          <w:color w:val="FFFFFF"/>
        </w:rPr>
      </w:pPr>
      <w:r>
        <w:rPr>
          <w:color w:val="FFFFFF"/>
        </w:rPr>
        <w:t>5.2 Mathematical Biophysical Branch</w:t>
      </w:r>
    </w:p>
    <w:p>
      <w:pPr>
        <w:pStyle w:val="normal1"/>
        <w:spacing w:lineRule="auto" w:line="259" w:before="0" w:after="100"/>
        <w:rPr>
          <w:color w:val="FFFFFF"/>
        </w:rPr>
      </w:pPr>
      <w:r>
        <w:rPr>
          <w:color w:val="FFFFFF"/>
        </w:rPr>
        <w:t>The biophysical scalar block uses compact, interpretable descriptors. Redundancy screening is used to remove obvious duplicate encodings, but VIF is treated as a diagnostic rather than a hard requirement for the neural model. Final retention is determined by validation and test performance.</w:t>
      </w:r>
    </w:p>
    <w:tbl>
      <w:tblPr>
        <w:tblStyle w:val="Table1"/>
        <w:tblW w:w="9936" w:type="dxa"/>
        <w:jc w:val="center"/>
        <w:tblInd w:w="0" w:type="dxa"/>
        <w:tblLayout w:type="fixed"/>
        <w:tblCellMar>
          <w:top w:w="0" w:type="dxa"/>
          <w:left w:w="108" w:type="dxa"/>
          <w:bottom w:w="0" w:type="dxa"/>
          <w:right w:w="108" w:type="dxa"/>
        </w:tblCellMar>
        <w:tblLook w:val="0400"/>
      </w:tblPr>
      <w:tblGrid>
        <w:gridCol w:w="3312"/>
        <w:gridCol w:w="3312"/>
        <w:gridCol w:w="3312"/>
      </w:tblGrid>
      <w:tr>
        <w:trPr>
          <w:tblHeader w:val="true"/>
        </w:trPr>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1"/>
              <w:spacing w:before="0" w:after="200"/>
              <w:rPr>
                <w:color w:val="FFFFFF"/>
              </w:rPr>
            </w:pPr>
            <w:r>
              <w:rPr>
                <w:rFonts w:eastAsia="Aptos" w:cs="Aptos"/>
                <w:color w:val="FFFFFF"/>
                <w:sz w:val="18"/>
                <w:szCs w:val="18"/>
              </w:rPr>
              <w:t>Feature</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1"/>
              <w:spacing w:before="0" w:after="200"/>
              <w:rPr>
                <w:color w:val="FFFFFF"/>
              </w:rPr>
            </w:pPr>
            <w:r>
              <w:rPr>
                <w:rFonts w:eastAsia="Aptos" w:cs="Aptos"/>
                <w:color w:val="FFFFFF"/>
                <w:sz w:val="18"/>
                <w:szCs w:val="18"/>
              </w:rPr>
              <w:t>Mathematical form</w:t>
            </w:r>
          </w:p>
        </w:tc>
        <w:tc>
          <w:tcPr>
            <w:tcW w:w="331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1"/>
              <w:spacing w:before="0" w:after="200"/>
              <w:rPr>
                <w:color w:val="FFFFFF"/>
              </w:rPr>
            </w:pPr>
            <w:r>
              <w:rPr>
                <w:rFonts w:eastAsia="Aptos" w:cs="Aptos"/>
                <w:color w:val="FFFFFF"/>
                <w:sz w:val="18"/>
                <w:szCs w:val="18"/>
              </w:rPr>
              <w:t>Interpretation</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RSA</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SASAᵢ / MaxSASA(AAᵢ)</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Residue exposure normalized by amino-acid size.</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Side-chain presentation</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SASA_sc,ᵢ / (SASA_total,ᵢ + ε)</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Side-chain orientation and presentation at the surface.</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Log cavity accessibility</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log(1 + Depthᵢ/(RSAᵢ + ε))</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Combines concavity/depth with exposure while damping extreme ratios.</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Local packing density</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Σⱼ exp(-dᵢⱼ²/(2σ²))</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Local geometric packing around a residue.</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Centered conservation-exposure interaction</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(Consᵢ-μ_cons)(RSAᵢ-μ_RSA)</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Explicit second-order evolutionary/exposure interaction.</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Backbone torsions</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[sin φᵢ, cos φᵢ, sin ψᵢ, cos ψᵢ]</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Continuous representation of periodic dihedral angles.</w:t>
            </w:r>
          </w:p>
        </w:tc>
      </w:tr>
    </w:tbl>
    <w:p>
      <w:pPr>
        <w:pStyle w:val="Heading2"/>
        <w:spacing w:lineRule="auto" w:line="240" w:before="160" w:after="80"/>
        <w:rPr>
          <w:color w:val="FFFFFF"/>
        </w:rPr>
      </w:pPr>
      <w:r>
        <w:rPr>
          <w:color w:val="FFFFFF"/>
        </w:rPr>
        <w:t>5.3 New Uncertainty-Aware Mathematical Feature</w:t>
      </w:r>
    </w:p>
    <w:p>
      <w:pPr>
        <w:pStyle w:val="normal1"/>
        <w:spacing w:lineRule="auto" w:line="259" w:before="0" w:after="100"/>
        <w:rPr>
          <w:color w:val="FFFFFF"/>
        </w:rPr>
      </w:pPr>
      <w:r>
        <w:rPr>
          <w:color w:val="FFFFFF"/>
        </w:rPr>
        <w:t>The proposal introduces a confidence-weighted local packing density that explicitly separates apparent geometry from geometry supported by reliable coordinates.</w:t>
      </w:r>
    </w:p>
    <w:p>
      <w:pPr>
        <w:pStyle w:val="normal1"/>
        <w:spacing w:lineRule="auto" w:line="259" w:before="0" w:after="100"/>
        <w:jc w:val="center"/>
        <w:rPr>
          <w:color w:val="FFFFFF"/>
        </w:rPr>
      </w:pPr>
      <w:r>
        <w:rPr>
          <w:rFonts w:eastAsia="Cambria Math" w:cs="Cambria Math" w:ascii="Cambria Math" w:hAnsi="Cambria Math"/>
          <w:color w:val="FFFFFF"/>
          <w:sz w:val="22"/>
          <w:szCs w:val="22"/>
        </w:rPr>
        <w:t>ρᵢ = Σⱼ∈N(i) exp(-dᵢⱼ²/(2σ²))</w:t>
      </w:r>
    </w:p>
    <w:p>
      <w:pPr>
        <w:pStyle w:val="normal1"/>
        <w:spacing w:lineRule="auto" w:line="259" w:before="0" w:after="100"/>
        <w:jc w:val="center"/>
        <w:rPr>
          <w:color w:val="FFFFFF"/>
        </w:rPr>
      </w:pPr>
      <w:r>
        <w:rPr>
          <w:rFonts w:eastAsia="Cambria Math" w:cs="Cambria Math" w:ascii="Cambria Math" w:hAnsi="Cambria Math"/>
          <w:color w:val="FFFFFF"/>
          <w:sz w:val="22"/>
          <w:szCs w:val="22"/>
        </w:rPr>
        <w:t>ρᵢᶜᵒⁿᶠ = Σⱼ∈N(i) gᵢⱼ exp(-dᵢⱼ²/(2σ²))</w:t>
      </w:r>
    </w:p>
    <w:p>
      <w:pPr>
        <w:pStyle w:val="normal1"/>
        <w:spacing w:lineRule="auto" w:line="259" w:before="0" w:after="100"/>
        <w:jc w:val="center"/>
        <w:rPr>
          <w:color w:val="FFFFFF"/>
        </w:rPr>
      </w:pPr>
      <w:r>
        <w:rPr>
          <w:rFonts w:eastAsia="Cambria Math" w:cs="Cambria Math" w:ascii="Cambria Math" w:hAnsi="Cambria Math"/>
          <w:color w:val="FFFFFF"/>
          <w:sz w:val="22"/>
          <w:szCs w:val="22"/>
        </w:rPr>
        <w:t>Δρᵢ = ρᵢ - ρᵢᶜᵒⁿᶠ</w:t>
      </w:r>
    </w:p>
    <w:p>
      <w:pPr>
        <w:pStyle w:val="normal1"/>
        <w:spacing w:lineRule="auto" w:line="259" w:before="0" w:after="100"/>
        <w:rPr>
          <w:color w:val="FFFFFF"/>
        </w:rPr>
      </w:pPr>
      <w:r>
        <w:rPr>
          <w:color w:val="FFFFFF"/>
        </w:rPr>
        <w:t>If Δρᵢ is close to zero, most of the local packing signal is supported by reliable coordinates. A large Δρᵢ indicates that the apparent packing pattern depends substantially on uncertain neighbors. This makes Δρ an interpretable candidate feature for detecting unreliable pocket geometry.</w:t>
      </w:r>
    </w:p>
    <w:p>
      <w:pPr>
        <w:pStyle w:val="Heading1"/>
        <w:spacing w:lineRule="auto" w:line="240" w:before="160" w:after="80"/>
        <w:rPr>
          <w:color w:val="FFFFFF"/>
        </w:rPr>
      </w:pPr>
      <w:r>
        <w:rPr>
          <w:color w:val="FFFFFF"/>
        </w:rPr>
        <w:t>6. Confidence Calibration</w:t>
      </w:r>
    </w:p>
    <w:p>
      <w:pPr>
        <w:pStyle w:val="normal1"/>
        <w:spacing w:lineRule="auto" w:line="259" w:before="0" w:after="100"/>
        <w:rPr>
          <w:color w:val="FFFFFF"/>
        </w:rPr>
      </w:pPr>
      <w:r>
        <w:rPr>
          <w:color w:val="FFFFFF"/>
        </w:rPr>
        <w:t>Raw pLDDT should not automatically be interpreted as a linear probability of geometric correctness. The proposed model therefore first calibrates confidence against observed geometric disagreement using proteins for which both experimental and predicted structures are available.</w:t>
      </w:r>
    </w:p>
    <w:p>
      <w:pPr>
        <w:pStyle w:val="normal1"/>
        <w:spacing w:lineRule="auto" w:line="259" w:before="0" w:after="100"/>
        <w:jc w:val="center"/>
        <w:rPr>
          <w:color w:val="FFFFFF"/>
        </w:rPr>
      </w:pPr>
      <w:r>
        <w:rPr>
          <w:rFonts w:eastAsia="Cambria Math" w:cs="Cambria Math" w:ascii="Cambria Math" w:hAnsi="Cambria Math"/>
          <w:color w:val="FFFFFF"/>
          <w:sz w:val="22"/>
          <w:szCs w:val="22"/>
        </w:rPr>
        <w:t>eᵢ = ||xᵢᵖʳᵉᵈ - xᵢᴾᴰᴮ||₂</w:t>
      </w:r>
    </w:p>
    <w:p>
      <w:pPr>
        <w:pStyle w:val="normal1"/>
        <w:spacing w:lineRule="auto" w:line="259" w:before="0" w:after="100"/>
        <w:rPr>
          <w:color w:val="FFFFFF"/>
        </w:rPr>
      </w:pPr>
      <w:r>
        <w:rPr>
          <w:color w:val="FFFFFF"/>
        </w:rPr>
        <w:t>After suitable structural or local alignment, a monotonic calibration model (for example isotonic regression or a monotonic spline) estimates expected structural error as a function of confidence:</w:t>
      </w:r>
    </w:p>
    <w:p>
      <w:pPr>
        <w:pStyle w:val="normal1"/>
        <w:spacing w:lineRule="auto" w:line="259" w:before="0" w:after="100"/>
        <w:jc w:val="center"/>
        <w:rPr>
          <w:color w:val="FFFFFF"/>
        </w:rPr>
      </w:pPr>
      <w:r>
        <w:rPr>
          <w:rFonts w:eastAsia="Cambria Math" w:cs="Cambria Math" w:ascii="Cambria Math" w:hAnsi="Cambria Math"/>
          <w:color w:val="FFFFFF"/>
          <w:sz w:val="22"/>
          <w:szCs w:val="22"/>
        </w:rPr>
        <w:t>êᵢ = f_cal(pLDDTᵢ)</w:t>
      </w:r>
    </w:p>
    <w:p>
      <w:pPr>
        <w:pStyle w:val="normal1"/>
        <w:spacing w:lineRule="auto" w:line="259" w:before="0" w:after="100"/>
        <w:jc w:val="center"/>
        <w:rPr>
          <w:color w:val="FFFFFF"/>
        </w:rPr>
      </w:pPr>
      <w:r>
        <w:rPr>
          <w:rFonts w:eastAsia="Cambria Math" w:cs="Cambria Math" w:ascii="Cambria Math" w:hAnsi="Cambria Math"/>
          <w:color w:val="FFFFFF"/>
          <w:sz w:val="22"/>
          <w:szCs w:val="22"/>
        </w:rPr>
        <w:t>rᵢ = exp(-êᵢ²/(2s²))</w:t>
      </w:r>
    </w:p>
    <w:p>
      <w:pPr>
        <w:pStyle w:val="normal1"/>
        <w:spacing w:lineRule="auto" w:line="259" w:before="0" w:after="100"/>
        <w:rPr>
          <w:color w:val="FFFFFF"/>
        </w:rPr>
      </w:pPr>
      <w:r>
        <w:rPr>
          <w:color w:val="FFFFFF"/>
        </w:rPr>
        <w:t>The value rᵢ is then used as an empirical residue reliability estimate rather than treating pLDDT/100 as a direct probability.</w:t>
      </w:r>
    </w:p>
    <w:p>
      <w:pPr>
        <w:pStyle w:val="Heading2"/>
        <w:spacing w:lineRule="auto" w:line="240" w:before="160" w:after="80"/>
        <w:rPr>
          <w:color w:val="FFFFFF"/>
        </w:rPr>
      </w:pPr>
      <w:r>
        <w:rPr>
          <w:color w:val="FFFFFF"/>
        </w:rPr>
        <w:t>6.1 Pairwise Reliability Using PAE</w:t>
      </w:r>
    </w:p>
    <w:p>
      <w:pPr>
        <w:pStyle w:val="normal1"/>
        <w:spacing w:lineRule="auto" w:line="259" w:before="0" w:after="100"/>
        <w:jc w:val="center"/>
        <w:rPr>
          <w:color w:val="FFFFFF"/>
        </w:rPr>
      </w:pPr>
      <w:r>
        <w:rPr>
          <w:rFonts w:eastAsia="Cambria Math" w:cs="Cambria Math" w:ascii="Cambria Math" w:hAnsi="Cambria Math"/>
          <w:color w:val="FFFFFF"/>
          <w:sz w:val="22"/>
          <w:szCs w:val="22"/>
        </w:rPr>
        <w:t>Aᵢⱼ = (PAEᵢⱼ + PAEⱼᵢ)/2</w:t>
      </w:r>
    </w:p>
    <w:p>
      <w:pPr>
        <w:pStyle w:val="normal1"/>
        <w:spacing w:lineRule="auto" w:line="259" w:before="0" w:after="100"/>
        <w:jc w:val="center"/>
        <w:rPr>
          <w:color w:val="FFFFFF"/>
        </w:rPr>
      </w:pPr>
      <w:r>
        <w:rPr>
          <w:rFonts w:eastAsia="Cambria Math" w:cs="Cambria Math" w:ascii="Cambria Math" w:hAnsi="Cambria Math"/>
          <w:color w:val="FFFFFF"/>
          <w:sz w:val="22"/>
          <w:szCs w:val="22"/>
        </w:rPr>
        <w:t>gᵢⱼ = [min(rᵢ,rⱼ)]ᵅ exp(-Aᵢⱼ/τ)</w:t>
      </w:r>
    </w:p>
    <w:p>
      <w:pPr>
        <w:pStyle w:val="normal1"/>
        <w:spacing w:lineRule="auto" w:line="259" w:before="0" w:after="100"/>
        <w:rPr>
          <w:color w:val="FFFFFF"/>
        </w:rPr>
      </w:pPr>
      <w:r>
        <w:rPr>
          <w:color w:val="FFFFFF"/>
        </w:rPr>
        <w:t>This combines local residue reliability with uncertainty in relative residue placement. Parameters α and τ are selected on validation data or learned under constrained parameterization.</w:t>
      </w:r>
    </w:p>
    <w:p>
      <w:pPr>
        <w:pStyle w:val="Heading1"/>
        <w:spacing w:lineRule="auto" w:line="240" w:before="160" w:after="80"/>
        <w:rPr>
          <w:color w:val="FFFFFF"/>
        </w:rPr>
      </w:pPr>
      <w:r>
        <w:rPr>
          <w:color w:val="FFFFFF"/>
        </w:rPr>
        <w:t>7. Modality-Selective Confidence-Gated GNN</w:t>
      </w:r>
    </w:p>
    <w:p>
      <w:pPr>
        <w:pStyle w:val="normal1"/>
        <w:spacing w:lineRule="auto" w:line="259" w:before="0" w:after="100"/>
        <w:rPr>
          <w:color w:val="FFFFFF"/>
        </w:rPr>
      </w:pPr>
      <w:r>
        <w:rPr>
          <w:color w:val="FFFFFF"/>
        </w:rPr>
        <w:t>The most important architectural choice is that uncertainty gates only coordinate-dependent messages. Low structural confidence does not imply that the residue identity, protein-language representation, conservation profile, or hydrophobicity is unreliable.</w:t>
      </w:r>
    </w:p>
    <w:p>
      <w:pPr>
        <w:pStyle w:val="normal1"/>
        <w:spacing w:lineRule="auto" w:line="259" w:before="0" w:after="100"/>
        <w:jc w:val="center"/>
        <w:rPr>
          <w:color w:val="FFFFFF"/>
        </w:rPr>
      </w:pPr>
      <w:r>
        <w:rPr>
          <w:rFonts w:eastAsia="Cambria Math" w:cs="Cambria Math" w:ascii="Cambria Math" w:hAnsi="Cambria Math"/>
          <w:color w:val="FFFFFF"/>
          <w:sz w:val="22"/>
          <w:szCs w:val="22"/>
        </w:rPr>
        <w:t>mᵢⱼ = mᵢⱼⁿᵒⁿᵍᵉᵒ + gᵢⱼ mᵢⱼᵍᵉᵒ</w:t>
      </w:r>
    </w:p>
    <w:p>
      <w:pPr>
        <w:pStyle w:val="normal1"/>
        <w:spacing w:lineRule="auto" w:line="259" w:before="0" w:after="100"/>
        <w:jc w:val="center"/>
        <w:rPr>
          <w:color w:val="FFFFFF"/>
        </w:rPr>
      </w:pPr>
      <w:r>
        <w:rPr>
          <w:rFonts w:eastAsia="Cambria Math" w:cs="Cambria Math" w:ascii="Cambria Math" w:hAnsi="Cambria Math"/>
          <w:color w:val="FFFFFF"/>
          <w:sz w:val="22"/>
          <w:szCs w:val="22"/>
        </w:rPr>
        <w:t>mᵢⱼⁿᵒⁿᵍᵉᵒ = f_N(hᵢ,hⱼ, sequence/evolutionary features)</w:t>
      </w:r>
    </w:p>
    <w:p>
      <w:pPr>
        <w:pStyle w:val="normal1"/>
        <w:spacing w:lineRule="auto" w:line="259" w:before="0" w:after="100"/>
        <w:jc w:val="center"/>
        <w:rPr>
          <w:color w:val="FFFFFF"/>
        </w:rPr>
      </w:pPr>
      <w:r>
        <w:rPr>
          <w:rFonts w:eastAsia="Cambria Math" w:cs="Cambria Math" w:ascii="Cambria Math" w:hAnsi="Cambria Math"/>
          <w:color w:val="FFFFFF"/>
          <w:sz w:val="22"/>
          <w:szCs w:val="22"/>
        </w:rPr>
        <w:t>mᵢⱼᵍᵉᵒ = f_G(hᵢ,hⱼ, distance RBFs, local orientation, geometric edge features)</w:t>
      </w:r>
    </w:p>
    <w:p>
      <w:pPr>
        <w:pStyle w:val="normal1"/>
        <w:spacing w:lineRule="auto" w:line="259" w:before="0" w:after="100"/>
        <w:jc w:val="center"/>
        <w:rPr>
          <w:color w:val="FFFFFF"/>
        </w:rPr>
      </w:pPr>
      <w:r>
        <w:rPr>
          <w:rFonts w:eastAsia="Cambria Math" w:cs="Cambria Math" w:ascii="Cambria Math" w:hAnsi="Cambria Math"/>
          <w:color w:val="FFFFFF"/>
          <w:sz w:val="22"/>
          <w:szCs w:val="22"/>
        </w:rPr>
        <w:t>hᵢˡ⁺¹ = hᵢˡ + f_U(hᵢˡ, Σⱼ mᵢⱼˡ)</w:t>
      </w:r>
    </w:p>
    <w:p>
      <w:pPr>
        <w:pStyle w:val="normal1"/>
        <w:spacing w:lineRule="auto" w:line="259" w:before="0" w:after="100"/>
        <w:jc w:val="center"/>
        <w:rPr>
          <w:color w:val="FFFFFF"/>
        </w:rPr>
      </w:pPr>
      <w:r>
        <w:rPr>
          <w:rFonts w:eastAsia="Cambria Math" w:cs="Cambria Math" w:ascii="Cambria Math" w:hAnsi="Cambria Math"/>
          <w:color w:val="FFFFFF"/>
          <w:sz w:val="22"/>
          <w:szCs w:val="22"/>
        </w:rPr>
        <w:t>P(yᵢ=1) = σ(f_out(hᵢᴸ))</w:t>
      </w:r>
    </w:p>
    <w:p>
      <w:pPr>
        <w:pStyle w:val="normal1"/>
        <w:spacing w:lineRule="auto" w:line="259" w:before="0" w:after="100"/>
        <w:rPr>
          <w:color w:val="FFFFFF"/>
        </w:rPr>
      </w:pPr>
      <w:r>
        <w:rPr>
          <w:color w:val="FFFFFF"/>
        </w:rPr>
        <w:t>Coordinate-derived scalar features are treated similarly. Instead of replacing a structural descriptor sᵢ with only rᵢsᵢ, the model receives [sᵢ, rᵢ, rᵢsᵢ]. This lets the network distinguish a strong pocket-like signal from the confidence assigned to that signal.</w:t>
      </w:r>
    </w:p>
    <w:p>
      <w:pPr>
        <w:pStyle w:val="Heading2"/>
        <w:spacing w:lineRule="auto" w:line="240" w:before="160" w:after="80"/>
        <w:rPr>
          <w:color w:val="FFFFFF"/>
        </w:rPr>
      </w:pPr>
      <w:r>
        <w:rPr>
          <w:color w:val="FFFFFF"/>
        </w:rPr>
        <w:t>7.1 Interpretable Learned Gate</w:t>
      </w:r>
    </w:p>
    <w:p>
      <w:pPr>
        <w:pStyle w:val="normal1"/>
        <w:spacing w:lineRule="auto" w:line="259" w:before="0" w:after="100"/>
        <w:rPr>
          <w:color w:val="FFFFFF"/>
        </w:rPr>
      </w:pPr>
      <w:r>
        <w:rPr>
          <w:color w:val="FFFFFF"/>
        </w:rPr>
        <w:t>An unconstrained MLP gate is included as an ablation, but the primary learned gate should preserve a monotonic interpretation: increasing residue reliability should not reduce the edge weight, and increasing pairwise uncertainty should not increase it.</w:t>
      </w:r>
    </w:p>
    <w:p>
      <w:pPr>
        <w:pStyle w:val="normal1"/>
        <w:spacing w:lineRule="auto" w:line="259" w:before="0" w:after="100"/>
        <w:jc w:val="center"/>
        <w:rPr>
          <w:color w:val="FFFFFF"/>
        </w:rPr>
      </w:pPr>
      <w:r>
        <w:rPr>
          <w:rFonts w:eastAsia="Cambria Math" w:cs="Cambria Math" w:ascii="Cambria Math" w:hAnsi="Cambria Math"/>
          <w:color w:val="FFFFFF"/>
          <w:sz w:val="22"/>
          <w:szCs w:val="22"/>
        </w:rPr>
        <w:t>gᵢⱼ = σ(β₀ + β₁ logit(rᵢ) + β₂ logit(rⱼ) - β₃ Aᵢⱼ/A₀)</w:t>
      </w:r>
    </w:p>
    <w:p>
      <w:pPr>
        <w:pStyle w:val="normal1"/>
        <w:spacing w:lineRule="auto" w:line="259" w:before="0" w:after="100"/>
        <w:jc w:val="center"/>
        <w:rPr>
          <w:color w:val="FFFFFF"/>
        </w:rPr>
      </w:pPr>
      <w:r>
        <w:rPr>
          <w:rFonts w:eastAsia="Cambria Math" w:cs="Cambria Math" w:ascii="Cambria Math" w:hAnsi="Cambria Math"/>
          <w:color w:val="FFFFFF"/>
          <w:sz w:val="22"/>
          <w:szCs w:val="22"/>
        </w:rPr>
        <w:t>βₖ = softplus(θₖ),   k ∈ {1,2,3}</w:t>
      </w:r>
    </w:p>
    <w:p>
      <w:pPr>
        <w:pStyle w:val="Heading1"/>
        <w:spacing w:lineRule="auto" w:line="240" w:before="160" w:after="80"/>
        <w:rPr>
          <w:color w:val="FFFFFF"/>
        </w:rPr>
      </w:pPr>
      <w:r>
        <w:rPr>
          <w:color w:val="FFFFFF"/>
        </w:rPr>
        <w:t>8. Research Questions</w:t>
      </w:r>
    </w:p>
    <w:p>
      <w:pPr>
        <w:pStyle w:val="normal1"/>
        <w:spacing w:lineRule="auto" w:line="259" w:before="0" w:after="100"/>
        <w:rPr>
          <w:color w:val="FFFFFF"/>
        </w:rPr>
      </w:pPr>
      <w:r>
        <w:rPr>
          <w:b/>
          <w:bCs/>
          <w:color w:val="FFFFFF"/>
        </w:rPr>
        <w:t xml:space="preserve">RQ1: </w:t>
      </w:r>
      <w:r>
        <w:rPr>
          <w:color w:val="FFFFFF"/>
        </w:rPr>
        <w:t>Do explicit mathematical/biophysical features add predictive information beyond ESM and geometric representations?</w:t>
      </w:r>
    </w:p>
    <w:p>
      <w:pPr>
        <w:pStyle w:val="normal1"/>
        <w:spacing w:lineRule="auto" w:line="259" w:before="0" w:after="100"/>
        <w:rPr>
          <w:color w:val="FFFFFF"/>
        </w:rPr>
      </w:pPr>
      <w:r>
        <w:rPr>
          <w:b/>
          <w:bCs/>
          <w:color w:val="FFFFFF"/>
        </w:rPr>
        <w:t xml:space="preserve">RQ2: </w:t>
      </w:r>
      <w:r>
        <w:rPr>
          <w:color w:val="FFFFFF"/>
        </w:rPr>
        <w:t>Does confidence-aware geometric message passing outperform ordinary geometry on predicted structures?</w:t>
      </w:r>
    </w:p>
    <w:p>
      <w:pPr>
        <w:pStyle w:val="normal1"/>
        <w:spacing w:lineRule="auto" w:line="259" w:before="0" w:after="100"/>
        <w:rPr>
          <w:color w:val="FFFFFF"/>
        </w:rPr>
      </w:pPr>
      <w:r>
        <w:rPr>
          <w:b/>
          <w:bCs/>
          <w:color w:val="FFFFFF"/>
        </w:rPr>
        <w:t xml:space="preserve">RQ3: </w:t>
      </w:r>
      <w:r>
        <w:rPr>
          <w:color w:val="FFFFFF"/>
        </w:rPr>
        <w:t>Does pairwise PAE provide useful information beyond endpoint pLDDT alone?</w:t>
      </w:r>
    </w:p>
    <w:p>
      <w:pPr>
        <w:pStyle w:val="normal1"/>
        <w:spacing w:lineRule="auto" w:line="259" w:before="0" w:after="100"/>
        <w:rPr>
          <w:color w:val="FFFFFF"/>
        </w:rPr>
      </w:pPr>
      <w:r>
        <w:rPr>
          <w:b/>
          <w:bCs/>
          <w:color w:val="FFFFFF"/>
        </w:rPr>
        <w:t xml:space="preserve">RQ4: </w:t>
      </w:r>
      <w:r>
        <w:rPr>
          <w:color w:val="FFFFFF"/>
        </w:rPr>
        <w:t>Does empirical confidence calibration outperform raw confidence scaling?</w:t>
      </w:r>
    </w:p>
    <w:p>
      <w:pPr>
        <w:pStyle w:val="normal1"/>
        <w:spacing w:lineRule="auto" w:line="259" w:before="0" w:after="100"/>
        <w:rPr>
          <w:color w:val="FFFFFF"/>
        </w:rPr>
      </w:pPr>
      <w:r>
        <w:rPr>
          <w:b/>
          <w:bCs/>
          <w:color w:val="FFFFFF"/>
        </w:rPr>
        <w:t xml:space="preserve">RQ5: </w:t>
      </w:r>
      <w:r>
        <w:rPr>
          <w:color w:val="FFFFFF"/>
        </w:rPr>
        <w:t>Do confidence-weighted mathematical descriptors improve robustness to coordinate perturbation?</w:t>
      </w:r>
    </w:p>
    <w:p>
      <w:pPr>
        <w:pStyle w:val="Heading1"/>
        <w:spacing w:lineRule="auto" w:line="240" w:before="160" w:after="80"/>
        <w:rPr>
          <w:color w:val="FFFFFF"/>
        </w:rPr>
      </w:pPr>
      <w:r>
        <w:rPr>
          <w:color w:val="FFFFFF"/>
        </w:rPr>
        <w:t>9. Dataset and Splitting Protocol</w:t>
      </w:r>
    </w:p>
    <w:p>
      <w:pPr>
        <w:pStyle w:val="normal1"/>
        <w:spacing w:lineRule="auto" w:line="259" w:before="0" w:after="100"/>
        <w:rPr>
          <w:color w:val="FFFFFF"/>
        </w:rPr>
      </w:pPr>
      <w:r>
        <w:rPr>
          <w:color w:val="FFFFFF"/>
        </w:rPr>
        <w:t>The pilot experiments are treated only as implementation and numerical-feasibility checks. The scientific evaluation will use real protein-ligand complexes from established resources such as BioLiP, PDBbind, COACH420, and HOLO4K, with a matched subset of predicted structures when available.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Define residue-level binding labels using heavy-atom proximity to a valid non-solvent ligand, using a fixed distance threshold (for example 4.5 Å).</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Cluster protein sequences using MMseqs2 or an equivalent method at a stringent sequence-identity threshold (approximately 30%) and split entire clusters, not individual proteins.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Fit scalar preprocessing, feature-selection rules, calibration functions, and thresholds strictly on training/validation partitions.</w:t>
      </w:r>
    </w:p>
    <w:p>
      <w:pPr>
        <w:pStyle w:val="normal1"/>
        <w:keepNext w:val="false"/>
        <w:keepLines w:val="false"/>
        <w:pageBreakBefore w:val="false"/>
        <w:widowControl/>
        <w:numPr>
          <w:ilvl w:val="0"/>
          <w:numId w:val="1"/>
        </w:numPr>
        <w:shd w:val="clear" w:fill="auto"/>
        <w:spacing w:lineRule="auto" w:line="276" w:before="0" w:after="20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Maintain a paired PDB-to-predicted-structure test subset to quantify the structure-domain gap directly.</w:t>
      </w:r>
    </w:p>
    <w:p>
      <w:pPr>
        <w:pStyle w:val="Heading1"/>
        <w:spacing w:lineRule="auto" w:line="240" w:before="160" w:after="80"/>
        <w:rPr>
          <w:color w:val="FFFFFF"/>
        </w:rPr>
      </w:pPr>
      <w:r>
        <w:rPr>
          <w:color w:val="FFFFFF"/>
        </w:rPr>
        <w:t>10. Experimental Design</w:t>
      </w:r>
    </w:p>
    <w:p>
      <w:pPr>
        <w:pStyle w:val="Heading2"/>
        <w:spacing w:lineRule="auto" w:line="240" w:before="160" w:after="80"/>
        <w:rPr>
          <w:color w:val="FFFFFF"/>
        </w:rPr>
      </w:pPr>
      <w:r>
        <w:rPr>
          <w:color w:val="FFFFFF"/>
        </w:rPr>
        <w:t>10.1 Controlled Model Ladder</w:t>
      </w:r>
    </w:p>
    <w:tbl>
      <w:tblPr>
        <w:tblStyle w:val="Table2"/>
        <w:tblW w:w="9936" w:type="dxa"/>
        <w:jc w:val="center"/>
        <w:tblInd w:w="0" w:type="dxa"/>
        <w:tblLayout w:type="fixed"/>
        <w:tblCellMar>
          <w:top w:w="0" w:type="dxa"/>
          <w:left w:w="108" w:type="dxa"/>
          <w:bottom w:w="0" w:type="dxa"/>
          <w:right w:w="108" w:type="dxa"/>
        </w:tblCellMar>
        <w:tblLook w:val="0400"/>
      </w:tblPr>
      <w:tblGrid>
        <w:gridCol w:w="3312"/>
        <w:gridCol w:w="3312"/>
        <w:gridCol w:w="3312"/>
      </w:tblGrid>
      <w:tr>
        <w:trPr>
          <w:tblHeader w:val="true"/>
        </w:trPr>
        <w:tc>
          <w:tcPr>
            <w:tcW w:w="3312" w:type="dxa"/>
            <w:tcBorders>
              <w:top w:val="single" w:sz="4" w:space="0" w:color="000000"/>
              <w:left w:val="single" w:sz="4" w:space="0" w:color="000000"/>
              <w:bottom w:val="single" w:sz="4" w:space="0" w:color="000000"/>
              <w:right w:val="single" w:sz="4" w:space="0" w:color="000000"/>
            </w:tcBorders>
            <w:shd w:fill="D9EAF7" w:val="clear"/>
          </w:tcPr>
          <w:p>
            <w:pPr>
              <w:pStyle w:val="normal1"/>
              <w:spacing w:before="0" w:after="200"/>
              <w:rPr>
                <w:color w:val="FFFFFF"/>
              </w:rPr>
            </w:pPr>
            <w:r>
              <w:rPr>
                <w:rFonts w:eastAsia="Aptos" w:cs="Aptos"/>
                <w:color w:val="FFFFFF"/>
                <w:sz w:val="18"/>
                <w:szCs w:val="18"/>
              </w:rPr>
              <w:t>Model</w:t>
            </w:r>
          </w:p>
        </w:tc>
        <w:tc>
          <w:tcPr>
            <w:tcW w:w="3312" w:type="dxa"/>
            <w:tcBorders>
              <w:top w:val="single" w:sz="4" w:space="0" w:color="000000"/>
              <w:left w:val="single" w:sz="4" w:space="0" w:color="000000"/>
              <w:bottom w:val="single" w:sz="4" w:space="0" w:color="000000"/>
              <w:right w:val="single" w:sz="4" w:space="0" w:color="000000"/>
            </w:tcBorders>
            <w:shd w:fill="D9EAF7" w:val="clear"/>
          </w:tcPr>
          <w:p>
            <w:pPr>
              <w:pStyle w:val="normal1"/>
              <w:spacing w:before="0" w:after="200"/>
              <w:rPr>
                <w:color w:val="FFFFFF"/>
              </w:rPr>
            </w:pPr>
            <w:r>
              <w:rPr>
                <w:rFonts w:eastAsia="Aptos" w:cs="Aptos"/>
                <w:color w:val="FFFFFF"/>
                <w:sz w:val="18"/>
                <w:szCs w:val="18"/>
              </w:rPr>
              <w:t>Configuration</w:t>
            </w:r>
          </w:p>
        </w:tc>
        <w:tc>
          <w:tcPr>
            <w:tcW w:w="3312" w:type="dxa"/>
            <w:tcBorders>
              <w:top w:val="single" w:sz="4" w:space="0" w:color="000000"/>
              <w:left w:val="single" w:sz="4" w:space="0" w:color="000000"/>
              <w:bottom w:val="single" w:sz="4" w:space="0" w:color="000000"/>
              <w:right w:val="single" w:sz="4" w:space="0" w:color="000000"/>
            </w:tcBorders>
            <w:shd w:fill="D9EAF7" w:val="clear"/>
          </w:tcPr>
          <w:p>
            <w:pPr>
              <w:pStyle w:val="normal1"/>
              <w:spacing w:before="0" w:after="200"/>
              <w:rPr>
                <w:color w:val="FFFFFF"/>
              </w:rPr>
            </w:pPr>
            <w:r>
              <w:rPr>
                <w:rFonts w:eastAsia="Aptos" w:cs="Aptos"/>
                <w:color w:val="FFFFFF"/>
                <w:sz w:val="18"/>
                <w:szCs w:val="18"/>
              </w:rPr>
              <w:t>Question answered</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M0</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ESM/PSSM + ordinary geometric GNN</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Reference model.</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M1</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M0 + mathematical biophysical features</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Do explicit priors add value?</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M2</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M1 + minimum-pLDDT geometry gate</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Does simple confidence gating help?</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M3</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M1 + pLDDT/PAE pairwise gate</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Does pairwise uncertainty improve gating?</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M4</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M1 + calibrated confidence + PAE gate</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Does empirical confidence calibration help?</w:t>
            </w:r>
          </w:p>
        </w:tc>
      </w:tr>
      <w:tr>
        <w:trPr/>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M5</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M4 + confidence-aware mathematical descriptors</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Do uncertainty-weighted priors add further robustness?</w:t>
            </w:r>
          </w:p>
        </w:tc>
      </w:tr>
    </w:tbl>
    <w:p>
      <w:pPr>
        <w:pStyle w:val="Heading2"/>
        <w:spacing w:lineRule="auto" w:line="240" w:before="160" w:after="80"/>
        <w:rPr>
          <w:color w:val="FFFFFF"/>
        </w:rPr>
      </w:pPr>
      <w:r>
        <w:rPr>
          <w:color w:val="FFFFFF"/>
        </w:rPr>
        <w:t>10.2 Gating Ablations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Ungated: gᵢⱼ = 1</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Arithmetic confidence gate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Minimum endpoint confidence gate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Multiplicative confidence gate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pLDDT + PAE analytic gate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Monotonic learned gate</w:t>
      </w:r>
    </w:p>
    <w:p>
      <w:pPr>
        <w:pStyle w:val="normal1"/>
        <w:keepNext w:val="false"/>
        <w:keepLines w:val="false"/>
        <w:pageBreakBefore w:val="false"/>
        <w:widowControl/>
        <w:numPr>
          <w:ilvl w:val="0"/>
          <w:numId w:val="1"/>
        </w:numPr>
        <w:shd w:val="clear" w:fill="auto"/>
        <w:spacing w:lineRule="auto" w:line="276" w:before="0" w:after="20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Unconstrained MLP gate (ablation only)</w:t>
      </w:r>
    </w:p>
    <w:p>
      <w:pPr>
        <w:pStyle w:val="Heading2"/>
        <w:spacing w:lineRule="auto" w:line="240" w:before="160" w:after="80"/>
        <w:rPr>
          <w:color w:val="FFFFFF"/>
        </w:rPr>
      </w:pPr>
      <w:r>
        <w:rPr>
          <w:color w:val="FFFFFF"/>
        </w:rPr>
        <w:t>10.3 PDB-to-Predicted-Structure Transfer</w:t>
      </w:r>
    </w:p>
    <w:p>
      <w:pPr>
        <w:pStyle w:val="normal1"/>
        <w:spacing w:lineRule="auto" w:line="259" w:before="0" w:after="100"/>
        <w:rPr>
          <w:color w:val="FFFFFF"/>
        </w:rPr>
      </w:pPr>
      <w:r>
        <w:rPr>
          <w:color w:val="FFFFFF"/>
        </w:rPr>
        <w:t>For the same protein sequence, evaluate the model on an experimental structure and its predicted counterpart while keeping the biological binding labels fixed. The primary robustness quantity is the change in performance caused by replacing experimental coordinates with predicted coordinates.</w:t>
      </w:r>
    </w:p>
    <w:p>
      <w:pPr>
        <w:pStyle w:val="normal1"/>
        <w:spacing w:lineRule="auto" w:line="259" w:before="0" w:after="100"/>
        <w:jc w:val="center"/>
        <w:rPr>
          <w:color w:val="FFFFFF"/>
        </w:rPr>
      </w:pPr>
      <w:r>
        <w:rPr>
          <w:rFonts w:eastAsia="Cambria Math" w:cs="Cambria Math" w:ascii="Cambria Math" w:hAnsi="Cambria Math"/>
          <w:color w:val="FFFFFF"/>
          <w:sz w:val="22"/>
          <w:szCs w:val="22"/>
        </w:rPr>
        <w:t>ΔPRᵢ = PR-AUC(PDBᵢ) - PR-AUC(Predictedᵢ)</w:t>
      </w:r>
    </w:p>
    <w:p>
      <w:pPr>
        <w:pStyle w:val="normal1"/>
        <w:spacing w:lineRule="auto" w:line="259" w:before="0" w:after="100"/>
        <w:rPr>
          <w:color w:val="FFFFFF"/>
        </w:rPr>
      </w:pPr>
      <w:r>
        <w:rPr>
          <w:color w:val="FFFFFF"/>
        </w:rPr>
        <w:t>A robust uncertainty-aware model should reduce the magnitude of this degradation relative to the ordinary GNN.</w:t>
      </w:r>
    </w:p>
    <w:p>
      <w:pPr>
        <w:pStyle w:val="Heading2"/>
        <w:spacing w:lineRule="auto" w:line="240" w:before="160" w:after="80"/>
        <w:rPr>
          <w:color w:val="FFFFFF"/>
        </w:rPr>
      </w:pPr>
      <w:r>
        <w:rPr>
          <w:color w:val="FFFFFF"/>
        </w:rPr>
        <w:t>10.4 Controlled Coordinate Corruption</w:t>
      </w:r>
    </w:p>
    <w:p>
      <w:pPr>
        <w:pStyle w:val="normal1"/>
        <w:spacing w:lineRule="auto" w:line="259" w:before="0" w:after="100"/>
        <w:rPr>
          <w:color w:val="FFFFFF"/>
        </w:rPr>
      </w:pPr>
      <w:r>
        <w:rPr>
          <w:color w:val="FFFFFF"/>
        </w:rPr>
        <w:t>To test the causal effect of structural uncertainty, experimental structures will also be perturbed under controlled noise.</w:t>
      </w:r>
    </w:p>
    <w:p>
      <w:pPr>
        <w:pStyle w:val="normal1"/>
        <w:spacing w:lineRule="auto" w:line="259" w:before="0" w:after="100"/>
        <w:jc w:val="center"/>
        <w:rPr>
          <w:color w:val="FFFFFF"/>
        </w:rPr>
      </w:pPr>
      <w:r>
        <w:rPr>
          <w:rFonts w:eastAsia="Cambria Math" w:cs="Cambria Math" w:ascii="Cambria Math" w:hAnsi="Cambria Math"/>
          <w:color w:val="FFFFFF"/>
          <w:sz w:val="22"/>
          <w:szCs w:val="22"/>
        </w:rPr>
        <w:t>xᵢ′ = xᵢ + εᵢ,   εᵢ ~ N(0, σᵢ²I)</w:t>
      </w:r>
    </w:p>
    <w:p>
      <w:pPr>
        <w:pStyle w:val="normal1"/>
        <w:spacing w:lineRule="auto" w:line="259" w:before="0" w:after="100"/>
        <w:rPr>
          <w:color w:val="FFFFFF"/>
        </w:rPr>
      </w:pPr>
      <w:r>
        <w:rPr>
          <w:color w:val="FFFFFF"/>
        </w:rPr>
        <w:t>Noise levels can be uniform for controlled stress testing or confidence-conditioned using the calibrated error model. Robustness is summarized by performance curves across perturbation levels, rather than by a single arbitrary perturbation.</w:t>
      </w:r>
    </w:p>
    <w:p>
      <w:pPr>
        <w:pStyle w:val="normal1"/>
        <w:spacing w:lineRule="auto" w:line="259" w:before="0" w:after="100"/>
        <w:jc w:val="center"/>
        <w:rPr>
          <w:color w:val="FFFFFF"/>
        </w:rPr>
      </w:pPr>
      <w:r>
        <w:rPr>
          <w:rFonts w:eastAsia="Cambria Math" w:cs="Cambria Math" w:ascii="Cambria Math" w:hAnsi="Cambria Math"/>
          <w:color w:val="FFFFFF"/>
          <w:sz w:val="22"/>
          <w:szCs w:val="22"/>
        </w:rPr>
        <w:t>R = integral from 0 to sigma_max of PR-AUC(sigma) d sigma</w:t>
      </w:r>
    </w:p>
    <w:p>
      <w:pPr>
        <w:pStyle w:val="Heading1"/>
        <w:spacing w:lineRule="auto" w:line="240" w:before="160" w:after="80"/>
        <w:rPr>
          <w:color w:val="FFFFFF"/>
        </w:rPr>
      </w:pPr>
      <w:r>
        <w:rPr>
          <w:color w:val="FFFFFF"/>
        </w:rPr>
        <w:t>11. Training Strategy</w:t>
      </w:r>
    </w:p>
    <w:p>
      <w:pPr>
        <w:pStyle w:val="normal1"/>
        <w:spacing w:lineRule="auto" w:line="259" w:before="0" w:after="100"/>
        <w:rPr>
          <w:color w:val="FFFFFF"/>
        </w:rPr>
      </w:pPr>
      <w:r>
        <w:rPr>
          <w:color w:val="FFFFFF"/>
        </w:rPr>
        <w:t>Training will use protein-level mini-batches and class-imbalance-aware objectives. Focal loss can be used as a baseline objective, but loss choice will be validated rather than assumed optimal. Early stopping and model selection will be based on validation PR-AUC, not training loss.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Primary optimizer: AdamW with learning-rate scheduling and weight decay.</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Gradient clipping and mixed precision for stable geometric-network training.</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Frozen ESM embeddings and LoRA fine-tuning treated as separate experimental configurations; precomputed ESM tensors cannot be LoRA-fine-tuned during downstream training.</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Hyperparameters selected only on training/validation data.</w:t>
      </w:r>
    </w:p>
    <w:p>
      <w:pPr>
        <w:pStyle w:val="normal1"/>
        <w:keepNext w:val="false"/>
        <w:keepLines w:val="false"/>
        <w:pageBreakBefore w:val="false"/>
        <w:widowControl/>
        <w:numPr>
          <w:ilvl w:val="0"/>
          <w:numId w:val="1"/>
        </w:numPr>
        <w:shd w:val="clear" w:fill="auto"/>
        <w:spacing w:lineRule="auto" w:line="276" w:before="0" w:after="20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Multiple random seeds reported for each major architecture.</w:t>
      </w:r>
    </w:p>
    <w:p>
      <w:pPr>
        <w:pStyle w:val="Heading1"/>
        <w:spacing w:lineRule="auto" w:line="240" w:before="160" w:after="80"/>
        <w:rPr>
          <w:color w:val="FFFFFF"/>
        </w:rPr>
      </w:pPr>
      <w:r>
        <w:rPr>
          <w:color w:val="FFFFFF"/>
        </w:rPr>
        <w:t>12. Evaluation Framework</w:t>
      </w:r>
    </w:p>
    <w:p>
      <w:pPr>
        <w:pStyle w:val="normal1"/>
        <w:spacing w:lineRule="auto" w:line="259" w:before="0" w:after="100"/>
        <w:rPr>
          <w:color w:val="FFFFFF"/>
        </w:rPr>
      </w:pPr>
      <w:r>
        <w:rPr>
          <w:color w:val="FFFFFF"/>
        </w:rPr>
        <w:t>Because positive binding residues are sparse, PR-AUC is the primary residue-level metric. ROC-AUC is reported as a secondary ranking metric. Threshold-dependent metrics use a decision threshold selected on the validation partition rather than a fixed 0.5 cutoff.</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PR-AUC (primary)</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ROC-AUC</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Validation-selected MCC</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Precision, recall, and F1</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Top-K precision / hit rate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Pocket-level Distance to Center of Action (DCA)</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Performance stratified by confidence bands</w:t>
      </w:r>
    </w:p>
    <w:p>
      <w:pPr>
        <w:pStyle w:val="normal1"/>
        <w:keepNext w:val="false"/>
        <w:keepLines w:val="false"/>
        <w:pageBreakBefore w:val="false"/>
        <w:widowControl/>
        <w:numPr>
          <w:ilvl w:val="0"/>
          <w:numId w:val="1"/>
        </w:numPr>
        <w:shd w:val="clear" w:fill="auto"/>
        <w:spacing w:lineRule="auto" w:line="276" w:before="0" w:after="20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Robustness under controlled coordinate corruption</w:t>
      </w:r>
    </w:p>
    <w:p>
      <w:pPr>
        <w:pStyle w:val="normal1"/>
        <w:spacing w:lineRule="auto" w:line="259" w:before="0" w:after="100"/>
        <w:jc w:val="center"/>
        <w:rPr>
          <w:color w:val="FFFFFF"/>
        </w:rPr>
      </w:pPr>
      <w:r>
        <w:rPr>
          <w:rFonts w:eastAsia="Cambria Math" w:cs="Cambria Math" w:ascii="Cambria Math" w:hAnsi="Cambria Math"/>
          <w:color w:val="FFFFFF"/>
          <w:sz w:val="22"/>
          <w:szCs w:val="22"/>
        </w:rPr>
        <w:t>τ* = argmax_τ MCC(y_val, p_val ≥ τ)</w:t>
      </w:r>
    </w:p>
    <w:p>
      <w:pPr>
        <w:pStyle w:val="normal1"/>
        <w:spacing w:lineRule="auto" w:line="259" w:before="0" w:after="100"/>
        <w:rPr>
          <w:color w:val="FFFFFF"/>
        </w:rPr>
      </w:pPr>
      <w:r>
        <w:rPr>
          <w:color w:val="FFFFFF"/>
        </w:rPr>
        <w:t>Confidence-stratified analysis will report performance across bands such as &lt;50, 50–70, 70–90, and &gt;90 pLDDT. These bands are interpreted as confidence strata, not as direct disorder labels.</w:t>
      </w:r>
    </w:p>
    <w:p>
      <w:pPr>
        <w:pStyle w:val="Heading1"/>
        <w:spacing w:lineRule="auto" w:line="240" w:before="160" w:after="80"/>
        <w:rPr>
          <w:color w:val="FFFFFF"/>
        </w:rPr>
      </w:pPr>
      <w:r>
        <w:rPr>
          <w:color w:val="FFFFFF"/>
        </w:rPr>
        <w:t>13. Feature-Engineering Policy</w:t>
      </w:r>
    </w:p>
    <w:p>
      <w:pPr>
        <w:pStyle w:val="normal1"/>
        <w:spacing w:lineRule="auto" w:line="259" w:before="0" w:after="100"/>
        <w:rPr>
          <w:color w:val="FFFFFF"/>
        </w:rPr>
      </w:pPr>
      <w:r>
        <w:rPr>
          <w:color w:val="FFFFFF"/>
        </w:rPr>
        <w:t>Feature engineering remains an important part of this proposal, but it is used to encode domain knowledge and improve interpretability rather than to impose linear-model assumptions on the neural network.</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Use priority-guided correlation screening to remove obvious duplicates such as raw SASA versus RSA or multiple nearly equivalent hydrophobicity scales.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Use VIF and correlation matrices as diagnostics for the scalar block, not as proof that a feature is useful.</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Use centering for interaction terms such as conservation × RSA, but do not claim that centering guarantees mathematical orthogonality in general.</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Retain a feature only if controlled ablations show reproducible benefit or it serves a clearly justified interpretability role.</w:t>
      </w:r>
    </w:p>
    <w:p>
      <w:pPr>
        <w:pStyle w:val="normal1"/>
        <w:keepNext w:val="false"/>
        <w:keepLines w:val="false"/>
        <w:pageBreakBefore w:val="false"/>
        <w:widowControl/>
        <w:numPr>
          <w:ilvl w:val="0"/>
          <w:numId w:val="1"/>
        </w:numPr>
        <w:shd w:val="clear" w:fill="auto"/>
        <w:spacing w:lineRule="auto" w:line="276" w:before="0" w:after="20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Compare the compact engineered feature block against raw scalar features and against a model with no handcrafted scalar inputs.</w:t>
      </w:r>
    </w:p>
    <w:p>
      <w:pPr>
        <w:pStyle w:val="Heading1"/>
        <w:spacing w:lineRule="auto" w:line="240" w:before="160" w:after="80"/>
        <w:rPr>
          <w:color w:val="FFFFFF"/>
        </w:rPr>
      </w:pPr>
      <w:r>
        <w:rPr>
          <w:color w:val="FFFFFF"/>
        </w:rPr>
        <w:t>14. Expected Contributions</w:t>
      </w:r>
    </w:p>
    <w:p>
      <w:pPr>
        <w:pStyle w:val="normal1"/>
        <w:spacing w:lineRule="auto" w:line="259" w:before="0" w:after="100"/>
        <w:rPr>
          <w:color w:val="FFFFFF"/>
        </w:rPr>
      </w:pPr>
      <w:r>
        <w:rPr>
          <w:b/>
          <w:bCs/>
          <w:color w:val="FFFFFF"/>
        </w:rPr>
        <w:t xml:space="preserve">Confidence-calibrated structural reliability: </w:t>
      </w:r>
      <w:r>
        <w:rPr>
          <w:color w:val="FFFFFF"/>
        </w:rPr>
        <w:t>A data-driven mapping from structural-confidence signals to empirical geometric reliability.</w:t>
      </w:r>
    </w:p>
    <w:p>
      <w:pPr>
        <w:pStyle w:val="normal1"/>
        <w:spacing w:lineRule="auto" w:line="259" w:before="0" w:after="100"/>
        <w:rPr>
          <w:color w:val="FFFFFF"/>
        </w:rPr>
      </w:pPr>
      <w:r>
        <w:rPr>
          <w:b/>
          <w:bCs/>
          <w:color w:val="FFFFFF"/>
        </w:rPr>
        <w:t xml:space="preserve">Modality-selective uncertainty reasoning: </w:t>
      </w:r>
      <w:r>
        <w:rPr>
          <w:color w:val="FFFFFF"/>
        </w:rPr>
        <w:t>A GNN in which uncertainty regulates coordinate-dependent messages without discarding sequence/evolutionary evidence.</w:t>
      </w:r>
    </w:p>
    <w:p>
      <w:pPr>
        <w:pStyle w:val="normal1"/>
        <w:spacing w:lineRule="auto" w:line="259" w:before="0" w:after="100"/>
        <w:rPr>
          <w:color w:val="FFFFFF"/>
        </w:rPr>
      </w:pPr>
      <w:r>
        <w:rPr>
          <w:b/>
          <w:bCs/>
          <w:color w:val="FFFFFF"/>
        </w:rPr>
        <w:t xml:space="preserve">Uncertainty-aware mathematical pocket descriptors: </w:t>
      </w:r>
      <w:r>
        <w:rPr>
          <w:color w:val="FFFFFF"/>
        </w:rPr>
        <w:t>Confidence-weighted packing and cavity-related descriptors with direct biological interpretation.</w:t>
      </w:r>
    </w:p>
    <w:p>
      <w:pPr>
        <w:pStyle w:val="normal1"/>
        <w:spacing w:lineRule="auto" w:line="259" w:before="0" w:after="100"/>
        <w:rPr>
          <w:color w:val="FFFFFF"/>
        </w:rPr>
      </w:pPr>
      <w:r>
        <w:rPr>
          <w:b/>
          <w:bCs/>
          <w:color w:val="FFFFFF"/>
        </w:rPr>
        <w:t xml:space="preserve">Controlled robustness benchmark: </w:t>
      </w:r>
      <w:r>
        <w:rPr>
          <w:color w:val="FFFFFF"/>
        </w:rPr>
        <w:t>Paired experimental/predicted structures plus calibrated coordinate corruption for measuring sensitivity to geometry.</w:t>
      </w:r>
    </w:p>
    <w:p>
      <w:pPr>
        <w:pStyle w:val="normal1"/>
        <w:spacing w:lineRule="auto" w:line="259" w:before="0" w:after="100"/>
        <w:rPr>
          <w:color w:val="FFFFFF"/>
        </w:rPr>
      </w:pPr>
      <w:r>
        <w:rPr>
          <w:b/>
          <w:bCs/>
          <w:color w:val="FFFFFF"/>
        </w:rPr>
        <w:t xml:space="preserve">Rigorous feature-engineering analysis: </w:t>
      </w:r>
      <w:r>
        <w:rPr>
          <w:color w:val="FFFFFF"/>
        </w:rPr>
        <w:t>Ablations establishing when explicit biophysical priors complement modern protein embeddings and geometric networks.</w:t>
      </w:r>
    </w:p>
    <w:p>
      <w:pPr>
        <w:pStyle w:val="Heading1"/>
        <w:spacing w:lineRule="auto" w:line="240" w:before="160" w:after="80"/>
        <w:rPr>
          <w:color w:val="FFFFFF"/>
        </w:rPr>
      </w:pPr>
      <w:r>
        <w:rPr>
          <w:color w:val="FFFFFF"/>
        </w:rPr>
        <w:t>15. Risks and Mitigations</w:t>
      </w:r>
    </w:p>
    <w:tbl>
      <w:tblPr>
        <w:tblStyle w:val="Table3"/>
        <w:tblW w:w="9936" w:type="dxa"/>
        <w:jc w:val="center"/>
        <w:tblInd w:w="0" w:type="dxa"/>
        <w:tblLayout w:type="fixed"/>
        <w:tblCellMar>
          <w:top w:w="0" w:type="dxa"/>
          <w:left w:w="108" w:type="dxa"/>
          <w:bottom w:w="0" w:type="dxa"/>
          <w:right w:w="108" w:type="dxa"/>
        </w:tblCellMar>
        <w:tblLook w:val="0400"/>
      </w:tblPr>
      <w:tblGrid>
        <w:gridCol w:w="4968"/>
        <w:gridCol w:w="4967"/>
      </w:tblGrid>
      <w:tr>
        <w:trPr>
          <w:tblHeader w:val="true"/>
        </w:trPr>
        <w:tc>
          <w:tcPr>
            <w:tcW w:w="4968" w:type="dxa"/>
            <w:tcBorders>
              <w:top w:val="single" w:sz="4" w:space="0" w:color="000000"/>
              <w:left w:val="single" w:sz="4" w:space="0" w:color="000000"/>
              <w:bottom w:val="single" w:sz="4" w:space="0" w:color="000000"/>
              <w:right w:val="single" w:sz="4" w:space="0" w:color="000000"/>
            </w:tcBorders>
            <w:shd w:fill="D9EAF7" w:val="clear"/>
          </w:tcPr>
          <w:p>
            <w:pPr>
              <w:pStyle w:val="normal1"/>
              <w:spacing w:before="0" w:after="200"/>
              <w:rPr>
                <w:color w:val="FFFFFF"/>
              </w:rPr>
            </w:pPr>
            <w:r>
              <w:rPr>
                <w:rFonts w:eastAsia="Aptos" w:cs="Aptos"/>
                <w:color w:val="FFFFFF"/>
                <w:sz w:val="18"/>
                <w:szCs w:val="18"/>
              </w:rPr>
              <w:t>Risk</w:t>
            </w:r>
          </w:p>
        </w:tc>
        <w:tc>
          <w:tcPr>
            <w:tcW w:w="4967" w:type="dxa"/>
            <w:tcBorders>
              <w:top w:val="single" w:sz="4" w:space="0" w:color="000000"/>
              <w:left w:val="single" w:sz="4" w:space="0" w:color="000000"/>
              <w:bottom w:val="single" w:sz="4" w:space="0" w:color="000000"/>
              <w:right w:val="single" w:sz="4" w:space="0" w:color="000000"/>
            </w:tcBorders>
            <w:shd w:fill="D9EAF7" w:val="clear"/>
          </w:tcPr>
          <w:p>
            <w:pPr>
              <w:pStyle w:val="normal1"/>
              <w:spacing w:before="0" w:after="200"/>
              <w:rPr>
                <w:color w:val="FFFFFF"/>
              </w:rPr>
            </w:pPr>
            <w:r>
              <w:rPr>
                <w:rFonts w:eastAsia="Aptos" w:cs="Aptos"/>
                <w:color w:val="FFFFFF"/>
                <w:sz w:val="18"/>
                <w:szCs w:val="18"/>
              </w:rPr>
              <w:t>Mitigation</w:t>
            </w:r>
          </w:p>
        </w:tc>
      </w:tr>
      <w:tr>
        <w:trPr/>
        <w:tc>
          <w:tcPr>
            <w:tcW w:w="4968"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Gating effect is small or statistically insignificant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Treat this as a scientifically valid result; the controlled robustness analysis remains informative.</w:t>
            </w:r>
          </w:p>
        </w:tc>
      </w:tr>
      <w:tr>
        <w:trPr/>
        <w:tc>
          <w:tcPr>
            <w:tcW w:w="4968"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Low-confidence regions contain real binding residues</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Gate only geometric evidence; preserve sequence/evolutionary information and perform confidence-stratified recall analysis.</w:t>
            </w:r>
          </w:p>
        </w:tc>
      </w:tr>
      <w:tr>
        <w:trPr/>
        <w:tc>
          <w:tcPr>
            <w:tcW w:w="4968"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Model overfits a moderate-size benchmark</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Use cluster-level splits, regularization, reduced ESM dimensionality, early stopping, and repeated seeds.</w:t>
            </w:r>
          </w:p>
        </w:tc>
      </w:tr>
      <w:tr>
        <w:trPr/>
        <w:tc>
          <w:tcPr>
            <w:tcW w:w="4968"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pLDDT is confused with disorder</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Treat pLDDT as confidence only; use explicit disorder predictors as sensitivity analysis if needed.</w:t>
            </w:r>
          </w:p>
        </w:tc>
      </w:tr>
      <w:tr>
        <w:trPr/>
        <w:tc>
          <w:tcPr>
            <w:tcW w:w="4968"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Feature engineering becomes overly complex</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before="0" w:after="200"/>
              <w:rPr>
                <w:color w:val="FFFFFF"/>
              </w:rPr>
            </w:pPr>
            <w:r>
              <w:rPr>
                <w:rFonts w:eastAsia="Aptos" w:cs="Aptos"/>
                <w:color w:val="FFFFFF"/>
                <w:sz w:val="18"/>
                <w:szCs w:val="18"/>
              </w:rPr>
              <w:t>Require ablation evidence for each engineered descriptor and keep the final scalar block compact.</w:t>
            </w:r>
          </w:p>
        </w:tc>
      </w:tr>
    </w:tbl>
    <w:p>
      <w:pPr>
        <w:pStyle w:val="Heading1"/>
        <w:spacing w:lineRule="auto" w:line="240" w:before="160" w:after="80"/>
        <w:rPr>
          <w:color w:val="FFFFFF"/>
        </w:rPr>
      </w:pPr>
      <w:r>
        <w:rPr>
          <w:color w:val="FFFFFF"/>
        </w:rPr>
        <w:t>17. Expected Outcome and Significance</w:t>
      </w:r>
    </w:p>
    <w:p>
      <w:pPr>
        <w:pStyle w:val="normal1"/>
        <w:spacing w:lineRule="auto" w:line="259" w:before="0" w:after="100"/>
        <w:rPr>
          <w:color w:val="FFFFFF"/>
        </w:rPr>
      </w:pPr>
      <w:r>
        <w:rPr>
          <w:color w:val="FFFFFF"/>
        </w:rPr>
        <w:t>The expected outcome is a residue-level and pocket-level predictor that combines modern sequence representations with interpretable biophysical priors while explicitly representing uncertainty in structural geometry. The objective is not simply to improve a benchmark score, but to determine how a structure-aware model should reason when its coordinates are imperfect.</w:t>
      </w:r>
    </w:p>
    <w:p>
      <w:pPr>
        <w:pStyle w:val="normal1"/>
        <w:spacing w:lineRule="auto" w:line="259" w:before="0" w:after="100"/>
        <w:jc w:val="center"/>
        <w:rPr>
          <w:color w:val="FFFFFF"/>
        </w:rPr>
      </w:pPr>
      <w:r>
        <w:rPr>
          <w:rFonts w:eastAsia="Cambria Math" w:cs="Cambria Math" w:ascii="Cambria Math" w:hAnsi="Cambria Math"/>
          <w:color w:val="FFFFFF"/>
          <w:sz w:val="22"/>
          <w:szCs w:val="22"/>
        </w:rPr>
        <w:t>How should a geometric neural network reason when it does not fully trust its geometry?</w:t>
      </w:r>
    </w:p>
    <w:p>
      <w:pPr>
        <w:pStyle w:val="normal1"/>
        <w:spacing w:lineRule="auto" w:line="259" w:before="0" w:after="100"/>
        <w:rPr>
          <w:color w:val="FFFFFF"/>
        </w:rPr>
      </w:pPr>
      <w:r>
        <w:rPr>
          <w:color w:val="FFFFFF"/>
        </w:rPr>
        <w:t>If successful, the resulting framework could generalize beyond ligand-pocket prediction to other structural-bioinformatics tasks in which predicted geometry is useful but uncertain, including protein interfaces, functional-site prediction, and structure-based molecular design.</w:t>
      </w:r>
    </w:p>
    <w:p>
      <w:pPr>
        <w:pStyle w:val="Heading1"/>
        <w:spacing w:lineRule="auto" w:line="240" w:before="160" w:after="80"/>
        <w:rPr>
          <w:color w:val="FFFFFF"/>
        </w:rPr>
      </w:pPr>
      <w:r>
        <w:rPr>
          <w:color w:val="FFFFFF"/>
        </w:rPr>
        <w:t>18. Selected Background References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AlphaFold Protein Structure Database documentation and confidence-score guidance (pLDDT and PAE).</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Tien et al. (2013). Maximum allowed solvent accessibilities of residues in proteins.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Kyte and Doolittle. Hydropathy scale for protein sequence analysis.</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P2Rank / PrankWeb literature for geometry-based ligand-binding-site prediction.</w:t>
      </w:r>
    </w:p>
    <w:p>
      <w:pPr>
        <w:pStyle w:val="normal1"/>
        <w:keepNext w:val="false"/>
        <w:keepLines w:val="false"/>
        <w:pageBreakBefore w:val="false"/>
        <w:widowControl/>
        <w:numPr>
          <w:ilvl w:val="0"/>
          <w:numId w:val="1"/>
        </w:numPr>
        <w:shd w:val="clear" w:fill="auto"/>
        <w:spacing w:lineRule="auto" w:line="276" w:before="0" w:after="0"/>
        <w:ind w:hanging="360" w:left="360" w:right="0"/>
        <w:jc w:val="left"/>
        <w:rPr>
          <w:color w:val="FFFFFF"/>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Recent multimodal and geometric protein binding-site prediction literature, including ProtGeoNet-Pocket and related graph/equivariant approaches.</w:t>
      </w:r>
    </w:p>
    <w:p>
      <w:pPr>
        <w:pStyle w:val="normal1"/>
        <w:keepNext w:val="false"/>
        <w:keepLines w:val="false"/>
        <w:pageBreakBefore w:val="false"/>
        <w:widowControl/>
        <w:numPr>
          <w:ilvl w:val="0"/>
          <w:numId w:val="1"/>
        </w:numPr>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position w:val="0"/>
          <w:sz w:val="21"/>
          <w:sz w:val="21"/>
          <w:szCs w:val="21"/>
          <w:u w:val="none"/>
          <w:shd w:fill="auto" w:val="clear"/>
          <w:vertAlign w:val="baseline"/>
        </w:rPr>
      </w:pPr>
      <w:r>
        <w:rPr>
          <w:rFonts w:eastAsia="Aptos" w:cs="Aptos"/>
          <w:b w:val="false"/>
          <w:bCs w:val="false"/>
          <w:i w:val="false"/>
          <w:iCs w:val="false"/>
          <w:caps w:val="false"/>
          <w:smallCaps w:val="false"/>
          <w:strike w:val="false"/>
          <w:dstrike w:val="false"/>
          <w:color w:val="FFFFFF"/>
          <w:position w:val="0"/>
          <w:sz w:val="21"/>
          <w:sz w:val="21"/>
          <w:szCs w:val="21"/>
          <w:u w:val="none"/>
          <w:shd w:fill="auto" w:val="clear"/>
          <w:vertAlign w:val="baseline"/>
        </w:rPr>
        <w:t>Recent confidence-aware PDB-to-AlphaFold binding-site prediction literature, including ProtCross.</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r>
        <w:rPr>
          <w:rFonts w:eastAsia="Aptos" w:cs="Aptos"/>
          <w:b w:val="false"/>
          <w:bCs w:val="false"/>
          <w:i w:val="false"/>
          <w:iCs w:val="false"/>
          <w:caps w:val="false"/>
          <w:smallCaps w:val="false"/>
          <w:strike w:val="false"/>
          <w:dstrike w:val="false"/>
          <w:color w:val="FFFFFF"/>
          <w:sz w:val="21"/>
          <w:szCs w:val="21"/>
          <w:u w:val="none"/>
          <w:shd w:fill="auto" w:val="clear"/>
        </w:rPr>
        <w:t>Input</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Sequence/evolution    Structure</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r>
        <w:rPr>
          <w:rFonts w:eastAsia="Aptos" w:cs="Aptos"/>
          <w:b w:val="false"/>
          <w:bCs w:val="false"/>
          <w:i w:val="false"/>
          <w:iCs w:val="false"/>
          <w:caps w:val="false"/>
          <w:smallCaps w:val="false"/>
          <w:strike w:val="false"/>
          <w:dstrike w:val="false"/>
          <w:color w:val="FFFFFF"/>
          <w:sz w:val="21"/>
          <w:szCs w:val="21"/>
          <w:u w:val="none"/>
          <w:shd w:fill="auto" w:val="clear"/>
        </w:rPr>
        <w:t>ESM/conservation   geometric features</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                            </w:t>
      </w:r>
      <w:r>
        <w:rPr>
          <w:rFonts w:eastAsia="Aptos" w:cs="Aptos"/>
          <w:b w:val="false"/>
          <w:bCs w:val="false"/>
          <w:i w:val="false"/>
          <w:iCs w:val="false"/>
          <w:caps w:val="false"/>
          <w:smallCaps w:val="false"/>
          <w:strike w:val="false"/>
          <w:dstrike w:val="false"/>
          <w:color w:val="FFFFFF"/>
          <w:sz w:val="21"/>
          <w:szCs w:val="21"/>
          <w:u w:val="none"/>
          <w:shd w:fill="auto" w:val="clear"/>
        </w:rPr>
        <w:t>confidence weighting</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r>
        <w:rPr>
          <w:rFonts w:eastAsia="Aptos" w:cs="Aptos"/>
          <w:b w:val="false"/>
          <w:bCs w:val="false"/>
          <w:i w:val="false"/>
          <w:iCs w:val="false"/>
          <w:caps w:val="false"/>
          <w:smallCaps w:val="false"/>
          <w:strike w:val="false"/>
          <w:dstrike w:val="false"/>
          <w:color w:val="FFFFFF"/>
          <w:sz w:val="21"/>
          <w:szCs w:val="21"/>
          <w:u w:val="none"/>
          <w:shd w:fill="auto" w:val="clear"/>
        </w:rPr>
        <w:t>GNN</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                </w:t>
      </w:r>
      <w:r>
        <w:rPr>
          <w:rFonts w:eastAsia="Aptos" w:cs="Aptos"/>
          <w:b w:val="false"/>
          <w:bCs w:val="false"/>
          <w:i w:val="false"/>
          <w:iCs w:val="false"/>
          <w:caps w:val="false"/>
          <w:smallCaps w:val="false"/>
          <w:strike w:val="false"/>
          <w:dstrike w:val="false"/>
          <w:color w:val="FFFFFF"/>
          <w:sz w:val="21"/>
          <w:szCs w:val="21"/>
          <w:u w:val="none"/>
          <w:shd w:fill="auto" w:val="clear"/>
        </w:rPr>
        <w:t>binding-site score</w:t>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0" w:left="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structural confidence→useful uncertainty signal for binding-site prediction</w:t>
      </w:r>
    </w:p>
    <w:p>
      <w:pPr>
        <w:pStyle w:val="normal1"/>
        <w:widowControl/>
        <w:shd w:val="clear" w:fill="auto"/>
        <w:spacing w:lineRule="auto" w:line="276" w:before="0" w:after="200"/>
        <w:ind w:hanging="0" w:left="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drawing>
          <wp:anchor behindDoc="0" distT="0" distB="0" distL="0" distR="0" simplePos="0" locked="0" layoutInCell="0" allowOverlap="1" relativeHeight="2">
            <wp:simplePos x="0" y="0"/>
            <wp:positionH relativeFrom="column">
              <wp:posOffset>-27940</wp:posOffset>
            </wp:positionH>
            <wp:positionV relativeFrom="paragraph">
              <wp:posOffset>102235</wp:posOffset>
            </wp:positionV>
            <wp:extent cx="4406265" cy="58153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0" r="30164" b="0"/>
                    <a:stretch>
                      <a:fillRect/>
                    </a:stretch>
                  </pic:blipFill>
                  <pic:spPr bwMode="auto">
                    <a:xfrm>
                      <a:off x="0" y="0"/>
                      <a:ext cx="4406265" cy="5815330"/>
                    </a:xfrm>
                    <a:prstGeom prst="rect">
                      <a:avLst/>
                    </a:prstGeom>
                    <a:noFill/>
                  </pic:spPr>
                </pic:pic>
              </a:graphicData>
            </a:graphic>
          </wp:anchor>
        </w:drawing>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r>
    </w:p>
    <w:p>
      <w:pPr>
        <w:pStyle w:val="normal1"/>
        <w:widowControl/>
        <w:shd w:val="clear" w:fill="auto"/>
        <w:spacing w:lineRule="auto" w:line="276" w:before="0" w:after="200"/>
        <w:ind w:hanging="360" w:left="360" w:right="0"/>
        <w:jc w:val="left"/>
        <w:rPr>
          <w:rFonts w:ascii="Aptos" w:hAnsi="Aptos" w:eastAsia="Aptos" w:cs="Aptos"/>
          <w:b w:val="false"/>
          <w:bCs w:val="false"/>
          <w:i w:val="false"/>
          <w:i w:val="false"/>
          <w:iCs w:val="false"/>
          <w:caps w:val="false"/>
          <w:smallCaps w:val="false"/>
          <w:strike w:val="false"/>
          <w:dstrike w:val="false"/>
          <w:color w:val="FFFFFF"/>
          <w:sz w:val="21"/>
          <w:szCs w:val="21"/>
          <w:u w:val="none"/>
          <w:shd w:fill="auto" w:val="clear"/>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issues: </w:t>
      </w:r>
    </w:p>
    <w:p>
      <w:pPr>
        <w:pStyle w:val="normal1"/>
        <w:widowControl/>
        <w:shd w:val="clear" w:fill="auto"/>
        <w:spacing w:lineRule="auto" w:line="276" w:before="0" w:after="200"/>
        <w:ind w:hanging="360" w:left="360" w:right="0"/>
        <w:jc w:val="left"/>
        <w:rPr/>
      </w:pPr>
      <w:r>
        <w:rPr>
          <w:rFonts w:eastAsia="Aptos" w:cs="Aptos"/>
          <w:b w:val="false"/>
          <w:bCs w:val="false"/>
          <w:i w:val="false"/>
          <w:iCs w:val="false"/>
          <w:caps w:val="false"/>
          <w:smallCaps w:val="false"/>
          <w:strike w:val="false"/>
          <w:dstrike w:val="false"/>
          <w:color w:val="FFFFFF"/>
          <w:sz w:val="21"/>
          <w:szCs w:val="21"/>
          <w:u w:val="none"/>
          <w:shd w:fill="auto" w:val="clear"/>
        </w:rPr>
        <w:t xml:space="preserve">1. </w:t>
        <w:tab/>
      </w:r>
      <w:r>
        <w:rPr/>
        <w:t>Structural confidence is about the reliability of structural prediction, not directly about the correctness of the biological function annotation</w:t>
      </w:r>
    </w:p>
    <w:p>
      <w:pPr>
        <w:pStyle w:val="normal1"/>
        <w:widowControl/>
        <w:shd w:val="clear" w:fill="auto"/>
        <w:spacing w:lineRule="auto" w:line="276" w:before="0" w:after="200"/>
        <w:ind w:hanging="360" w:left="360" w:right="0"/>
        <w:jc w:val="left"/>
        <w:rPr/>
      </w:pPr>
      <w:r>
        <w:rPr/>
        <w:t>2.</w:t>
        <w:tab/>
        <w:t>Is RSA treated as part of the confidence-weighted geometric branch? Same goes for cavity depth.</w:t>
      </w:r>
    </w:p>
    <w:p>
      <w:pPr>
        <w:pStyle w:val="normal1"/>
        <w:widowControl/>
        <w:shd w:val="clear" w:fill="auto"/>
        <w:spacing w:lineRule="auto" w:line="276" w:before="0" w:after="200"/>
        <w:ind w:hanging="360" w:left="360" w:right="0"/>
        <w:jc w:val="left"/>
        <w:rPr/>
      </w:pPr>
      <w:r>
        <w:rPr/>
      </w:r>
    </w:p>
    <w:p>
      <w:pPr>
        <w:pStyle w:val="BodyText"/>
        <w:widowControl/>
        <w:shd w:val="clear" w:fill="auto"/>
        <w:spacing w:lineRule="auto" w:line="276" w:before="0" w:after="200"/>
        <w:ind w:hanging="360" w:left="360" w:right="0"/>
        <w:jc w:val="left"/>
        <w:rPr/>
      </w:pPr>
      <w:r>
        <w:rPr/>
        <w:t>Here's the working list — titles and venues I pulled from live search just now (not from memory), so they're real. Still pull exact year/volume/DOI from each source page yourself before the reference list goes in — don't retype from here into the final bibliography without checking.</w:t>
      </w:r>
    </w:p>
    <w:p>
      <w:pPr>
        <w:pStyle w:val="BodyText"/>
        <w:spacing w:before="0" w:after="200"/>
        <w:rPr/>
      </w:pPr>
      <w:r>
        <w:rPr>
          <w:rStyle w:val="Strong"/>
        </w:rPr>
        <w:t>Direct competitors — cite these explicitly, and say how you differ from each</w:t>
      </w:r>
    </w:p>
    <w:p>
      <w:pPr>
        <w:pStyle w:val="BodyText"/>
        <w:numPr>
          <w:ilvl w:val="0"/>
          <w:numId w:val="3"/>
        </w:numPr>
        <w:tabs>
          <w:tab w:val="clear" w:pos="720"/>
          <w:tab w:val="left" w:pos="0" w:leader="none"/>
        </w:tabs>
        <w:spacing w:before="0" w:after="0"/>
        <w:ind w:hanging="283" w:left="709"/>
        <w:rPr/>
      </w:pPr>
      <w:r>
        <w:rPr/>
        <w:t xml:space="preserve">EquiPNAS — </w:t>
      </w:r>
      <w:r>
        <w:rPr>
          <w:rStyle w:val="Emphasis"/>
        </w:rPr>
        <w:t>"EquiPNAS: improved protein-nucleic acid binding site prediction using protein-language-model-informed equivariant deep graph neural networks"</w:t>
      </w:r>
      <w:r>
        <w:rPr/>
        <w:t xml:space="preserve"> </w:t>
      </w:r>
    </w:p>
    <w:p>
      <w:pPr>
        <w:pStyle w:val="BodyText"/>
        <w:numPr>
          <w:ilvl w:val="0"/>
          <w:numId w:val="3"/>
        </w:numPr>
        <w:tabs>
          <w:tab w:val="clear" w:pos="720"/>
          <w:tab w:val="left" w:pos="0" w:leader="none"/>
        </w:tabs>
        <w:spacing w:before="0" w:after="0"/>
        <w:ind w:hanging="283" w:left="709"/>
        <w:rPr/>
      </w:pPr>
      <w:r>
        <w:rPr/>
        <w:t xml:space="preserve">MPBind — </w:t>
      </w:r>
      <w:r>
        <w:rPr>
          <w:rStyle w:val="Emphasis"/>
        </w:rPr>
        <w:t>"MPBind: Multitask Protein Binding Site Prediction by Protein Language Models and Equivariant Graph Neural Networks"</w:t>
      </w:r>
      <w:r>
        <w:rPr/>
        <w:t xml:space="preserve"> (bioRxiv) </w:t>
      </w:r>
    </w:p>
    <w:p>
      <w:pPr>
        <w:pStyle w:val="BodyText"/>
        <w:numPr>
          <w:ilvl w:val="0"/>
          <w:numId w:val="3"/>
        </w:numPr>
        <w:tabs>
          <w:tab w:val="clear" w:pos="720"/>
          <w:tab w:val="left" w:pos="0" w:leader="none"/>
        </w:tabs>
        <w:spacing w:before="0" w:after="0"/>
        <w:ind w:hanging="283" w:left="709"/>
        <w:rPr/>
      </w:pPr>
      <w:r>
        <w:rPr/>
        <w:t xml:space="preserve">Edge-aware GAT — </w:t>
      </w:r>
      <w:r>
        <w:rPr>
          <w:rStyle w:val="Emphasis"/>
        </w:rPr>
        <w:t>"Edge-aware GAT-based protein binding sites prediction"</w:t>
      </w:r>
      <w:r>
        <w:rPr/>
        <w:t xml:space="preserve"> </w:t>
      </w:r>
    </w:p>
    <w:p>
      <w:pPr>
        <w:pStyle w:val="BodyText"/>
        <w:numPr>
          <w:ilvl w:val="0"/>
          <w:numId w:val="3"/>
        </w:numPr>
        <w:tabs>
          <w:tab w:val="clear" w:pos="720"/>
          <w:tab w:val="left" w:pos="0" w:leader="none"/>
        </w:tabs>
        <w:spacing w:before="0" w:after="0"/>
        <w:ind w:hanging="283" w:left="709"/>
        <w:rPr/>
      </w:pPr>
      <w:r>
        <w:rPr/>
        <w:t xml:space="preserve">E(Q)AGNN-PPIS — </w:t>
      </w:r>
      <w:r>
        <w:rPr>
          <w:rStyle w:val="Emphasis"/>
        </w:rPr>
        <w:t>"E(Q)AGNN-PPIS: Attention Enhanced Equivariant Graph Neural Network for Protein-Protein Interaction Site Prediction"</w:t>
      </w:r>
      <w:r>
        <w:rPr/>
        <w:t xml:space="preserve"> (bioRxiv) </w:t>
      </w:r>
    </w:p>
    <w:p>
      <w:pPr>
        <w:pStyle w:val="BodyText"/>
        <w:numPr>
          <w:ilvl w:val="0"/>
          <w:numId w:val="3"/>
        </w:numPr>
        <w:tabs>
          <w:tab w:val="clear" w:pos="720"/>
          <w:tab w:val="left" w:pos="0" w:leader="none"/>
        </w:tabs>
        <w:spacing w:before="0" w:after="0"/>
        <w:ind w:hanging="283" w:left="709"/>
        <w:rPr/>
      </w:pPr>
      <w:r>
        <w:rPr/>
        <w:t xml:space="preserve">Seq2Pocket — </w:t>
      </w:r>
      <w:r>
        <w:rPr>
          <w:rStyle w:val="Emphasis"/>
        </w:rPr>
        <w:t>"Seq2Pocket: Augmenting protein language models for spatially consistent binding site prediction"</w:t>
      </w:r>
      <w:r>
        <w:rPr/>
        <w:t xml:space="preserve"> (bioRxiv) </w:t>
      </w:r>
    </w:p>
    <w:p>
      <w:pPr>
        <w:pStyle w:val="BodyText"/>
        <w:numPr>
          <w:ilvl w:val="0"/>
          <w:numId w:val="3"/>
        </w:numPr>
        <w:tabs>
          <w:tab w:val="clear" w:pos="720"/>
          <w:tab w:val="left" w:pos="0" w:leader="none"/>
        </w:tabs>
        <w:spacing w:before="0" w:after="0"/>
        <w:ind w:hanging="283" w:left="709"/>
        <w:rPr/>
      </w:pPr>
      <w:r>
        <w:rPr/>
        <w:t xml:space="preserve">PickPocket — appears in </w:t>
      </w:r>
      <w:r>
        <w:rPr>
          <w:rStyle w:val="Emphasis"/>
        </w:rPr>
        <w:t>"Evolutionary and geometric signatures reveal ligand-binding sites across proteomes"</w:t>
      </w:r>
      <w:r>
        <w:rPr/>
        <w:t xml:space="preserve"> (bioRxiv) — PickPocket is the model name, not the paper title </w:t>
      </w:r>
    </w:p>
    <w:p>
      <w:pPr>
        <w:pStyle w:val="BodyText"/>
        <w:numPr>
          <w:ilvl w:val="0"/>
          <w:numId w:val="3"/>
        </w:numPr>
        <w:tabs>
          <w:tab w:val="clear" w:pos="720"/>
          <w:tab w:val="left" w:pos="0" w:leader="none"/>
        </w:tabs>
        <w:spacing w:before="0" w:after="0"/>
        <w:ind w:hanging="283" w:left="709"/>
        <w:rPr/>
      </w:pPr>
      <w:r>
        <w:rPr/>
        <w:t xml:space="preserve">YuelPocket / SiteRadar / LigBind — all appear in </w:t>
      </w:r>
      <w:r>
        <w:rPr>
          <w:rStyle w:val="Emphasis"/>
        </w:rPr>
        <w:t>"Unified protein–small molecule graph neural networks for binding site prediction"</w:t>
      </w:r>
      <w:r>
        <w:rPr/>
        <w:t xml:space="preserve"> (PNAS) </w:t>
      </w:r>
    </w:p>
    <w:p>
      <w:pPr>
        <w:pStyle w:val="BodyText"/>
        <w:numPr>
          <w:ilvl w:val="0"/>
          <w:numId w:val="3"/>
        </w:numPr>
        <w:tabs>
          <w:tab w:val="clear" w:pos="720"/>
          <w:tab w:val="left" w:pos="0" w:leader="none"/>
        </w:tabs>
        <w:spacing w:before="0" w:after="0"/>
        <w:ind w:hanging="283" w:left="709"/>
        <w:rPr/>
      </w:pPr>
      <w:r>
        <w:rPr/>
        <w:t xml:space="preserve">AF2BIND — </w:t>
      </w:r>
      <w:r>
        <w:rPr>
          <w:rStyle w:val="Emphasis"/>
        </w:rPr>
        <w:t>"AF2BIND: Predicting ligand-binding sites using the pair representation of AlphaFold2"</w:t>
      </w:r>
      <w:r>
        <w:rPr/>
        <w:t xml:space="preserve"> (bioRxiv) </w:t>
      </w:r>
    </w:p>
    <w:p>
      <w:pPr>
        <w:pStyle w:val="BodyText"/>
        <w:numPr>
          <w:ilvl w:val="0"/>
          <w:numId w:val="3"/>
        </w:numPr>
        <w:tabs>
          <w:tab w:val="clear" w:pos="720"/>
          <w:tab w:val="left" w:pos="0" w:leader="none"/>
        </w:tabs>
        <w:ind w:hanging="283" w:left="709"/>
        <w:rPr/>
      </w:pPr>
      <w:r>
        <w:rPr/>
        <w:t xml:space="preserve">PGpocket — </w:t>
      </w:r>
      <w:r>
        <w:rPr>
          <w:rStyle w:val="Emphasis"/>
        </w:rPr>
        <w:t>"A Point Cloud Graph Neural Network for Protein–Ligand Binding Site Prediction"</w:t>
      </w:r>
      <w:r>
        <w:rPr/>
        <w:t xml:space="preserve"> </w:t>
      </w:r>
    </w:p>
    <w:p>
      <w:pPr>
        <w:pStyle w:val="BodyText"/>
        <w:spacing w:before="0" w:after="200"/>
        <w:rPr/>
      </w:pPr>
      <w:r>
        <w:rPr>
          <w:rStyle w:val="Strong"/>
        </w:rPr>
        <w:t>The two papers that most narrow your novelty claim — you must position against these precisely</w:t>
      </w:r>
    </w:p>
    <w:p>
      <w:pPr>
        <w:pStyle w:val="BodyText"/>
        <w:numPr>
          <w:ilvl w:val="0"/>
          <w:numId w:val="4"/>
        </w:numPr>
        <w:tabs>
          <w:tab w:val="clear" w:pos="720"/>
          <w:tab w:val="left" w:pos="0" w:leader="none"/>
        </w:tabs>
        <w:spacing w:before="0" w:after="0"/>
        <w:ind w:hanging="283" w:left="709"/>
        <w:rPr/>
      </w:pPr>
      <w:r>
        <w:rPr/>
        <w:t xml:space="preserve">SaProt — </w:t>
      </w:r>
      <w:r>
        <w:rPr>
          <w:rStyle w:val="Emphasis"/>
        </w:rPr>
        <w:t>"SaProt: Protein Language Modeling with Structure-aware Vocabulary"</w:t>
      </w:r>
      <w:r>
        <w:rPr/>
        <w:t xml:space="preserve">, Su, Han, Zhou, Shan, Zhou, Yuan — ICLR 2024 (now also in </w:t>
      </w:r>
      <w:r>
        <w:rPr>
          <w:rStyle w:val="Emphasis"/>
        </w:rPr>
        <w:t>Nature Biotechnology</w:t>
      </w:r>
      <w:r>
        <w:rPr/>
        <w:t xml:space="preserve">, per the authors' repo). This is your evidence that hard confidence-based modality gating already exists — cite it, then explain your gate is continuous/learned/edge-level rather than a binary pLDDT&lt;70 mask. </w:t>
      </w:r>
    </w:p>
    <w:p>
      <w:pPr>
        <w:pStyle w:val="BodyText"/>
        <w:numPr>
          <w:ilvl w:val="0"/>
          <w:numId w:val="4"/>
        </w:numPr>
        <w:tabs>
          <w:tab w:val="clear" w:pos="720"/>
          <w:tab w:val="left" w:pos="0" w:leader="none"/>
        </w:tabs>
        <w:ind w:hanging="283" w:left="709"/>
        <w:rPr/>
      </w:pPr>
      <w:r>
        <w:rPr/>
        <w:t xml:space="preserve">Pinc — </w:t>
      </w:r>
      <w:r>
        <w:rPr>
          <w:rStyle w:val="Emphasis"/>
        </w:rPr>
        <w:t>"Pinc: a simple probabilistic AlphaFold interaction score"</w:t>
      </w:r>
      <w:r>
        <w:rPr/>
        <w:t xml:space="preserve"> (bioRxiv) / listed elsewhere as </w:t>
      </w:r>
      <w:r>
        <w:rPr>
          <w:rStyle w:val="Emphasis"/>
        </w:rPr>
        <w:t>"A simple probabilistic AlphaFold interaction score"</w:t>
      </w:r>
      <w:r>
        <w:rPr/>
        <w:t xml:space="preserve"> — check which title the published version actually uses. This is your precedent for calibrating PAE into a real probability — cite it, then explain your calibration feeds a GNN gate rather than producing a standalone score. </w:t>
      </w:r>
    </w:p>
    <w:p>
      <w:pPr>
        <w:pStyle w:val="BodyText"/>
        <w:spacing w:before="0" w:after="200"/>
        <w:rPr/>
      </w:pPr>
      <w:r>
        <w:rPr>
          <w:rStyle w:val="Strong"/>
        </w:rPr>
        <w:t>Foundational feature — cite properly instead of presenting your packing-density term as new</w:t>
      </w:r>
    </w:p>
    <w:p>
      <w:pPr>
        <w:pStyle w:val="BodyText"/>
        <w:numPr>
          <w:ilvl w:val="0"/>
          <w:numId w:val="5"/>
        </w:numPr>
        <w:tabs>
          <w:tab w:val="clear" w:pos="720"/>
          <w:tab w:val="left" w:pos="0" w:leader="none"/>
        </w:tabs>
        <w:spacing w:before="0" w:after="0"/>
        <w:ind w:hanging="283" w:left="709"/>
        <w:rPr/>
      </w:pPr>
      <w:r>
        <w:rPr>
          <w:rStyle w:val="Emphasis"/>
        </w:rPr>
        <w:t>"Dissecting the roles of local packing density and longer-range effects in protein sequence evolution"</w:t>
      </w:r>
      <w:r>
        <w:rPr/>
        <w:t xml:space="preserve"> (Proteins, 2016) — the WCN paper </w:t>
      </w:r>
    </w:p>
    <w:p>
      <w:pPr>
        <w:pStyle w:val="BodyText"/>
        <w:numPr>
          <w:ilvl w:val="0"/>
          <w:numId w:val="5"/>
        </w:numPr>
        <w:tabs>
          <w:tab w:val="clear" w:pos="720"/>
          <w:tab w:val="left" w:pos="0" w:leader="none"/>
        </w:tabs>
        <w:ind w:hanging="283" w:left="709"/>
        <w:rPr/>
      </w:pPr>
      <w:r>
        <w:rPr>
          <w:rStyle w:val="Emphasis"/>
        </w:rPr>
        <w:t>"Local Packing Density Is the Main Structural Determinant of the Rate of Protein Sequence Evolution at Site Level"</w:t>
      </w:r>
      <w:r>
        <w:rPr/>
        <w:t xml:space="preserve"> </w:t>
      </w:r>
    </w:p>
    <w:p>
      <w:pPr>
        <w:pStyle w:val="BodyText"/>
        <w:spacing w:before="0" w:after="200"/>
        <w:rPr/>
      </w:pPr>
      <w:r>
        <w:rPr>
          <w:rStyle w:val="Strong"/>
        </w:rPr>
        <w:t>Optional, for your methods section if you want to ground the calibration choice</w:t>
      </w:r>
    </w:p>
    <w:p>
      <w:pPr>
        <w:pStyle w:val="BodyText"/>
        <w:numPr>
          <w:ilvl w:val="0"/>
          <w:numId w:val="6"/>
        </w:numPr>
        <w:tabs>
          <w:tab w:val="clear" w:pos="720"/>
          <w:tab w:val="left" w:pos="0" w:leader="none"/>
        </w:tabs>
        <w:spacing w:before="0" w:after="0"/>
        <w:ind w:hanging="283" w:left="709"/>
        <w:rPr/>
      </w:pPr>
      <w:r>
        <w:rPr>
          <w:rStyle w:val="Emphasis"/>
        </w:rPr>
        <w:t>"On Calibration of Graph Neural Networks for Node Classification"</w:t>
      </w:r>
      <w:r>
        <w:rPr/>
        <w:t xml:space="preserve"> </w:t>
      </w:r>
    </w:p>
    <w:p>
      <w:pPr>
        <w:pStyle w:val="BodyText"/>
        <w:numPr>
          <w:ilvl w:val="0"/>
          <w:numId w:val="6"/>
        </w:numPr>
        <w:tabs>
          <w:tab w:val="clear" w:pos="720"/>
          <w:tab w:val="left" w:pos="0" w:leader="none"/>
        </w:tabs>
        <w:ind w:hanging="283" w:left="709"/>
        <w:rPr/>
      </w:pPr>
      <w:r>
        <w:rPr>
          <w:rStyle w:val="Emphasis"/>
        </w:rPr>
        <w:t>"Are Graph Neural Networks Miscalibrated?"</w:t>
      </w:r>
      <w:r>
        <w:rPr/>
        <w:t xml:space="preserve"> </w:t>
      </w:r>
    </w:p>
    <w:p>
      <w:pPr>
        <w:pStyle w:val="BodyText"/>
        <w:spacing w:before="0" w:after="200"/>
        <w:rPr/>
      </w:pPr>
      <w:r>
        <w:rPr/>
        <w:t>The two under "narrow your novelty claim" are the ones to not skip — everything else is standard related-work padding, those two are what a reviewer will bring up if you don't.</w:t>
      </w:r>
    </w:p>
    <w:p>
      <w:pPr>
        <w:pStyle w:val="normal1"/>
        <w:widowControl/>
        <w:shd w:val="clear" w:fill="auto"/>
        <w:spacing w:lineRule="auto" w:line="276" w:before="0" w:after="200"/>
        <w:ind w:hanging="360" w:left="360" w:right="0"/>
        <w:jc w:val="left"/>
        <w:rPr/>
      </w:pPr>
      <w:r>
        <w:rPr/>
      </w:r>
    </w:p>
    <w:sectPr>
      <w:footerReference w:type="even" r:id="rId3"/>
      <w:footerReference w:type="default" r:id="rId4"/>
      <w:footerReference w:type="first" r:id="rId5"/>
      <w:type w:val="nextPage"/>
      <w:pgSz w:w="12240" w:h="15840"/>
      <w:pgMar w:left="1152" w:right="1152" w:gutter="0" w:header="0" w:top="1008" w:footer="720" w:bottom="10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ptos">
    <w:charset w:val="01"/>
    <w:family w:val="roman"/>
    <w:pitch w:val="variable"/>
  </w:font>
  <w:font w:name="Play">
    <w:charset w:val="01"/>
    <w:family w:val="roman"/>
    <w:pitch w:val="variable"/>
    <w:embedRegular r:id="rId13" w:fontKey="{0D014A78-CABC-4EF0-12AC-5CD89AEFDE0D}"/>
    <w:embedBold r:id="rId14" w:fontKey="{0E014A78-CABC-4EF0-12AC-5CD89AEFDE0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embedRegular r:id="rId15" w:fontKey="{0F014A78-CABC-4EF0-12AC-5CD89AEFDE0F}"/>
  </w:font>
  <w:font w:name="Liberation Sans">
    <w:altName w:val="Arial"/>
    <w:charset w:val="01"/>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Cambria Math">
    <w:charset w:val="01"/>
    <w:family w:val="roman"/>
    <w:pitch w:val="variable"/>
    <w:embedRegular r:id="rId20" w:fontKey="{14014A78-CABC-4EF0-12AC-5CD89AEFDE14}"/>
  </w:font>
  <w:font w:name="Noto Sans Symbols">
    <w:charset w:val="01"/>
    <w:family w:val="swiss"/>
    <w:pitch w:val="variable"/>
    <w:embedRegular r:id="rId21" w:fontKey="{15014A78-CABC-4EF0-12AC-5CD89AEFDE15}"/>
    <w:embedBold r:id="rId22" w:fontKey="{16014A78-CABC-4EF0-12AC-5CD89AEFDE16}"/>
  </w:font>
  <w:font w:name="OpenSymbol">
    <w:altName w:val="Arial Unicode MS"/>
    <w:charset w:val="01"/>
    <w:family w:val="auto"/>
    <w:pitch w:val="variable"/>
    <w:embedRegular r:id="rId23" w:fontKey="{17014A78-CABC-4EF0-12AC-5CD89AEFDE17}"/>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center"/>
      <w:rPr>
        <w:rFonts w:ascii="Aptos" w:hAnsi="Aptos" w:eastAsia="Aptos" w:cs="Aptos"/>
        <w:b w:val="false"/>
        <w:bCs w:val="false"/>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16"/>
        <w:sz w:val="16"/>
        <w:szCs w:val="16"/>
        <w:u w:val="none"/>
        <w:shd w:fill="auto" w:val="clear"/>
        <w:vertAlign w:val="baseline"/>
      </w:rPr>
      <w:t>Research Proposal | Confidence-Calibrated Biophysical GNN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center"/>
      <w:rPr>
        <w:rFonts w:ascii="Aptos" w:hAnsi="Aptos" w:eastAsia="Aptos" w:cs="Aptos"/>
        <w:b w:val="false"/>
        <w:bCs w:val="false"/>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16"/>
        <w:sz w:val="16"/>
        <w:szCs w:val="16"/>
        <w:u w:val="none"/>
        <w:shd w:fill="auto" w:val="clear"/>
        <w:vertAlign w:val="baseline"/>
      </w:rPr>
      <w:t>Research Proposal | Confidence-Calibrated Biophysical GNN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Aptos" w:hAnsi="Aptos" w:eastAsia="Aptos" w:cs="Aptos"/>
      <w:color w:val="auto"/>
      <w:kern w:val="0"/>
      <w:sz w:val="21"/>
      <w:szCs w:val="21"/>
      <w:lang w:val="en-US" w:eastAsia="zh-CN" w:bidi="hi-IN"/>
    </w:rPr>
  </w:style>
  <w:style w:type="paragraph" w:styleId="Heading1">
    <w:name w:val="heading 1"/>
    <w:basedOn w:val="normal1"/>
    <w:next w:val="normal1"/>
    <w:qFormat/>
    <w:pPr>
      <w:keepNext w:val="true"/>
      <w:keepLines/>
      <w:spacing w:lineRule="auto" w:line="240" w:before="480" w:after="0"/>
    </w:pPr>
    <w:rPr>
      <w:rFonts w:ascii="Play" w:hAnsi="Play" w:eastAsia="Play" w:cs="Play"/>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Play" w:hAnsi="Play" w:eastAsia="Play" w:cs="Play"/>
      <w:b/>
      <w:bCs/>
      <w:color w:val="4F81BD"/>
      <w:sz w:val="24"/>
      <w:szCs w:val="24"/>
    </w:rPr>
  </w:style>
  <w:style w:type="paragraph" w:styleId="Heading3">
    <w:name w:val="heading 3"/>
    <w:basedOn w:val="normal1"/>
    <w:next w:val="normal1"/>
    <w:qFormat/>
    <w:pPr>
      <w:keepNext w:val="true"/>
      <w:keepLines/>
      <w:spacing w:lineRule="auto" w:line="240" w:before="200" w:after="0"/>
    </w:pPr>
    <w:rPr>
      <w:rFonts w:ascii="Aptos" w:hAnsi="Aptos" w:eastAsia="Aptos" w:cs="Aptos"/>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7">
    <w:name w:val="heading 7"/>
    <w:basedOn w:val="normal1"/>
    <w:next w:val="normal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
    <w:next w:val="normal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
    <w:next w:val="normal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link w:val="BodyTextChar"/>
    <w:uiPriority w:val="99"/>
    <w:unhideWhenUsed/>
    <w:rsid w:val="00aa1d8d"/>
    <w:pPr>
      <w:spacing w:before="0" w:after="120"/>
    </w:pPr>
    <w:rPr/>
  </w:style>
  <w:style w:type="paragraph" w:styleId="List">
    <w:name w:val="List"/>
    <w:basedOn w:val="normal1"/>
    <w:uiPriority w:val="99"/>
    <w:unhideWhenUsed/>
    <w:rsid w:val="00aa1d8d"/>
    <w:pPr>
      <w:spacing w:before="0" w:after="200"/>
      <w:ind w:hanging="360" w:left="360"/>
      <w:contextualSpacing/>
    </w:pPr>
    <w:rPr/>
  </w:style>
  <w:style w:type="paragraph" w:styleId="Caption">
    <w:name w:val="caption"/>
    <w:basedOn w:val="normal1"/>
    <w:next w:val="normal1"/>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Aptos" w:hAnsi="Aptos" w:eastAsia="Aptos" w:cs="Aptos"/>
      <w:color w:val="auto"/>
      <w:kern w:val="0"/>
      <w:sz w:val="21"/>
      <w:szCs w:val="21"/>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Play" w:hAnsi="Play" w:eastAsia="Play" w:cs="Play"/>
      <w:b/>
      <w:bCs/>
      <w:color w:val="17365D"/>
      <w:sz w:val="40"/>
      <w:szCs w:val="40"/>
    </w:rPr>
  </w:style>
  <w:style w:type="paragraph" w:styleId="HeaderandFooter">
    <w:name w:val="Header and Footer"/>
    <w:basedOn w:val="Normal"/>
    <w:qFormat/>
    <w:pPr/>
    <w:rPr/>
  </w:style>
  <w:style w:type="paragraph" w:styleId="Header">
    <w:name w:val="header"/>
    <w:basedOn w:val="normal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Aptos" w:hAnsi="Aptos" w:eastAsia="Aptos" w:cs="Aptos"/>
      <w:color w:val="auto"/>
      <w:kern w:val="0"/>
      <w:sz w:val="21"/>
      <w:szCs w:val="21"/>
      <w:lang w:val="en-US" w:eastAsia="zh-CN" w:bidi="hi-IN"/>
    </w:rPr>
  </w:style>
  <w:style w:type="paragraph" w:styleId="ListParagraph">
    <w:name w:val="List Paragraph"/>
    <w:basedOn w:val="normal1"/>
    <w:uiPriority w:val="34"/>
    <w:qFormat/>
    <w:rsid w:val="00fc693f"/>
    <w:pPr>
      <w:spacing w:before="0" w:after="200"/>
      <w:ind w:left="720"/>
      <w:contextualSpacing/>
    </w:pPr>
    <w:rPr/>
  </w:style>
  <w:style w:type="paragraph" w:styleId="BodyText2">
    <w:name w:val="Body Text 2"/>
    <w:basedOn w:val="normal1"/>
    <w:link w:val="BodyText2Char"/>
    <w:uiPriority w:val="99"/>
    <w:unhideWhenUsed/>
    <w:qFormat/>
    <w:rsid w:val="00aa1d8d"/>
    <w:pPr>
      <w:spacing w:lineRule="auto" w:line="480" w:before="0" w:after="120"/>
    </w:pPr>
    <w:rPr/>
  </w:style>
  <w:style w:type="paragraph" w:styleId="BodyText3">
    <w:name w:val="Body Text 3"/>
    <w:basedOn w:val="normal1"/>
    <w:link w:val="BodyText3Char"/>
    <w:uiPriority w:val="99"/>
    <w:unhideWhenUsed/>
    <w:qFormat/>
    <w:rsid w:val="00aa1d8d"/>
    <w:pPr>
      <w:spacing w:before="0" w:after="120"/>
    </w:pPr>
    <w:rPr>
      <w:sz w:val="16"/>
      <w:szCs w:val="16"/>
    </w:rPr>
  </w:style>
  <w:style w:type="paragraph" w:styleId="List2">
    <w:name w:val="List 2"/>
    <w:basedOn w:val="normal1"/>
    <w:uiPriority w:val="99"/>
    <w:unhideWhenUsed/>
    <w:qFormat/>
    <w:rsid w:val="00326f90"/>
    <w:pPr>
      <w:spacing w:before="0" w:after="200"/>
      <w:ind w:hanging="360" w:left="720"/>
      <w:contextualSpacing/>
    </w:pPr>
    <w:rPr/>
  </w:style>
  <w:style w:type="paragraph" w:styleId="List3">
    <w:name w:val="List 3"/>
    <w:basedOn w:val="normal1"/>
    <w:uiPriority w:val="99"/>
    <w:unhideWhenUsed/>
    <w:qFormat/>
    <w:rsid w:val="00326f90"/>
    <w:pPr>
      <w:spacing w:before="0" w:after="200"/>
      <w:ind w:hanging="360" w:left="1080"/>
      <w:contextualSpacing/>
    </w:pPr>
    <w:rPr/>
  </w:style>
  <w:style w:type="paragraph" w:styleId="ListBullet">
    <w:name w:val="List Bullet"/>
    <w:basedOn w:val="normal1"/>
    <w:uiPriority w:val="99"/>
    <w:unhideWhenUsed/>
    <w:rsid w:val="00326f90"/>
    <w:pPr>
      <w:numPr>
        <w:ilvl w:val="0"/>
        <w:numId w:val="1"/>
      </w:numPr>
      <w:spacing w:before="0" w:after="200"/>
      <w:contextualSpacing/>
    </w:pPr>
    <w:rPr/>
  </w:style>
  <w:style w:type="paragraph" w:styleId="ListBullet2">
    <w:name w:val="List Bullet 2"/>
    <w:basedOn w:val="normal1"/>
    <w:uiPriority w:val="99"/>
    <w:unhideWhenUsed/>
    <w:rsid w:val="00326f90"/>
    <w:pPr>
      <w:numPr>
        <w:ilvl w:val="0"/>
        <w:numId w:val="2"/>
      </w:numPr>
      <w:spacing w:before="0" w:after="200"/>
      <w:contextualSpacing/>
    </w:pPr>
    <w:rPr/>
  </w:style>
  <w:style w:type="paragraph" w:styleId="ListBullet3">
    <w:name w:val="List Bullet 3"/>
    <w:basedOn w:val="normal1"/>
    <w:uiPriority w:val="99"/>
    <w:unhideWhenUsed/>
    <w:rsid w:val="00326f90"/>
    <w:pPr>
      <w:spacing w:before="0" w:after="200"/>
      <w:contextualSpacing/>
    </w:pPr>
    <w:rPr/>
  </w:style>
  <w:style w:type="paragraph" w:styleId="ListNumber">
    <w:name w:val="List Number"/>
    <w:basedOn w:val="normal1"/>
    <w:uiPriority w:val="99"/>
    <w:unhideWhenUsed/>
    <w:rsid w:val="00326f90"/>
    <w:pPr>
      <w:spacing w:before="0" w:after="200"/>
      <w:contextualSpacing/>
    </w:pPr>
    <w:rPr/>
  </w:style>
  <w:style w:type="paragraph" w:styleId="ListNumber2">
    <w:name w:val="List Number 2"/>
    <w:basedOn w:val="normal1"/>
    <w:uiPriority w:val="99"/>
    <w:unhideWhenUsed/>
    <w:rsid w:val="0029639d"/>
    <w:pPr>
      <w:spacing w:before="0" w:after="200"/>
      <w:contextualSpacing/>
    </w:pPr>
    <w:rPr/>
  </w:style>
  <w:style w:type="paragraph" w:styleId="ListNumber3">
    <w:name w:val="List Number 3"/>
    <w:basedOn w:val="normal1"/>
    <w:uiPriority w:val="99"/>
    <w:unhideWhenUsed/>
    <w:rsid w:val="0029639d"/>
    <w:pPr>
      <w:spacing w:before="0" w:after="200"/>
      <w:contextualSpacing/>
    </w:pPr>
    <w:rPr/>
  </w:style>
  <w:style w:type="paragraph" w:styleId="ListContinue">
    <w:name w:val="List Continue"/>
    <w:basedOn w:val="normal1"/>
    <w:uiPriority w:val="99"/>
    <w:unhideWhenUsed/>
    <w:rsid w:val="0029639d"/>
    <w:pPr>
      <w:spacing w:before="0" w:after="120"/>
      <w:ind w:left="360"/>
      <w:contextualSpacing/>
    </w:pPr>
    <w:rPr/>
  </w:style>
  <w:style w:type="paragraph" w:styleId="ListContinue2">
    <w:name w:val="List Continue 2"/>
    <w:basedOn w:val="normal1"/>
    <w:uiPriority w:val="99"/>
    <w:unhideWhenUsed/>
    <w:rsid w:val="0029639d"/>
    <w:pPr>
      <w:spacing w:before="0" w:after="120"/>
      <w:ind w:left="720"/>
      <w:contextualSpacing/>
    </w:pPr>
    <w:rPr/>
  </w:style>
  <w:style w:type="paragraph" w:styleId="ListContinue3">
    <w:name w:val="List Continue 3"/>
    <w:basedOn w:val="normal1"/>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ptos" w:cs="Aptos"/>
      <w:color w:val="auto"/>
      <w:kern w:val="0"/>
      <w:sz w:val="20"/>
      <w:szCs w:val="20"/>
      <w:lang w:val="en-US" w:eastAsia="zh-CN" w:bidi="hi-IN"/>
    </w:rPr>
  </w:style>
  <w:style w:type="paragraph" w:styleId="Quote">
    <w:name w:val="Quote"/>
    <w:basedOn w:val="normal1"/>
    <w:next w:val="normal1"/>
    <w:link w:val="QuoteChar"/>
    <w:uiPriority w:val="29"/>
    <w:qFormat/>
    <w:rsid w:val="00fc693f"/>
    <w:pPr/>
    <w:rPr>
      <w:i/>
      <w:iCs/>
      <w:color w:themeColor="text1" w:val="000000"/>
    </w:rPr>
  </w:style>
  <w:style w:type="paragraph" w:styleId="IntenseQuote">
    <w:name w:val="Intense Quote"/>
    <w:basedOn w:val="normal1"/>
    <w:next w:val="normal1"/>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1"/>
    <w:uiPriority w:val="39"/>
    <w:semiHidden/>
    <w:unhideWhenUsed/>
    <w:qFormat/>
    <w:rsid w:val="00fc693f"/>
    <w:pPr/>
    <w:rPr/>
  </w:style>
  <w:style w:type="paragraph" w:styleId="Subtitle">
    <w:name w:val="Subtitle"/>
    <w:basedOn w:val="normal1"/>
    <w:next w:val="normal1"/>
    <w:qFormat/>
    <w:pPr/>
    <w:rPr>
      <w:rFonts w:ascii="Aptos" w:hAnsi="Aptos" w:eastAsia="Aptos" w:cs="Aptos"/>
      <w:i/>
      <w:iCs/>
      <w:color w:val="4F81BD"/>
      <w:sz w:val="22"/>
      <w:szCs w:val="22"/>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sz="0" w:space="0"/>
          <w:left w:val="nil" w:sz="0" w:space="0"/>
          <w:bottom w:val="nil" w:sz="0" w:space="0"/>
          <w:right w:val="nil" w:sz="0" w:space="0"/>
          <w:insideH w:val="single" w:color="2C4C74" w:themeColor="accent1" w:sz="4" w:space="0"/>
          <w:insideV w:val="nil" w:sz="0" w:space="0"/>
        </w:tcBorders>
        <w:shd w:val="clear" w:color="auto" w:fill="2C4C74" w:themeFill="accen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sz="0" w:space="0"/>
          <w:left w:val="nil" w:sz="0" w:space="0"/>
          <w:bottom w:val="nil" w:sz="0" w:space="0"/>
          <w:right w:val="nil" w:sz="0" w:space="0"/>
          <w:insideH w:val="single" w:color="772C2A" w:themeColor="accent2" w:sz="4" w:space="0"/>
          <w:insideV w:val="nil" w:sz="0" w:space="0"/>
        </w:tcBorders>
        <w:shd w:val="clear" w:color="auto" w:fill="772C2A" w:themeFill="accent2"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sz="0" w:space="0"/>
          <w:left w:val="nil" w:sz="0" w:space="0"/>
          <w:bottom w:val="nil" w:sz="0" w:space="0"/>
          <w:right w:val="nil" w:sz="0" w:space="0"/>
          <w:insideH w:val="single" w:color="5E7530" w:themeColor="accent3" w:sz="4" w:space="0"/>
          <w:insideV w:val="nil" w:sz="0" w:space="0"/>
        </w:tcBorders>
        <w:shd w:val="clear" w:color="auto" w:fill="5E7530" w:themeFill="accent3"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sz="0" w:space="0"/>
          <w:left w:val="nil" w:sz="0" w:space="0"/>
          <w:bottom w:val="nil" w:sz="0" w:space="0"/>
          <w:right w:val="nil" w:sz="0" w:space="0"/>
          <w:insideH w:val="single" w:color="4C3B62" w:themeColor="accent4" w:sz="4" w:space="0"/>
          <w:insideV w:val="nil" w:sz="0" w:space="0"/>
        </w:tcBorders>
        <w:shd w:val="clear" w:color="auto" w:fill="4C3B62" w:themeFill="accent4"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sz="0" w:space="0"/>
          <w:left w:val="nil" w:sz="0" w:space="0"/>
          <w:bottom w:val="nil" w:sz="0" w:space="0"/>
          <w:right w:val="nil" w:sz="0" w:space="0"/>
          <w:insideH w:val="single" w:color="276A7C" w:themeColor="accent5" w:sz="4" w:space="0"/>
          <w:insideV w:val="nil" w:sz="0" w:space="0"/>
        </w:tcBorders>
        <w:shd w:val="clear" w:color="auto" w:fill="276A7C" w:themeFill="accent5"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sz="0" w:space="0"/>
          <w:left w:val="nil" w:sz="0" w:space="0"/>
          <w:bottom w:val="nil" w:sz="0" w:space="0"/>
          <w:right w:val="nil" w:sz="0" w:space="0"/>
          <w:insideH w:val="single" w:color="B65608" w:themeColor="accent6" w:sz="4" w:space="0"/>
          <w:insideV w:val="nil" w:sz="0" w:space="0"/>
        </w:tcBorders>
        <w:shd w:val="clear" w:color="auto" w:fill="B65608" w:themeFill="accent6"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Dhudistl7wl7jROr89zZop87qTg==">CgMxLjA4AHIhMUoyVmhOV2REdkVyX1VFYXl6NDJVOWdLYVJLS21pS3pH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179</TotalTime>
  <Application>LibreOffice/25.2.7.2$Linux_X86_64 LibreOffice_project/520$Build-2</Application>
  <AppVersion>15.0000</AppVersion>
  <Pages>13</Pages>
  <Words>2826</Words>
  <Characters>18697</Characters>
  <CharactersWithSpaces>21640</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
  <dc:language>en-US</dc:language>
  <cp:lastModifiedBy/>
  <dcterms:modified xsi:type="dcterms:W3CDTF">2026-09-25T00:10:03Z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