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rFonts w:ascii="Aptos Display" w:hAnsi="Aptos Display"/>
          <w:b/>
          <w:color w:val="162944"/>
          <w:sz w:val="48"/>
        </w:rPr>
        <w:t>Related Research</w:t>
      </w:r>
    </w:p>
    <w:p>
      <w:pPr>
        <w:pStyle w:val="Normal"/>
        <w:spacing w:before="0" w:after="40"/>
        <w:jc w:val="center"/>
        <w:rPr/>
      </w:pPr>
      <w:r>
        <w:rPr>
          <w:rFonts w:ascii="Aptos Display" w:hAnsi="Aptos Display"/>
          <w:b/>
          <w:color w:val="264971"/>
          <w:sz w:val="32"/>
        </w:rPr>
        <w:t>Annotated Bibliography</w:t>
      </w:r>
    </w:p>
    <w:tbl>
      <w:tblPr>
        <w:tblW w:w="9878" w:type="dxa"/>
        <w:jc w:val="center"/>
        <w:tblInd w:w="0" w:type="dxa"/>
        <w:tblLayout w:type="fixed"/>
        <w:tblCellMar>
          <w:top w:w="150" w:type="dxa"/>
          <w:left w:w="180" w:type="dxa"/>
          <w:bottom w:w="150" w:type="dxa"/>
          <w:right w:w="180" w:type="dxa"/>
        </w:tblCellMar>
        <w:tblLook w:val="04a0" w:noHBand="0" w:noVBand="1" w:firstColumn="1" w:lastRow="0" w:lastColumn="0" w:firstRow="1"/>
      </w:tblPr>
      <w:tblGrid>
        <w:gridCol w:w="9878"/>
      </w:tblGrid>
      <w:tr>
        <w:trPr/>
        <w:tc>
          <w:tcPr>
            <w:tcW w:w="9878" w:type="dxa"/>
            <w:tcBorders/>
            <w:shd w:fill="F4F7FA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64971"/>
                <w:sz w:val="19"/>
              </w:rPr>
              <w:t xml:space="preserve">Scope note. </w:t>
            </w:r>
            <w:r>
              <w:rPr>
                <w:color w:val="37414B"/>
                <w:sz w:val="19"/>
              </w:rPr>
              <w:t>Grouped by the modelling family each paper informs. Links marked (arXiv) were located and confirmed via live web search on 2026-08-28; a few foundational works are cited by author/venue only because this session could not re-verify a specific link.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>
          <w:rFonts w:ascii="Aptos Display" w:hAnsi="Aptos Display"/>
          <w:b/>
          <w:color w:val="162944"/>
          <w:sz w:val="31"/>
        </w:rPr>
        <w:t>1. Classical ML for network/KPI anomaly detection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"Machine Learning-Based Network Anomaly Detection: Design, Implementation, and Evaluation"</w:t>
      </w:r>
      <w:r>
        <w:rPr>
          <w:color w:val="212529"/>
          <w:sz w:val="20"/>
        </w:rPr>
        <w:t>, MDPI Telecom 5(4):143, 2024.</w:t>
      </w:r>
      <w:r>
        <w:rPr/>
        <w:t xml:space="preserve"> </w:t>
      </w:r>
      <w:hyperlink r:id="rId2">
        <w:r>
          <w:rPr>
            <w:rStyle w:val="ListLabel10"/>
            <w:color w:val="0563C1"/>
            <w:u w:val="single"/>
          </w:rPr>
          <w:t>https://www.mdpi.com/2673-2688/5/4/143</w:t>
        </w:r>
      </w:hyperlink>
      <w:r>
        <w:rPr>
          <w:color w:val="343A40"/>
          <w:sz w:val="20"/>
        </w:rPr>
        <w:t xml:space="preserve"> - Benchmarks tree-based and classical ML models (Isolation Forest, Random Forest, gradient boosting) for network KPI anomaly detection; useful as the "simple, auditable baseline" tier of the framework.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"A Unified Approach to Interpreting Model Predictions"</w:t>
      </w:r>
      <w:r>
        <w:rPr>
          <w:color w:val="212529"/>
          <w:sz w:val="20"/>
        </w:rPr>
        <w:t>, Lundberg, S. &amp; Lee, S. (SHAP), NeurIPS 2017.</w:t>
      </w:r>
      <w:r>
        <w:rPr>
          <w:color w:val="343A40"/>
          <w:sz w:val="20"/>
        </w:rPr>
        <w:t xml:space="preserve"> - The attribution method used throughout the framework's explainability component.</w:t>
      </w:r>
    </w:p>
    <w:p>
      <w:pPr>
        <w:pStyle w:val="Heading1"/>
        <w:rPr/>
      </w:pPr>
      <w:r>
        <w:rPr>
          <w:rFonts w:ascii="Aptos Display" w:hAnsi="Aptos Display"/>
          <w:b/>
          <w:color w:val="162944"/>
          <w:sz w:val="31"/>
        </w:rPr>
        <w:t>2. Deep learning for multivariate KPI time series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"Robust Anomaly Detection for Multivariate Time Series via Stochastic Recurrent Neural Network"</w:t>
      </w:r>
      <w:r>
        <w:rPr>
          <w:color w:val="212529"/>
          <w:sz w:val="20"/>
        </w:rPr>
        <w:t>, Su, Y., Zhao, Y., Niu, C., Liu, R., Sun, W., Pei, D. (OmniAnomaly), KDD 2019.</w:t>
      </w:r>
      <w:r>
        <w:rPr>
          <w:color w:val="343A40"/>
          <w:sz w:val="20"/>
        </w:rPr>
        <w:t xml:space="preserve"> - Introduces the Server Machine Dataset (SMD) used as the public dataset in this notebook, and a VAE+RNN approach to multivariate KPI anomaly detection.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"Detecting Spacecraft Anomalies Using LSTMs and Nonparametric Dynamic Thresholding"</w:t>
      </w:r>
      <w:r>
        <w:rPr>
          <w:color w:val="212529"/>
          <w:sz w:val="20"/>
        </w:rPr>
        <w:t>, Hundman, K. et al. (LSTM-NDT), KDD 2018.</w:t>
      </w:r>
      <w:r>
        <w:rPr>
          <w:color w:val="343A40"/>
          <w:sz w:val="20"/>
        </w:rPr>
        <w:t xml:space="preserve"> - Sequence-to-sequence LSTM forecasting plus dynamic thresholding for early-warning style anomaly flags, the direct ancestor of the "predict degradation before disruption" component.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"Graph Neural Network-Based Anomaly Detection in Multivariate Time Series"</w:t>
      </w:r>
      <w:r>
        <w:rPr>
          <w:color w:val="212529"/>
          <w:sz w:val="20"/>
        </w:rPr>
        <w:t>, Deng, A. &amp; Hooi, B. (GDN), AAAI 2021.</w:t>
      </w:r>
      <w:r>
        <w:rPr>
          <w:color w:val="343A40"/>
          <w:sz w:val="20"/>
        </w:rPr>
        <w:t xml:space="preserve"> - Combines a learned sensor-dependency graph with attention-based forecasting and per-sensor deviation scores, bridging the deep-learning and GNN families below.</w:t>
      </w:r>
    </w:p>
    <w:p>
      <w:pPr>
        <w:pStyle w:val="Heading1"/>
        <w:rPr/>
      </w:pPr>
      <w:r>
        <w:rPr>
          <w:rFonts w:ascii="Aptos Display" w:hAnsi="Aptos Display"/>
          <w:b/>
          <w:color w:val="162944"/>
          <w:sz w:val="31"/>
        </w:rPr>
        <w:t>3. Transformer-based approaches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"Transformers in Time Series: A Survey"</w:t>
      </w:r>
      <w:r>
        <w:rPr>
          <w:color w:val="212529"/>
          <w:sz w:val="20"/>
        </w:rPr>
        <w:t>, Wen, Q. et al., arXiv:2202.07125. (arXiv)</w:t>
      </w:r>
      <w:r>
        <w:rPr/>
        <w:t xml:space="preserve"> </w:t>
      </w:r>
      <w:hyperlink r:id="rId3">
        <w:r>
          <w:rPr>
            <w:rStyle w:val="ListLabel10"/>
            <w:color w:val="0563C1"/>
            <w:u w:val="single"/>
          </w:rPr>
          <w:t>https://arxiv.org/pdf/2202.07125</w:t>
        </w:r>
      </w:hyperlink>
      <w:r>
        <w:rPr>
          <w:color w:val="343A40"/>
          <w:sz w:val="20"/>
        </w:rPr>
        <w:t xml:space="preserve"> - Taxonomy of transformer variants (positional encoding, attention modules) for forecasting, anomaly detection, and classification; used to justify the encoder choice in Component 1.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"TranAD: Deep Transformer Networks for Anomaly Detection in Multivariate Time Series Data"</w:t>
      </w:r>
      <w:r>
        <w:rPr>
          <w:color w:val="212529"/>
          <w:sz w:val="20"/>
        </w:rPr>
        <w:t>, Tuli, S., Casale, G., Jennings, N., VLDB 2022, arXiv:2201.07284. (arXiv)</w:t>
      </w:r>
      <w:r>
        <w:rPr/>
        <w:t xml:space="preserve"> </w:t>
      </w:r>
      <w:hyperlink r:id="rId4">
        <w:r>
          <w:rPr>
            <w:rStyle w:val="ListLabel10"/>
            <w:color w:val="0563C1"/>
            <w:u w:val="single"/>
          </w:rPr>
          <w:t>https://arxiv.org/abs/2201.07284</w:t>
        </w:r>
      </w:hyperlink>
      <w:r>
        <w:rPr>
          <w:color w:val="343A40"/>
          <w:sz w:val="20"/>
        </w:rPr>
        <w:t xml:space="preserve"> - Transformer encoder with adversarial (two-phase) training and self-conditioning; strong reference for the forecasting/anomaly-scoring backbone.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"Root Cause Analysis of Anomalies in 5G RAN Using Graph Neural Network and Transformer"</w:t>
      </w:r>
      <w:r>
        <w:rPr>
          <w:color w:val="212529"/>
          <w:sz w:val="20"/>
        </w:rPr>
        <w:t>, arXiv:2406.15638. (arXiv)</w:t>
      </w:r>
      <w:r>
        <w:rPr/>
        <w:t xml:space="preserve"> </w:t>
      </w:r>
      <w:hyperlink r:id="rId5">
        <w:r>
          <w:rPr>
            <w:rStyle w:val="ListLabel10"/>
            <w:color w:val="0563C1"/>
            <w:u w:val="single"/>
          </w:rPr>
          <w:t>https://arxiv.org/html/2406.15638v1</w:t>
        </w:r>
      </w:hyperlink>
      <w:r>
        <w:rPr>
          <w:color w:val="343A40"/>
          <w:sz w:val="20"/>
        </w:rPr>
        <w:t xml:space="preserve"> - Directly telecom-RAN; combines a transformer encoder with a GNN over cell/site topology for anomaly root-causing. This is the closest published analogue to the framework proposed here.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"Classification of Anomalies in Telecommunication Network KPI Time Series"</w:t>
      </w:r>
      <w:r>
        <w:rPr>
          <w:color w:val="212529"/>
          <w:sz w:val="20"/>
        </w:rPr>
        <w:t>, arXiv:2308.16279. (arXiv)</w:t>
      </w:r>
      <w:r>
        <w:rPr/>
        <w:t xml:space="preserve"> </w:t>
      </w:r>
      <w:hyperlink r:id="rId6">
        <w:r>
          <w:rPr>
            <w:rStyle w:val="ListLabel10"/>
            <w:color w:val="0563C1"/>
            <w:u w:val="single"/>
          </w:rPr>
          <w:t>https://arxiv.org/pdf/2308.16279</w:t>
        </w:r>
      </w:hyperlink>
      <w:r>
        <w:rPr>
          <w:color w:val="343A40"/>
          <w:sz w:val="20"/>
        </w:rPr>
        <w:t xml:space="preserve"> - Taxonomy of KPI anomaly types in real operator data (point, contextual, collective) that motivates the labeling scheme used in Component 1/2.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"Time Series Network Utilization KPI Forecasting Using Advanced AI/ML Models"</w:t>
      </w:r>
      <w:r>
        <w:rPr>
          <w:color w:val="212529"/>
          <w:sz w:val="20"/>
        </w:rPr>
        <w:t>, arXiv:2607.19974. (arXiv)</w:t>
      </w:r>
      <w:r>
        <w:rPr/>
        <w:t xml:space="preserve"> </w:t>
      </w:r>
      <w:hyperlink r:id="rId7">
        <w:r>
          <w:rPr>
            <w:rStyle w:val="ListLabel10"/>
            <w:color w:val="0563C1"/>
            <w:u w:val="single"/>
          </w:rPr>
          <w:t>https://arxiv.org/html/2607.19974</w:t>
        </w:r>
      </w:hyperlink>
      <w:r>
        <w:rPr>
          <w:color w:val="343A40"/>
          <w:sz w:val="20"/>
        </w:rPr>
        <w:t xml:space="preserve"> - Forecasting utilization-type KPIs with modern AI/ML models; supports the choice of probabilistic forecasting for the prediction component.</w:t>
      </w:r>
    </w:p>
    <w:p>
      <w:pPr>
        <w:pStyle w:val="Heading1"/>
        <w:rPr/>
      </w:pPr>
      <w:r>
        <w:rPr>
          <w:rFonts w:ascii="Aptos Display" w:hAnsi="Aptos Display"/>
          <w:b/>
          <w:color w:val="162944"/>
          <w:sz w:val="31"/>
        </w:rPr>
        <w:t>4. Graph Neural Networks for topology-aware root cause analysis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"MicroRCA: Root Cause Localization of Performance Issues in Microservices"</w:t>
      </w:r>
      <w:r>
        <w:rPr>
          <w:color w:val="212529"/>
          <w:sz w:val="20"/>
        </w:rPr>
        <w:t>, Wu, L. et al., IFIP/IEEE IM 2020.</w:t>
      </w:r>
      <w:r>
        <w:rPr>
          <w:color w:val="343A40"/>
          <w:sz w:val="20"/>
        </w:rPr>
        <w:t xml:space="preserve"> - Builds an attributed service-dependency graph and uses Personalized PageRank to rank root-cause candidates; the pattern is reused with a cell/NE topology graph in Component 2.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"Cellular Network Fault Diagnosis Method Based on a Graph Convolutional Neural Network"</w:t>
      </w:r>
      <w:r>
        <w:rPr>
          <w:color w:val="212529"/>
          <w:sz w:val="20"/>
        </w:rPr>
        <w:t>, PMC10459609.</w:t>
      </w:r>
      <w:r>
        <w:rPr/>
        <w:t xml:space="preserve"> </w:t>
      </w:r>
      <w:hyperlink r:id="rId8">
        <w:r>
          <w:rPr>
            <w:rStyle w:val="ListLabel10"/>
            <w:color w:val="0563C1"/>
            <w:u w:val="single"/>
          </w:rPr>
          <w:t>https://www.ncbi.nlm.nih.gov/pmc/articles/PMC10459609/</w:t>
        </w:r>
      </w:hyperlink>
      <w:r>
        <w:rPr>
          <w:color w:val="343A40"/>
          <w:sz w:val="20"/>
        </w:rPr>
        <w:t xml:space="preserve"> - GCN over cell-site topology for telecom fault diagnosis, with an LSTM front end for temporal priors.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"CHASE: A Causal Hypergraph based Framework for Root Cause Analysis in Multimodal Microservice Systems"</w:t>
      </w:r>
      <w:r>
        <w:rPr>
          <w:color w:val="212529"/>
          <w:sz w:val="20"/>
        </w:rPr>
        <w:t>, arXiv:2406.19711. (arXiv)</w:t>
      </w:r>
      <w:r>
        <w:rPr/>
        <w:t xml:space="preserve"> </w:t>
      </w:r>
      <w:hyperlink r:id="rId9">
        <w:r>
          <w:rPr>
            <w:rStyle w:val="ListLabel10"/>
            <w:color w:val="0563C1"/>
            <w:u w:val="single"/>
          </w:rPr>
          <w:t>https://arxiv.org/pdf/2406.19711</w:t>
        </w:r>
      </w:hyperlink>
      <w:r>
        <w:rPr>
          <w:color w:val="343A40"/>
          <w:sz w:val="20"/>
        </w:rPr>
        <w:t xml:space="preserve"> - Hypergraph extension for multimodal (metrics + logs + traces) causal root cause analysis.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"A Comprehensive Survey on Root Cause Analysis in (Micro) Services: Methodologies, Challenges, and Trends"</w:t>
      </w:r>
      <w:r>
        <w:rPr>
          <w:color w:val="212529"/>
          <w:sz w:val="20"/>
        </w:rPr>
        <w:t>, arXiv:2408.00803. (arXiv)</w:t>
      </w:r>
      <w:r>
        <w:rPr/>
        <w:t xml:space="preserve"> </w:t>
      </w:r>
      <w:hyperlink r:id="rId10">
        <w:r>
          <w:rPr>
            <w:rStyle w:val="ListLabel10"/>
            <w:color w:val="0563C1"/>
            <w:u w:val="single"/>
          </w:rPr>
          <w:t>https://arxiv.org/html/2408.00803v1</w:t>
        </w:r>
      </w:hyperlink>
      <w:r>
        <w:rPr>
          <w:color w:val="343A40"/>
          <w:sz w:val="20"/>
        </w:rPr>
        <w:t xml:space="preserve"> - Survey covering rule-based, ML, GNN, and causal RCA methods; used to cross-check that Component 2 covers the mainstream method families.</w:t>
      </w:r>
    </w:p>
    <w:p>
      <w:pPr>
        <w:pStyle w:val="Heading1"/>
        <w:rPr/>
      </w:pPr>
      <w:r>
        <w:rPr>
          <w:rFonts w:ascii="Aptos Display" w:hAnsi="Aptos Display"/>
          <w:b/>
          <w:color w:val="162944"/>
          <w:sz w:val="31"/>
        </w:rPr>
        <w:t>5. Causal reasoning: separating correlation from causal evidence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"Causation, Prediction, and Search"</w:t>
      </w:r>
      <w:r>
        <w:rPr>
          <w:color w:val="212529"/>
          <w:sz w:val="20"/>
        </w:rPr>
        <w:t>, Spirtes, P., Glymour, C., Scheines, R.</w:t>
      </w:r>
      <w:r>
        <w:rPr>
          <w:color w:val="343A40"/>
          <w:sz w:val="20"/>
        </w:rPr>
        <w:t xml:space="preserve"> - Foundational source for the PC/FCI constraint-based causal discovery algorithms used in Component 3.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"Root Cause Analysis In Microservice Using Neural Granger Causal Discovery"</w:t>
      </w:r>
      <w:r>
        <w:rPr>
          <w:color w:val="212529"/>
          <w:sz w:val="20"/>
        </w:rPr>
        <w:t>, RUN, arXiv:2402.01140. (arXiv)</w:t>
      </w:r>
      <w:r>
        <w:rPr/>
        <w:t xml:space="preserve"> </w:t>
      </w:r>
      <w:hyperlink r:id="rId11">
        <w:r>
          <w:rPr>
            <w:rStyle w:val="ListLabel10"/>
            <w:color w:val="0563C1"/>
            <w:u w:val="single"/>
          </w:rPr>
          <w:t>https://arxiv.org/abs/2402.01140</w:t>
        </w:r>
      </w:hyperlink>
      <w:r>
        <w:rPr>
          <w:color w:val="343A40"/>
          <w:sz w:val="20"/>
        </w:rPr>
        <w:t xml:space="preserve"> - Neural Granger causal discovery plus contrastive learning to build a causal graph from monitoring metrics; direct template for the Granger-causality step used in this notebook.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"Root Cause Analysis for Microservices based on Causal Inference: How Far Are We?"</w:t>
      </w:r>
      <w:r>
        <w:rPr>
          <w:color w:val="212529"/>
          <w:sz w:val="20"/>
        </w:rPr>
        <w:t>, arXiv:2408.13729. (arXiv)</w:t>
      </w:r>
      <w:r>
        <w:rPr/>
        <w:t xml:space="preserve"> </w:t>
      </w:r>
      <w:hyperlink r:id="rId12">
        <w:r>
          <w:rPr>
            <w:rStyle w:val="ListLabel10"/>
            <w:color w:val="0563C1"/>
            <w:u w:val="single"/>
          </w:rPr>
          <w:t>https://arxiv.org/html/2408.13729v1</w:t>
        </w:r>
      </w:hyperlink>
      <w:r>
        <w:rPr>
          <w:color w:val="343A40"/>
          <w:sz w:val="20"/>
        </w:rPr>
        <w:t xml:space="preserve"> - Empirically compares PC, FCI, Granger, fGES, and LiNGAM as causal-graph builders for RCA; informs the choice and limits of Granger causality used here.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"Graphical Causal Reasoning for Root Cause Analysis in Cloud Networks"</w:t>
      </w:r>
      <w:r>
        <w:rPr>
          <w:color w:val="212529"/>
          <w:sz w:val="20"/>
        </w:rPr>
        <w:t>, arXiv:2606.13532. (arXiv)</w:t>
      </w:r>
      <w:r>
        <w:rPr/>
        <w:t xml:space="preserve"> </w:t>
      </w:r>
      <w:hyperlink r:id="rId13">
        <w:r>
          <w:rPr>
            <w:rStyle w:val="ListLabel10"/>
            <w:color w:val="0563C1"/>
            <w:u w:val="single"/>
          </w:rPr>
          <w:t>https://arxiv.org/html/2606.13532</w:t>
        </w:r>
      </w:hyperlink>
      <w:r>
        <w:rPr>
          <w:color w:val="343A40"/>
          <w:sz w:val="20"/>
        </w:rPr>
        <w:t xml:space="preserve"> - Constructs a causal graph from binary event time series via bivariate Granger causality plus conditional-independence tests, then walks the graph to rank causes - the same two-step (build graph -&gt; rank) pattern as Component 2+3 here.</w:t>
      </w:r>
    </w:p>
    <w:p>
      <w:pPr>
        <w:pStyle w:val="Heading1"/>
        <w:rPr/>
      </w:pPr>
      <w:r>
        <w:rPr>
          <w:rFonts w:ascii="Aptos Display" w:hAnsi="Aptos Display"/>
          <w:b/>
          <w:color w:val="162944"/>
          <w:sz w:val="31"/>
        </w:rPr>
        <w:t>6. LLM-based approaches for diagnosis / operator-facing explanation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"Exploring LLM-based Agents for Root Cause Analysis"</w:t>
      </w:r>
      <w:r>
        <w:rPr>
          <w:color w:val="212529"/>
          <w:sz w:val="20"/>
        </w:rPr>
        <w:t>, arXiv:2403.04123. (arXiv)</w:t>
      </w:r>
      <w:r>
        <w:rPr/>
        <w:t xml:space="preserve"> </w:t>
      </w:r>
      <w:hyperlink r:id="rId14">
        <w:r>
          <w:rPr>
            <w:rStyle w:val="ListLabel10"/>
            <w:color w:val="0563C1"/>
            <w:u w:val="single"/>
          </w:rPr>
          <w:t>https://arxiv.org/pdf/2403.04123</w:t>
        </w:r>
      </w:hyperlink>
      <w:r>
        <w:rPr>
          <w:color w:val="343A40"/>
          <w:sz w:val="20"/>
        </w:rPr>
        <w:t xml:space="preserve"> - Autonomous LLM agents with tool use for cloud incident RCA (context management, trajectory stabilization); the design pattern used for the explanation-generation LLM in Component 4: tool-grounded, not free-generation.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"RCA Copilot: Transforming Network Data into Actionable Insights via Large Language Models"</w:t>
      </w:r>
      <w:r>
        <w:rPr>
          <w:color w:val="212529"/>
          <w:sz w:val="20"/>
        </w:rPr>
        <w:t>, arXiv:2507.03224. (arXiv)</w:t>
      </w:r>
      <w:r>
        <w:rPr/>
        <w:t xml:space="preserve"> </w:t>
      </w:r>
      <w:hyperlink r:id="rId15">
        <w:r>
          <w:rPr>
            <w:rStyle w:val="ListLabel10"/>
            <w:color w:val="0563C1"/>
            <w:u w:val="single"/>
          </w:rPr>
          <w:t>https://arxiv.org/pdf/2507.03224</w:t>
        </w:r>
      </w:hyperlink>
      <w:r>
        <w:rPr>
          <w:color w:val="343A40"/>
          <w:sz w:val="20"/>
        </w:rPr>
        <w:t xml:space="preserve"> - LLM pipeline that aggregates multimodal diagnostic evidence and generates root-cause narratives for network incidents; closest analogue to Component 4's report generator.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"Automatic Root Cause Analysis via Large Language Models for Cloud Incidents"</w:t>
      </w:r>
      <w:r>
        <w:rPr>
          <w:color w:val="212529"/>
          <w:sz w:val="20"/>
        </w:rPr>
        <w:t>, arXiv:2305.15778. (arXiv)</w:t>
      </w:r>
      <w:r>
        <w:rPr/>
        <w:t xml:space="preserve"> </w:t>
      </w:r>
      <w:hyperlink r:id="rId16">
        <w:r>
          <w:rPr>
            <w:rStyle w:val="ListLabel10"/>
            <w:color w:val="0563C1"/>
            <w:u w:val="single"/>
          </w:rPr>
          <w:t>https://arxiv.org/pdf/2305.15778</w:t>
        </w:r>
      </w:hyperlink>
      <w:r>
        <w:rPr>
          <w:color w:val="343A40"/>
          <w:sz w:val="20"/>
        </w:rPr>
        <w:t xml:space="preserve"> - LLM reads retrieved telemetry/runbooks to propose root causes; motivates keeping the LLM strictly as a narrator over verified evidence rather than an independent diagnoser, to reduce hallucinated causes.</w:t>
      </w:r>
    </w:p>
    <w:p>
      <w:pPr>
        <w:pStyle w:val="Heading1"/>
        <w:rPr/>
      </w:pPr>
      <w:r>
        <w:rPr>
          <w:rFonts w:ascii="Aptos Display" w:hAnsi="Aptos Display"/>
          <w:b/>
          <w:color w:val="162944"/>
          <w:sz w:val="31"/>
        </w:rPr>
        <w:t>7. Uncertainty quantification &amp; trustworthy AI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"A Gentle Introduction to Conformal Prediction and Distribution-Free Uncertainty Quantification"</w:t>
      </w:r>
      <w:r>
        <w:rPr>
          <w:color w:val="212529"/>
          <w:sz w:val="20"/>
        </w:rPr>
        <w:t>, Angelopoulos, A. &amp; Bates, S., arXiv:2107.07511. (arXiv)</w:t>
      </w:r>
      <w:r>
        <w:rPr/>
        <w:t xml:space="preserve"> </w:t>
      </w:r>
      <w:hyperlink r:id="rId17">
        <w:r>
          <w:rPr>
            <w:rStyle w:val="ListLabel10"/>
            <w:color w:val="0563C1"/>
            <w:u w:val="single"/>
          </w:rPr>
          <w:t>https://arxiv.org/abs/2107.07511</w:t>
        </w:r>
      </w:hyperlink>
      <w:r>
        <w:rPr>
          <w:color w:val="343A40"/>
          <w:sz w:val="20"/>
        </w:rPr>
        <w:t xml:space="preserve"> - The conformal-prediction method used for Component 5: distribution-free coverage guarantees with no distributional assumptions on KPI noise.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"Conformal Prediction and Trustworthy AI"</w:t>
      </w:r>
      <w:r>
        <w:rPr>
          <w:color w:val="212529"/>
          <w:sz w:val="20"/>
        </w:rPr>
        <w:t>, arXiv:2508.06885. (arXiv)</w:t>
      </w:r>
      <w:r>
        <w:rPr/>
        <w:t xml:space="preserve"> </w:t>
      </w:r>
      <w:hyperlink r:id="rId18">
        <w:r>
          <w:rPr>
            <w:rStyle w:val="ListLabel10"/>
            <w:color w:val="0563C1"/>
            <w:u w:val="single"/>
          </w:rPr>
          <w:t>https://arxiv.org/abs/2508.06885</w:t>
        </w:r>
      </w:hyperlink>
      <w:r>
        <w:rPr>
          <w:color w:val="343A40"/>
          <w:sz w:val="20"/>
        </w:rPr>
        <w:t xml:space="preserve"> - Reviews why calibrated, guaranteed-coverage uncertainty (versus bare softmax confidence) is a prerequisite for trustworthy deployment.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"Uncertainty Aware Deep Learning Model for Secure and Trustworthy Channel Estimation in 5G Networks"</w:t>
      </w:r>
      <w:r>
        <w:rPr>
          <w:color w:val="212529"/>
          <w:sz w:val="20"/>
        </w:rPr>
        <w:t>, arXiv:2305.02741. (arXiv)</w:t>
      </w:r>
      <w:r>
        <w:rPr/>
        <w:t xml:space="preserve"> </w:t>
      </w:r>
      <w:hyperlink r:id="rId19">
        <w:r>
          <w:rPr>
            <w:rStyle w:val="ListLabel10"/>
            <w:color w:val="0563C1"/>
            <w:u w:val="single"/>
          </w:rPr>
          <w:t>https://arxiv.org/pdf/2305.02741</w:t>
        </w:r>
      </w:hyperlink>
      <w:r>
        <w:rPr>
          <w:color w:val="343A40"/>
          <w:sz w:val="20"/>
        </w:rPr>
        <w:t xml:space="preserve"> - A 5G-specific example of separating epistemic and aleatoric uncertainty in a deep model, mirroring the split used in Component 5.</w:t>
      </w:r>
    </w:p>
    <w:p>
      <w:pPr>
        <w:pStyle w:val="Heading1"/>
        <w:rPr/>
      </w:pPr>
      <w:r>
        <w:rPr>
          <w:rFonts w:ascii="Aptos Display" w:hAnsi="Aptos Display"/>
          <w:b/>
          <w:color w:val="162944"/>
          <w:sz w:val="31"/>
        </w:rPr>
        <w:t>Dataset</w:t>
      </w:r>
    </w:p>
    <w:p>
      <w:pPr>
        <w:pStyle w:val="ReferenceEntry"/>
        <w:rPr/>
      </w:pPr>
      <w:r>
        <w:rPr>
          <w:b/>
          <w:color w:val="264971"/>
          <w:sz w:val="21"/>
        </w:rPr>
        <w:t xml:space="preserve">• </w:t>
      </w:r>
      <w:r>
        <w:rPr>
          <w:b/>
          <w:color w:val="212529"/>
          <w:sz w:val="20"/>
        </w:rPr>
        <w:t>Su, Y. et al. (2019), Server Machine Dataset (SMD)</w:t>
      </w:r>
      <w:r>
        <w:rPr/>
        <w:t xml:space="preserve">, </w:t>
      </w:r>
      <w:hyperlink r:id="rId20">
        <w:r>
          <w:rPr>
            <w:rStyle w:val="ListLabel10"/>
            <w:color w:val="0563C1"/>
            <w:u w:val="single"/>
          </w:rPr>
          <w:t>https://github.com/NetManAIOps/OmniAnomaly</w:t>
        </w:r>
      </w:hyperlink>
      <w:r>
        <w:rPr>
          <w:color w:val="343A40"/>
          <w:sz w:val="20"/>
        </w:rPr>
        <w:t xml:space="preserve"> - 28 machines x 38 metrics (CPU, memory, network, and load metrics sampled every minute), with anomaly-interval labels and ground-truth root-cause dimension labels (interpretation_label). Used in the notebook as a public, license-open proxy for telecom NE/CPU-memory/traffic KPI monitoring, chosen specifically because it is one of the few public datasets with root-cause ground truth. This enables quantitative validation of the root-cause component rather than only the anomaly-detection component. True RAN-level KPI datasets (latency, jitter, handover-failure with root-cause labels) are typically held by operators/vendors and are not public.</w:t>
      </w:r>
    </w:p>
    <w:p>
      <w:pPr>
        <w:pStyle w:val="Heading1"/>
        <w:rPr>
          <w:rFonts w:ascii="Aptos Display" w:hAnsi="Aptos Display"/>
          <w:b/>
          <w:color w:val="162944"/>
          <w:sz w:val="31"/>
        </w:rPr>
      </w:pPr>
      <w:r>
        <w:rPr/>
      </w:r>
    </w:p>
    <w:p>
      <w:pPr>
        <w:pStyle w:val="Normal"/>
        <w:rPr>
          <w:rFonts w:ascii="Aptos Display" w:hAnsi="Aptos Display"/>
          <w:b/>
          <w:color w:val="162944"/>
          <w:sz w:val="31"/>
        </w:rPr>
      </w:pPr>
      <w:r>
        <w:rPr/>
      </w:r>
    </w:p>
    <w:p>
      <w:pPr>
        <w:pStyle w:val="Heading1"/>
        <w:rPr/>
      </w:pPr>
      <w:r>
        <w:rPr>
          <w:rFonts w:ascii="Aptos Display" w:hAnsi="Aptos Display"/>
          <w:b/>
          <w:color w:val="162944"/>
          <w:sz w:val="31"/>
        </w:rPr>
        <w:t>Framework-to-Literature Mapping</w:t>
      </w:r>
    </w:p>
    <w:tbl>
      <w:tblPr>
        <w:tblStyle w:val="TableGrid"/>
        <w:tblW w:w="9879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293"/>
        <w:gridCol w:w="3293"/>
        <w:gridCol w:w="3293"/>
      </w:tblGrid>
      <w:tr>
        <w:trPr/>
        <w:tc>
          <w:tcPr>
            <w:tcW w:w="3293" w:type="dxa"/>
            <w:tcBorders/>
            <w:shd w:fill="00A933" w:val="clear"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Framework Area</w:t>
            </w:r>
          </w:p>
        </w:tc>
        <w:tc>
          <w:tcPr>
            <w:tcW w:w="3293" w:type="dxa"/>
            <w:tcBorders/>
            <w:shd w:fill="00A933" w:val="clear"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3293" w:type="dxa"/>
            <w:tcBorders/>
            <w:shd w:fill="00A933" w:val="clear"/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9"/>
                <w:szCs w:val="22"/>
                <w:lang w:val="en-US" w:eastAsia="en-US" w:bidi="ar-SA"/>
              </w:rPr>
              <w:t>Key Literature Families</w:t>
            </w:r>
          </w:p>
        </w:tc>
      </w:tr>
      <w:tr>
        <w:trPr/>
        <w:tc>
          <w:tcPr>
            <w:tcW w:w="3293" w:type="dxa"/>
            <w:tcBorders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Component 1</w:t>
            </w:r>
          </w:p>
        </w:tc>
        <w:tc>
          <w:tcPr>
            <w:tcW w:w="3293" w:type="dxa"/>
            <w:tcBorders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Prediction &amp; anomaly detection</w:t>
            </w:r>
          </w:p>
        </w:tc>
        <w:tc>
          <w:tcPr>
            <w:tcW w:w="3293" w:type="dxa"/>
            <w:tcBorders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Classical ML, LSTM/VAE, Transformer</w:t>
            </w:r>
          </w:p>
        </w:tc>
      </w:tr>
      <w:tr>
        <w:trPr/>
        <w:tc>
          <w:tcPr>
            <w:tcW w:w="3293" w:type="dxa"/>
            <w:tcBorders/>
            <w:shd w:fill="F7F9FB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Component 2</w:t>
            </w:r>
          </w:p>
        </w:tc>
        <w:tc>
          <w:tcPr>
            <w:tcW w:w="3293" w:type="dxa"/>
            <w:tcBorders/>
            <w:shd w:fill="F7F9FB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Topology-aware root cause analysis</w:t>
            </w:r>
          </w:p>
        </w:tc>
        <w:tc>
          <w:tcPr>
            <w:tcW w:w="3293" w:type="dxa"/>
            <w:tcBorders/>
            <w:shd w:fill="F7F9FB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GDN, MicroRCA, GCN, 5G GNN + Transformer</w:t>
            </w:r>
          </w:p>
        </w:tc>
      </w:tr>
      <w:tr>
        <w:trPr/>
        <w:tc>
          <w:tcPr>
            <w:tcW w:w="3293" w:type="dxa"/>
            <w:tcBorders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Component 3</w:t>
            </w:r>
          </w:p>
        </w:tc>
        <w:tc>
          <w:tcPr>
            <w:tcW w:w="3293" w:type="dxa"/>
            <w:tcBorders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Causal validation</w:t>
            </w:r>
          </w:p>
        </w:tc>
        <w:tc>
          <w:tcPr>
            <w:tcW w:w="3293" w:type="dxa"/>
            <w:tcBorders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PC/FCI, Granger causality, causal graph ranking</w:t>
            </w:r>
          </w:p>
        </w:tc>
      </w:tr>
      <w:tr>
        <w:trPr/>
        <w:tc>
          <w:tcPr>
            <w:tcW w:w="3293" w:type="dxa"/>
            <w:tcBorders/>
            <w:shd w:fill="F7F9FB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Component 4</w:t>
            </w:r>
          </w:p>
        </w:tc>
        <w:tc>
          <w:tcPr>
            <w:tcW w:w="3293" w:type="dxa"/>
            <w:tcBorders/>
            <w:shd w:fill="F7F9FB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Operator-facing explanation</w:t>
            </w:r>
          </w:p>
        </w:tc>
        <w:tc>
          <w:tcPr>
            <w:tcW w:w="3293" w:type="dxa"/>
            <w:tcBorders/>
            <w:shd w:fill="F7F9FB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Tool-grounded LLM agents, RCA Copilot</w:t>
            </w:r>
          </w:p>
        </w:tc>
      </w:tr>
      <w:tr>
        <w:trPr/>
        <w:tc>
          <w:tcPr>
            <w:tcW w:w="3293" w:type="dxa"/>
            <w:tcBorders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Component 5</w:t>
            </w:r>
          </w:p>
        </w:tc>
        <w:tc>
          <w:tcPr>
            <w:tcW w:w="3293" w:type="dxa"/>
            <w:tcBorders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Uncertainty &amp; trust</w:t>
            </w:r>
          </w:p>
        </w:tc>
        <w:tc>
          <w:tcPr>
            <w:tcW w:w="3293" w:type="dxa"/>
            <w:tcBorders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12529"/>
                <w:kern w:val="0"/>
                <w:sz w:val="18"/>
                <w:szCs w:val="22"/>
                <w:lang w:val="en-US" w:eastAsia="en-US" w:bidi="ar-SA"/>
              </w:rPr>
              <w:t>Conformal prediction, epistemic/aleatoric uncertainty</w:t>
            </w:r>
          </w:p>
        </w:tc>
      </w:tr>
    </w:tbl>
    <w:p>
      <w:pPr>
        <w:pStyle w:val="Normal"/>
        <w:spacing w:before="160" w:after="100"/>
        <w:rPr>
          <w:rFonts w:ascii="Aptos" w:hAnsi="Aptos"/>
          <w:i/>
          <w:i/>
          <w:color w:val="6C757D"/>
          <w:sz w:val="17"/>
        </w:rPr>
      </w:pPr>
      <w:r>
        <w:rPr/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2240" w:h="15840"/>
      <w:pgMar w:left="1181" w:right="1181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Aptos" w:hAnsi="Aptos"/>
        <w:color w:val="6C757D"/>
        <w:sz w:val="17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Aptos" w:hAnsi="Aptos"/>
        <w:color w:val="6C757D"/>
        <w:sz w:val="17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2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6294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2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6497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62944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5A6470"/>
      <w:spacing w:val="15"/>
      <w:sz w:val="23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ReferenceEntry" w:customStyle="1">
    <w:name w:val="Reference Entry"/>
    <w:qFormat/>
    <w:pPr>
      <w:widowControl/>
      <w:bidi w:val="0"/>
      <w:spacing w:lineRule="auto" w:line="252" w:before="0" w:after="120"/>
      <w:ind w:hanging="259" w:left="259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dpi.com/2673-2688/5/4/143" TargetMode="External"/><Relationship Id="rId3" Type="http://schemas.openxmlformats.org/officeDocument/2006/relationships/hyperlink" Target="https://arxiv.org/pdf/2202.07125" TargetMode="External"/><Relationship Id="rId4" Type="http://schemas.openxmlformats.org/officeDocument/2006/relationships/hyperlink" Target="https://arxiv.org/abs/2201.07284" TargetMode="External"/><Relationship Id="rId5" Type="http://schemas.openxmlformats.org/officeDocument/2006/relationships/hyperlink" Target="https://arxiv.org/html/2406.15638v1" TargetMode="External"/><Relationship Id="rId6" Type="http://schemas.openxmlformats.org/officeDocument/2006/relationships/hyperlink" Target="https://arxiv.org/pdf/2308.16279" TargetMode="External"/><Relationship Id="rId7" Type="http://schemas.openxmlformats.org/officeDocument/2006/relationships/hyperlink" Target="https://arxiv.org/html/2607.19974" TargetMode="External"/><Relationship Id="rId8" Type="http://schemas.openxmlformats.org/officeDocument/2006/relationships/hyperlink" Target="https://www.ncbi.nlm.nih.gov/pmc/articles/PMC10459609/" TargetMode="External"/><Relationship Id="rId9" Type="http://schemas.openxmlformats.org/officeDocument/2006/relationships/hyperlink" Target="https://arxiv.org/pdf/2406.19711" TargetMode="External"/><Relationship Id="rId10" Type="http://schemas.openxmlformats.org/officeDocument/2006/relationships/hyperlink" Target="https://arxiv.org/html/2408.00803v1" TargetMode="External"/><Relationship Id="rId11" Type="http://schemas.openxmlformats.org/officeDocument/2006/relationships/hyperlink" Target="https://arxiv.org/abs/2402.01140" TargetMode="External"/><Relationship Id="rId12" Type="http://schemas.openxmlformats.org/officeDocument/2006/relationships/hyperlink" Target="https://arxiv.org/html/2408.13729v1" TargetMode="External"/><Relationship Id="rId13" Type="http://schemas.openxmlformats.org/officeDocument/2006/relationships/hyperlink" Target="https://arxiv.org/html/2606.13532" TargetMode="External"/><Relationship Id="rId14" Type="http://schemas.openxmlformats.org/officeDocument/2006/relationships/hyperlink" Target="https://arxiv.org/pdf/2403.04123" TargetMode="External"/><Relationship Id="rId15" Type="http://schemas.openxmlformats.org/officeDocument/2006/relationships/hyperlink" Target="https://arxiv.org/pdf/2507.03224" TargetMode="External"/><Relationship Id="rId16" Type="http://schemas.openxmlformats.org/officeDocument/2006/relationships/hyperlink" Target="https://arxiv.org/pdf/2305.15778" TargetMode="External"/><Relationship Id="rId17" Type="http://schemas.openxmlformats.org/officeDocument/2006/relationships/hyperlink" Target="https://arxiv.org/abs/2107.07511" TargetMode="External"/><Relationship Id="rId18" Type="http://schemas.openxmlformats.org/officeDocument/2006/relationships/hyperlink" Target="https://arxiv.org/abs/2508.06885" TargetMode="External"/><Relationship Id="rId19" Type="http://schemas.openxmlformats.org/officeDocument/2006/relationships/hyperlink" Target="https://arxiv.org/pdf/2305.02741" TargetMode="External"/><Relationship Id="rId20" Type="http://schemas.openxmlformats.org/officeDocument/2006/relationships/hyperlink" Target="https://github.com/NetManAIOps/OmniAnomaly" TargetMode="Externa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4</Pages>
  <Words>1166</Words>
  <Characters>7945</Characters>
  <CharactersWithSpaces>9055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2026-09-02T11:21:02Z</cp:lastPrinted>
  <dcterms:modified xsi:type="dcterms:W3CDTF">2026-09-02T11:39:21Z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