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i w:val="false"/>
          <w:sz w:val="34"/>
        </w:rPr>
        <w:t>Results: LightGBM vs. Transformer</w:t>
      </w:r>
    </w:p>
    <w:p>
      <w:pPr>
        <w:pStyle w:val="Normal"/>
        <w:spacing w:before="0" w:after="320"/>
        <w:jc w:val="center"/>
        <w:rPr/>
      </w:pPr>
      <w:r>
        <w:rPr>
          <w:b w:val="false"/>
          <w:i/>
          <w:sz w:val="22"/>
        </w:rPr>
        <w:t>Early-warning degradation prediction, held-out EVAL block, machine-1-1 (SMD)</w:t>
      </w:r>
    </w:p>
    <w:p>
      <w:pPr>
        <w:pStyle w:val="Normal"/>
        <w:spacing w:lineRule="auto" w:line="276"/>
        <w:jc w:val="both"/>
        <w:rPr/>
      </w:pPr>
      <w:r>
        <w:rPr/>
        <w:t>Both models predict P(degradation within the next 30 minutes) from a 20-minute KPI window (Component 1 of the trustworthy-RCA framework). LightGBM is the auditable tabular baseline (rolling mean/std/last features); the Transformer is a 2-layer self-attention encoder over the raw window. Both are evaluated on the same held-out EVAL block, never used for fitting. Source: notebooks/02_prediction_baselines.ipynb, seeds [42, 123, 2026, 3407, 999].</w:t>
      </w:r>
    </w:p>
    <w:p>
      <w:pPr>
        <w:pStyle w:val="Heading2"/>
        <w:rPr/>
      </w:pPr>
      <w:r>
        <w:rPr/>
        <w:t>Summary (mean ± std across 5 seeds)</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bottom w:val="single" w:sz="18" w:space="0" w:color="4F81BD"/>
            </w:tcBorders>
            <w:shd w:fill="00A933"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Model</w:t>
            </w:r>
          </w:p>
        </w:tc>
        <w:tc>
          <w:tcPr>
            <w:tcW w:w="3120" w:type="dxa"/>
            <w:tcBorders>
              <w:bottom w:val="single" w:sz="18" w:space="0" w:color="4F81BD"/>
            </w:tcBorders>
            <w:shd w:fill="00A933"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AUROC</w:t>
            </w:r>
          </w:p>
        </w:tc>
        <w:tc>
          <w:tcPr>
            <w:tcW w:w="3120" w:type="dxa"/>
            <w:tcBorders>
              <w:bottom w:val="single" w:sz="18" w:space="0" w:color="4F81BD"/>
            </w:tcBorders>
            <w:shd w:fill="00A933"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AUPRC</w:t>
            </w:r>
          </w:p>
        </w:tc>
      </w:tr>
      <w:tr>
        <w:trPr/>
        <w:tc>
          <w:tcPr>
            <w:tcW w:w="3120" w:type="dxa"/>
            <w:tcBorders/>
            <w:shd w:color="auto" w:fill="D3DFEE" w:themeFill="accent1" w:themeFillTint="3f"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kern w:val="0"/>
                <w:sz w:val="20"/>
                <w:szCs w:val="22"/>
                <w:lang w:val="en-US" w:eastAsia="en-US" w:bidi="ar-SA"/>
              </w:rPr>
              <w:t>LightGBM</w:t>
            </w:r>
          </w:p>
        </w:tc>
        <w:tc>
          <w:tcPr>
            <w:tcW w:w="3120"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0.898 (identical across all 5 seeds)</w:t>
            </w:r>
          </w:p>
        </w:tc>
        <w:tc>
          <w:tcPr>
            <w:tcW w:w="3120"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0.825 (identical across all 5 seeds)</w:t>
            </w:r>
          </w:p>
        </w:tc>
      </w:tr>
      <w:tr>
        <w:trPr/>
        <w:tc>
          <w:tcPr>
            <w:tcW w:w="3120" w:type="dxa"/>
            <w:tcBorders/>
          </w:tcPr>
          <w:p>
            <w:pPr>
              <w:pStyle w:val="Normal"/>
              <w:widowControl/>
              <w:spacing w:before="0" w:after="160"/>
              <w:jc w:val="left"/>
              <w:rPr>
                <w:rFonts w:eastAsia="ＭＳ ゴシック" w:cs=""/>
                <w:b/>
                <w:bCs/>
                <w:kern w:val="0"/>
                <w:szCs w:val="22"/>
                <w:lang w:val="en-US" w:eastAsia="en-US" w:bidi="ar-SA"/>
              </w:rPr>
            </w:pPr>
            <w:r>
              <w:rPr>
                <w:rFonts w:eastAsia="ＭＳ ゴシック" w:cs=""/>
                <w:b/>
                <w:bCs/>
                <w:kern w:val="0"/>
                <w:sz w:val="20"/>
                <w:szCs w:val="22"/>
                <w:lang w:val="en-US" w:eastAsia="en-US" w:bidi="ar-SA"/>
              </w:rPr>
              <w:t>Transformer</w:t>
            </w:r>
          </w:p>
        </w:tc>
        <w:tc>
          <w:tcPr>
            <w:tcW w:w="3120" w:type="dxa"/>
            <w:tcBorders/>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0.926 ± 0.010</w:t>
            </w:r>
          </w:p>
        </w:tc>
        <w:tc>
          <w:tcPr>
            <w:tcW w:w="3120" w:type="dxa"/>
            <w:tcBorders/>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0.880 ± 0.013</w:t>
            </w:r>
          </w:p>
        </w:tc>
      </w:tr>
    </w:tbl>
    <w:p>
      <w:pPr>
        <w:pStyle w:val="Normal"/>
        <w:spacing w:before="0" w:after="120"/>
        <w:rPr/>
      </w:pPr>
      <w:r>
        <w:rPr/>
      </w:r>
    </w:p>
    <w:p>
      <w:pPr>
        <w:pStyle w:val="Heading2"/>
        <w:rPr/>
      </w:pPr>
      <w:r>
        <w:rPr/>
        <w:t>Per-seed detail</w:t>
      </w:r>
    </w:p>
    <w:tbl>
      <w:tblPr>
        <w:tblStyle w:val="LightGrid-Accent1"/>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bottom w:val="single" w:sz="18" w:space="0" w:color="4F81BD"/>
            </w:tcBorders>
            <w:shd w:fill="00A933"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Seed</w:t>
            </w:r>
          </w:p>
        </w:tc>
        <w:tc>
          <w:tcPr>
            <w:tcW w:w="1872" w:type="dxa"/>
            <w:tcBorders>
              <w:bottom w:val="single" w:sz="18" w:space="0" w:color="4F81BD"/>
            </w:tcBorders>
            <w:shd w:fill="00A933"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LightGBM AUROC</w:t>
            </w:r>
          </w:p>
        </w:tc>
        <w:tc>
          <w:tcPr>
            <w:tcW w:w="1872" w:type="dxa"/>
            <w:tcBorders>
              <w:bottom w:val="single" w:sz="18" w:space="0" w:color="4F81BD"/>
            </w:tcBorders>
            <w:shd w:fill="00A933"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LightGBM AUPRC</w:t>
            </w:r>
          </w:p>
        </w:tc>
        <w:tc>
          <w:tcPr>
            <w:tcW w:w="1872" w:type="dxa"/>
            <w:tcBorders>
              <w:bottom w:val="single" w:sz="18" w:space="0" w:color="4F81BD"/>
            </w:tcBorders>
            <w:shd w:fill="00A933"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Transformer AUROC</w:t>
            </w:r>
          </w:p>
        </w:tc>
        <w:tc>
          <w:tcPr>
            <w:tcW w:w="1872" w:type="dxa"/>
            <w:tcBorders>
              <w:bottom w:val="single" w:sz="18" w:space="0" w:color="4F81BD"/>
            </w:tcBorders>
            <w:shd w:fill="00A933"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Transformer AUPRC</w:t>
            </w:r>
          </w:p>
        </w:tc>
      </w:tr>
      <w:tr>
        <w:trPr/>
        <w:tc>
          <w:tcPr>
            <w:tcW w:w="1872" w:type="dxa"/>
            <w:tcBorders/>
            <w:shd w:color="auto" w:fill="D3DFEE" w:themeFill="accent1" w:themeFillTint="3f"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kern w:val="0"/>
                <w:sz w:val="20"/>
                <w:szCs w:val="22"/>
                <w:lang w:val="en-US" w:eastAsia="en-US" w:bidi="ar-SA"/>
              </w:rPr>
              <w:t>42</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0.898</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0.825</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0.909</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0.862</w:t>
            </w:r>
          </w:p>
        </w:tc>
      </w:tr>
      <w:tr>
        <w:trPr/>
        <w:tc>
          <w:tcPr>
            <w:tcW w:w="1872" w:type="dxa"/>
            <w:tcBorders/>
          </w:tcPr>
          <w:p>
            <w:pPr>
              <w:pStyle w:val="Normal"/>
              <w:widowControl/>
              <w:spacing w:before="0" w:after="160"/>
              <w:jc w:val="left"/>
              <w:rPr>
                <w:rFonts w:eastAsia="ＭＳ ゴシック" w:cs=""/>
                <w:b/>
                <w:bCs/>
                <w:kern w:val="0"/>
                <w:szCs w:val="22"/>
                <w:lang w:val="en-US" w:eastAsia="en-US" w:bidi="ar-SA"/>
              </w:rPr>
            </w:pPr>
            <w:r>
              <w:rPr>
                <w:rFonts w:eastAsia="ＭＳ ゴシック" w:cs=""/>
                <w:b/>
                <w:bCs/>
                <w:kern w:val="0"/>
                <w:sz w:val="20"/>
                <w:szCs w:val="22"/>
                <w:lang w:val="en-US" w:eastAsia="en-US" w:bidi="ar-SA"/>
              </w:rPr>
              <w:t>123</w:t>
            </w:r>
          </w:p>
        </w:tc>
        <w:tc>
          <w:tcPr>
            <w:tcW w:w="1872" w:type="dxa"/>
            <w:tcBorders/>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0.898</w:t>
            </w:r>
          </w:p>
        </w:tc>
        <w:tc>
          <w:tcPr>
            <w:tcW w:w="1872" w:type="dxa"/>
            <w:tcBorders/>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0.825</w:t>
            </w:r>
          </w:p>
        </w:tc>
        <w:tc>
          <w:tcPr>
            <w:tcW w:w="1872" w:type="dxa"/>
            <w:tcBorders/>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0.931</w:t>
            </w:r>
          </w:p>
        </w:tc>
        <w:tc>
          <w:tcPr>
            <w:tcW w:w="1872" w:type="dxa"/>
            <w:tcBorders/>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0.875</w:t>
            </w:r>
          </w:p>
        </w:tc>
      </w:tr>
      <w:tr>
        <w:trPr/>
        <w:tc>
          <w:tcPr>
            <w:tcW w:w="1872" w:type="dxa"/>
            <w:tcBorders/>
            <w:shd w:color="auto" w:fill="D3DFEE" w:themeFill="accent1" w:themeFillTint="3f"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kern w:val="0"/>
                <w:sz w:val="20"/>
                <w:szCs w:val="22"/>
                <w:lang w:val="en-US" w:eastAsia="en-US" w:bidi="ar-SA"/>
              </w:rPr>
              <w:t>2026</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0.898</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0.825</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0.933</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0.882</w:t>
            </w:r>
          </w:p>
        </w:tc>
      </w:tr>
      <w:tr>
        <w:trPr/>
        <w:tc>
          <w:tcPr>
            <w:tcW w:w="1872" w:type="dxa"/>
            <w:tcBorders/>
          </w:tcPr>
          <w:p>
            <w:pPr>
              <w:pStyle w:val="Normal"/>
              <w:widowControl/>
              <w:spacing w:before="0" w:after="160"/>
              <w:jc w:val="left"/>
              <w:rPr>
                <w:rFonts w:eastAsia="ＭＳ ゴシック" w:cs=""/>
                <w:b/>
                <w:bCs/>
                <w:kern w:val="0"/>
                <w:szCs w:val="22"/>
                <w:lang w:val="en-US" w:eastAsia="en-US" w:bidi="ar-SA"/>
              </w:rPr>
            </w:pPr>
            <w:r>
              <w:rPr>
                <w:rFonts w:eastAsia="ＭＳ ゴシック" w:cs=""/>
                <w:b/>
                <w:bCs/>
                <w:kern w:val="0"/>
                <w:sz w:val="20"/>
                <w:szCs w:val="22"/>
                <w:lang w:val="en-US" w:eastAsia="en-US" w:bidi="ar-SA"/>
              </w:rPr>
              <w:t>3407</w:t>
            </w:r>
          </w:p>
        </w:tc>
        <w:tc>
          <w:tcPr>
            <w:tcW w:w="1872" w:type="dxa"/>
            <w:tcBorders/>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0.898</w:t>
            </w:r>
          </w:p>
        </w:tc>
        <w:tc>
          <w:tcPr>
            <w:tcW w:w="1872" w:type="dxa"/>
            <w:tcBorders/>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0.825</w:t>
            </w:r>
          </w:p>
        </w:tc>
        <w:tc>
          <w:tcPr>
            <w:tcW w:w="1872" w:type="dxa"/>
            <w:tcBorders/>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0.932</w:t>
            </w:r>
          </w:p>
        </w:tc>
        <w:tc>
          <w:tcPr>
            <w:tcW w:w="1872" w:type="dxa"/>
            <w:tcBorders/>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0.898</w:t>
            </w:r>
          </w:p>
        </w:tc>
      </w:tr>
      <w:tr>
        <w:trPr/>
        <w:tc>
          <w:tcPr>
            <w:tcW w:w="1872" w:type="dxa"/>
            <w:tcBorders/>
            <w:shd w:color="auto" w:fill="D3DFEE" w:themeFill="accent1" w:themeFillTint="3f" w:val="clear"/>
          </w:tcPr>
          <w:p>
            <w:pPr>
              <w:pStyle w:val="Normal"/>
              <w:widowControl/>
              <w:spacing w:before="0" w:after="160"/>
              <w:jc w:val="left"/>
              <w:rPr>
                <w:rFonts w:eastAsia="ＭＳ ゴシック" w:cs=""/>
                <w:b/>
                <w:bCs/>
                <w:kern w:val="0"/>
                <w:szCs w:val="22"/>
                <w:lang w:val="en-US" w:eastAsia="en-US" w:bidi="ar-SA"/>
              </w:rPr>
            </w:pPr>
            <w:r>
              <w:rPr>
                <w:rFonts w:eastAsia="ＭＳ ゴシック" w:cs=""/>
                <w:b/>
                <w:bCs/>
                <w:kern w:val="0"/>
                <w:sz w:val="20"/>
                <w:szCs w:val="22"/>
                <w:lang w:val="en-US" w:eastAsia="en-US" w:bidi="ar-SA"/>
              </w:rPr>
              <w:t>999</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0.898</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0.825</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0.926</w:t>
            </w:r>
          </w:p>
        </w:tc>
        <w:tc>
          <w:tcPr>
            <w:tcW w:w="1872" w:type="dxa"/>
            <w:tcBorders/>
            <w:shd w:color="auto" w:fill="D3DFEE" w:themeFill="accent1" w:themeFillTint="3f" w:val="clear"/>
          </w:tcPr>
          <w:p>
            <w:pPr>
              <w:pStyle w:val="Normal"/>
              <w:widowControl/>
              <w:spacing w:before="0" w:after="160"/>
              <w:jc w:val="left"/>
              <w:rPr>
                <w:rFonts w:eastAsia="ＭＳ 明朝" w:cs=""/>
                <w:kern w:val="0"/>
                <w:szCs w:val="22"/>
                <w:lang w:val="en-US" w:eastAsia="en-US" w:bidi="ar-SA"/>
              </w:rPr>
            </w:pPr>
            <w:r>
              <w:rPr>
                <w:rFonts w:eastAsia="ＭＳ 明朝" w:cs=""/>
                <w:kern w:val="0"/>
                <w:sz w:val="20"/>
                <w:szCs w:val="22"/>
                <w:lang w:val="en-US" w:eastAsia="en-US" w:bidi="ar-SA"/>
              </w:rPr>
              <w:t>0.881</w:t>
            </w:r>
          </w:p>
        </w:tc>
      </w:tr>
    </w:tbl>
    <w:p>
      <w:pPr>
        <w:pStyle w:val="Normal"/>
        <w:spacing w:before="0" w:after="120"/>
        <w:rPr/>
      </w:pPr>
      <w:r>
        <w:rPr/>
      </w:r>
    </w:p>
    <w:p>
      <w:pPr>
        <w:pStyle w:val="Heading2"/>
        <w:rPr/>
      </w:pPr>
      <w:r>
        <w:rPr/>
        <w:t>Statistical comparison</w:t>
      </w:r>
    </w:p>
    <w:p>
      <w:pPr>
        <w:pStyle w:val="Normal"/>
        <w:spacing w:lineRule="auto" w:line="276"/>
        <w:jc w:val="both"/>
        <w:rPr/>
      </w:pPr>
      <w:r>
        <w:rPr/>
        <w:t>Paired Wilcoxon signed-rank test across the 5 matched seeds, on AUPRC: mean 0.880 (Transformer) vs. 0.825 (LightGBM), p = 0.0625. Not significant at α = 0.05.</w:t>
      </w:r>
    </w:p>
    <w:p>
      <w:pPr>
        <w:pStyle w:val="Heading2"/>
        <w:rPr/>
      </w:pPr>
      <w:r>
        <w:rPr/>
        <w:t>Caveats</w:t>
      </w:r>
    </w:p>
    <w:p>
      <w:pPr>
        <w:pStyle w:val="ListBullet"/>
        <w:numPr>
          <w:ilvl w:val="0"/>
          <w:numId w:val="1"/>
        </w:numPr>
        <w:rPr/>
      </w:pPr>
      <w:r>
        <w:rPr/>
        <w:t>LightGBM's variance is exactly 0.000 across seeds — not an error. With bagging_fraction/feature_fraction at their default 1.0, there is no row/column subsampling for random_state to actually randomize, so this configuration is fully deterministic regardless of seed.</w:t>
      </w:r>
    </w:p>
    <w:p>
      <w:pPr>
        <w:pStyle w:val="ListBullet"/>
        <w:numPr>
          <w:ilvl w:val="0"/>
          <w:numId w:val="1"/>
        </w:numPr>
        <w:spacing w:before="0" w:after="160"/>
        <w:contextualSpacing/>
        <w:rPr/>
      </w:pPr>
      <w:r>
        <w:rPr/>
        <w:t>The Transformer scores higher in 5 of 5 seeds, yet the test still cannot reach p &lt; 0.05. This is not a contradiction: at n = 5 paired samples, p = 0.0625 is the smallest two-sided Wilcoxon p-value achievable when every pair agrees in direction — n = 5 is structurally incapable of reaching 0.05 no matter how consistent the effect is. The honest conclusion is that the Transformer is directionally ahead in every seed tried, but this experiment cannot statistically confirm it as the better model; more seeds (and more machines) are required before that claim is supported rather than observed as a trend.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6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outlineLvl w:val="0"/>
    </w:pPr>
    <w:rPr>
      <w:rFonts w:ascii="Calibri" w:hAnsi="Calibri" w:eastAsia="ＭＳ ゴシック" w:cs="" w:asciiTheme="majorHAnsi" w:cstheme="majorBidi" w:eastAsiaTheme="majorEastAsia" w:hAnsiTheme="majorHAnsi"/>
      <w:b/>
      <w:bCs/>
      <w:color w:val="1F2A44"/>
      <w:sz w:val="30"/>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1F2A44"/>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left="720"/>
      <w:contextualSpacing/>
    </w:pPr>
    <w:rPr/>
  </w:style>
  <w:style w:type="paragraph" w:styleId="List3">
    <w:name w:val="List 3"/>
    <w:basedOn w:val="Normal"/>
    <w:uiPriority w:val="99"/>
    <w:unhideWhenUsed/>
    <w:qFormat/>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Application>LibreOffice/24.2.7.2$Linux_X86_64 LibreOffice_project/420$Build-2</Application>
  <AppVersion>15.0000</AppVersion>
  <Pages>2</Pages>
  <Words>309</Words>
  <Characters>1719</Characters>
  <CharactersWithSpaces>1979</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2026-09-02T10:06:00Z</cp:lastPrinted>
  <dcterms:modified xsi:type="dcterms:W3CDTF">2026-09-02T11:17:44Z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