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IEEETitle"/>
      </w:pPr>
      <w:r>
        <w:t>TrustNet-RCA: Confidence-Aware Early-Warning and Root-Cause Localization for 5G RAN Management</w:t>
      </w:r>
    </w:p>
    <w:p>
      <w:pPr>
        <w:pStyle w:val="IEEEAuthor"/>
      </w:pPr>
      <w:r>
        <w:t>Author Name(s) to be added</w:t>
      </w:r>
    </w:p>
    <w:p>
      <w:pPr>
        <w:pStyle w:val="IEEEAffil"/>
      </w:pPr>
      <w:r>
        <w:t>Affiliation to be added</w:t>
      </w:r>
    </w:p>
    <w:p>
      <w:pPr>
        <w:pStyle w:val="IEEEAbstract"/>
      </w:pPr>
      <w:r>
        <w:rPr>
          <w:b/>
          <w:i/>
        </w:rPr>
        <w:t>Abstract—</w:t>
      </w:r>
      <w:r>
        <w:rPr>
          <w:b/>
          <w:i w:val="0"/>
        </w:rPr>
        <w:t>Telecom operators increasingly deploy machine learning to predict service degradation, but an accurate prediction is not the same as a trustworthy one: an engineer also needs to know which KPI is responsible, whether that KPI is merely correlated with the fault or plausibly causes it, why the system believes so, and how confident to be. Prior work on root-cause analysis (RCA) for multivariate telemetry typically evaluates a single mechanism — feature attribution, causal discovery, or uncertainty quantification — in isolation; no study we identified jointly integrates and evaluates all three against ground-truth root-cause labels. We present TrustNet-RCA, a five-component framework chaining (1) a probabilistic early-warning predictor, (2) exact feature attribution, (3) a causal-precedence filter, (4) an evidence-grounded explainer, and (5) distribution-free uncertainty calibration, and evaluate it under one identical method on three public datasets: TelecomTS (5G testbed telemetry, 18 named PHY/MAC/network KPIs) as the primary 5G RAN benchmark, RCAEval (annotated microservice failures) for service-management rigor, and the Server Machine Dataset (SMD) strictly as an out-of-domain generalization check. On TelecomTS, 5 s-ahead early warning reaches 0.920 AUROC / 0.794 AUPRC against a 0.167 base rate, with gradient-boosted trees beating an attention model by 0.092 AUPRC at 1/43 the training cost — a negative result for attention that holds on all three legs. Accuracy and calibration pull in opposite directions (tree ECE 0.120 vs. deep-ensemble 0.082), which is the empirical case for the conformal layer: on SMD it attains its 90% target coverage (0.955 empirical) while routing 20% of windows to explicit human escalation. Out-of-sample attribution reaches 0.529 mean precision/recall@k against a ~0.174 chance level, and a Granger filter separates causally-consistent candidates from correlation-only ones. Our central finding is negative and concerns trust itself: a deletion-and-perturbation audit of the explanation layer shows that none of four confidence signals — predicted probability, attribution entropy, rank stability, faithfulness margin — separates correctly-localized incidents from mis-localized ones. The system can be maximally confident, produce a stable and deletion-faithful explanation, and still name the wrong KPI. We report per-anomaly-type results (AUPRC 0.101-0.823) and pre-onset runway limits rather than aggregate scores, and define the multi-seed, multi-system programme required to generalize these findings.</w:t>
      </w:r>
    </w:p>
    <w:p>
      <w:pPr>
        <w:pStyle w:val="IEEETerms"/>
        <w:sectPr w:rsidR="00FC693F" w:rsidRPr="0006063C" w:rsidSect="00034616">
          <w:type w:val="continuous"/>
          <w:pgSz w:h="15840" w:w="12240"/>
          <w:pgMar w:bottom="1440" w:footer="720" w:gutter="0" w:header="720" w:left="900" w:right="900" w:top="1080"/>
          <w:cols w:equalWidth="1" w:num="1"/>
          <w:docGrid w:linePitch="360"/>
        </w:sectPr>
      </w:pPr>
      <w:r>
        <w:rPr>
          <w:b/>
          <w:i/>
        </w:rPr>
        <w:t>Index Terms—</w:t>
      </w:r>
      <w:r>
        <w:rPr>
          <w:b w:val="0"/>
          <w:i/>
        </w:rPr>
        <w:t>trustworthy AI; root-cause analysis; AIOps; 5G RAN; conformal prediction; causal inference; explainable AI; explanation faithfulness; telecom network management; time-series anomaly prediction</w:t>
      </w:r>
    </w:p>
    <w:bookmarkStart w:id="20" w:name="i.-introduction"/>
    <w:p>
      <w:pPr>
        <w:pStyle w:val="Heading1"/>
      </w:pPr>
      <w:r>
        <w:t xml:space="preserve">I. Introduction</w:t>
      </w:r>
    </w:p>
    <w:p>
      <w:pPr>
        <w:pStyle w:val="FirstParagraph"/>
      </w:pPr>
      <w:r>
        <w:t xml:space="preserve">Modern telecom networks generate continuous telemetry — latency,</w:t>
      </w:r>
      <w:r>
        <w:t xml:space="preserve"> </w:t>
      </w:r>
      <w:r>
        <w:t xml:space="preserve">packet loss, throughput, jitter, signal strength, handover-failure rate,</w:t>
      </w:r>
      <w:r>
        <w:t xml:space="preserve"> </w:t>
      </w:r>
      <w:r>
        <w:t xml:space="preserve">CPU/memory utilization, alarms, and configuration-change events — and</w:t>
      </w:r>
      <w:r>
        <w:t xml:space="preserve"> </w:t>
      </w:r>
      <w:r>
        <w:t xml:space="preserve">operators increasingly rely on machine learning to detect degradation</w:t>
      </w:r>
      <w:r>
        <w:t xml:space="preserve"> </w:t>
      </w:r>
      <w:r>
        <w:t xml:space="preserve">before it escalates into a service disruption. The dominant research</w:t>
      </w:r>
      <w:r>
        <w:t xml:space="preserve"> </w:t>
      </w:r>
      <w:r>
        <w:t xml:space="preserve">emphasis, however, has been point predictive accuracy: does the model</w:t>
      </w:r>
      <w:r>
        <w:t xml:space="preserve"> </w:t>
      </w:r>
      <w:r>
        <w:t xml:space="preserve">flag the right minute? This framing is insufficient for an operational</w:t>
      </w:r>
      <w:r>
        <w:t xml:space="preserve"> </w:t>
      </w:r>
      <w:r>
        <w:t xml:space="preserve">setting in which an automated flag triggers costly human or automated</w:t>
      </w:r>
      <w:r>
        <w:t xml:space="preserve"> </w:t>
      </w:r>
      <w:r>
        <w:t xml:space="preserve">remediation. An engineer facing a flagged degradation needs four</w:t>
      </w:r>
      <w:r>
        <w:t xml:space="preserve"> </w:t>
      </w:r>
      <w:r>
        <w:t xml:space="preserve">additional answers that accuracy alone does not provide: which KPI is</w:t>
      </w:r>
      <w:r>
        <w:t xml:space="preserve"> </w:t>
      </w:r>
      <w:r>
        <w:t xml:space="preserve">implicated, whether that KPI's relationship to the fault is causal or</w:t>
      </w:r>
      <w:r>
        <w:t xml:space="preserve"> </w:t>
      </w:r>
      <w:r>
        <w:t xml:space="preserve">merely coincidental, why the system believes so in terms the engineer</w:t>
      </w:r>
      <w:r>
        <w:t xml:space="preserve"> </w:t>
      </w:r>
      <w:r>
        <w:t xml:space="preserve">can audit, and how much to trust the flag at all.</w:t>
      </w:r>
    </w:p>
    <w:p>
      <w:pPr>
        <w:pStyle w:val="BodyText"/>
      </w:pPr>
      <w:r>
        <w:t xml:space="preserve">Feature-attribution methods such as SHAP [1] answer the first of these</w:t>
      </w:r>
      <w:r>
        <w:t xml:space="preserve"> </w:t>
      </w:r>
      <w:r>
        <w:t xml:space="preserve">questions but are, by construction, correlational — a KPI can score</w:t>
      </w:r>
      <w:r>
        <w:t xml:space="preserve"> </w:t>
      </w:r>
      <w:r>
        <w:t xml:space="preserve">highly because it moves together with the fault without driving it.</w:t>
      </w:r>
      <w:r>
        <w:t xml:space="preserve"> </w:t>
      </w:r>
      <w:r>
        <w:t xml:space="preserve">Causal-discovery methods such as Granger causality [2] and</w:t>
      </w:r>
      <w:r>
        <w:t xml:space="preserve"> </w:t>
      </w:r>
      <w:r>
        <w:t xml:space="preserve">constraint-based causal graphs [3] address this but are rarely paired</w:t>
      </w:r>
      <w:r>
        <w:t xml:space="preserve"> </w:t>
      </w:r>
      <w:r>
        <w:t xml:space="preserve">with a calibrated confidence signal, so a causal claim is reported with</w:t>
      </w:r>
      <w:r>
        <w:t xml:space="preserve"> </w:t>
      </w:r>
      <w:r>
        <w:t xml:space="preserve">the same false certainty as a correlational one. Conformal prediction</w:t>
      </w:r>
      <w:r>
        <w:t xml:space="preserve"> </w:t>
      </w:r>
      <w:r>
        <w:t xml:space="preserve">[4] supplies exactly that calibrated confidence but is, to our</w:t>
      </w:r>
      <w:r>
        <w:t xml:space="preserve"> </w:t>
      </w:r>
      <w:r>
        <w:t xml:space="preserve">knowledge, not evaluated jointly with attribution and causal filtering.</w:t>
      </w:r>
      <w:r>
        <w:t xml:space="preserve"> </w:t>
      </w:r>
      <w:r>
        <w:t xml:space="preserve">Existing RCA benchmarks [5], [6] score attribution methods against</w:t>
      </w:r>
      <w:r>
        <w:t xml:space="preserve"> </w:t>
      </w:r>
      <w:r>
        <w:t xml:space="preserve">each other but do not ablate the value that a causal filter or a</w:t>
      </w:r>
      <w:r>
        <w:t xml:space="preserve"> </w:t>
      </w:r>
      <w:r>
        <w:t xml:space="preserve">calibration layer adds on top.</w:t>
      </w:r>
    </w:p>
    <w:p>
      <w:pPr>
        <w:pStyle w:val="BodyText"/>
      </w:pPr>
      <w:r>
        <w:t xml:space="preserve">This paper makes three contributions. First, we propose</w:t>
      </w:r>
      <w:r>
        <w:t xml:space="preserve"> </w:t>
      </w:r>
      <w:r>
        <w:rPr>
          <w:bCs/>
          <w:b/>
        </w:rPr>
        <w:t xml:space="preserve">TrustNet-RCA</w:t>
      </w:r>
      <w:r>
        <w:t xml:space="preserve">, a five-component framework — predict, attribute,</w:t>
      </w:r>
      <w:r>
        <w:t xml:space="preserve"> </w:t>
      </w:r>
      <w:r>
        <w:t xml:space="preserve">causally filter, calibrate, explain — that makes each of these questions</w:t>
      </w:r>
      <w:r>
        <w:t xml:space="preserve"> </w:t>
      </w:r>
      <w:r>
        <w:t xml:space="preserve">an explicit, separately-evaluable pipeline stage rather than an implicit</w:t>
      </w:r>
      <w:r>
        <w:t xml:space="preserve"> </w:t>
      </w:r>
      <w:r>
        <w:t xml:space="preserve">property of one end-to-end model. Second, we implement it with standard,</w:t>
      </w:r>
      <w:r>
        <w:t xml:space="preserve"> </w:t>
      </w:r>
      <w:r>
        <w:t xml:space="preserve">off-the-shelf methods at each stage and evaluate it under one identical</w:t>
      </w:r>
      <w:r>
        <w:t xml:space="preserve"> </w:t>
      </w:r>
      <w:r>
        <w:t xml:space="preserve">method on three public datasets with complementary jobs: TelecomTS [22],</w:t>
      </w:r>
      <w:r>
        <w:t xml:space="preserve"> </w:t>
      </w:r>
      <w:r>
        <w:t xml:space="preserve">a 5G testbed dataset with 18 named PHY/MAC/network-layer KPIs, as the</w:t>
      </w:r>
      <w:r>
        <w:t xml:space="preserve"> </w:t>
      </w:r>
      <w:r>
        <w:t xml:space="preserve">primary 5G RAN benchmark; RCAEval [5], with annotated microservice</w:t>
      </w:r>
      <w:r>
        <w:t xml:space="preserve"> </w:t>
      </w:r>
      <w:r>
        <w:t xml:space="preserve">failures, for service-management and RCA rigor; and the Server Machine</w:t>
      </w:r>
      <w:r>
        <w:t xml:space="preserve"> </w:t>
      </w:r>
      <w:r>
        <w:t xml:space="preserve">Dataset (SMD) [7] strictly as an out-of-domain generalization check.</w:t>
      </w:r>
      <w:r>
        <w:t xml:space="preserve"> </w:t>
      </w:r>
      <w:r>
        <w:t xml:space="preserve">Running one method across three domains is what allows the paper to</w:t>
      </w:r>
      <w:r>
        <w:t xml:space="preserve"> </w:t>
      </w:r>
      <w:r>
        <w:t xml:space="preserve">separate what is a property of the framework from what is a property of a</w:t>
      </w:r>
      <w:r>
        <w:t xml:space="preserve"> </w:t>
      </w:r>
      <w:r>
        <w:t xml:space="preserve">dataset. Third, we report what we found rather than what we hoped, and two</w:t>
      </w:r>
      <w:r>
        <w:t xml:space="preserve"> </w:t>
      </w:r>
      <w:r>
        <w:t xml:space="preserve">of the most useful results are negative: attention models lose to</w:t>
      </w:r>
      <w:r>
        <w:t xml:space="preserve"> </w:t>
      </w:r>
      <w:r>
        <w:t xml:space="preserve">gradient-boosted trees on every leg at 4-82x the training cost, and none of</w:t>
      </w:r>
      <w:r>
        <w:t xml:space="preserve"> </w:t>
      </w:r>
      <w:r>
        <w:t xml:space="preserve">the confidence or explanation-quality signals the framework produces</w:t>
      </w:r>
      <w:r>
        <w:t xml:space="preserve"> </w:t>
      </w:r>
      <w:r>
        <w:t xml:space="preserve">distinguishes a correct root-cause localization from an incorrect one. We</w:t>
      </w:r>
      <w:r>
        <w:t xml:space="preserve"> </w:t>
      </w:r>
      <w:r>
        <w:t xml:space="preserve">define the concrete experimental programme (Section IX) required to elevate</w:t>
      </w:r>
      <w:r>
        <w:t xml:space="preserve"> </w:t>
      </w:r>
      <w:r>
        <w:t xml:space="preserve">these findings to generalizable evidence.</w:t>
      </w:r>
    </w:p>
    <w:p>
      <w:pPr>
        <w:pStyle w:val="BodyText"/>
      </w:pPr>
      <w:r>
        <w:t xml:space="preserve">The remainder of this paper is organized as follows. Section II reviews</w:t>
      </w:r>
      <w:r>
        <w:t xml:space="preserve"> </w:t>
      </w:r>
      <w:r>
        <w:t xml:space="preserve">related work across classical ML, deep learning, transformer,</w:t>
      </w:r>
      <w:r>
        <w:t xml:space="preserve"> </w:t>
      </w:r>
      <w:r>
        <w:t xml:space="preserve">graph-neural-network, causal, and LLM-based approaches to RCA, and</w:t>
      </w:r>
      <w:r>
        <w:t xml:space="preserve"> </w:t>
      </w:r>
      <w:r>
        <w:t xml:space="preserve">situates the identified gap. Section III formalizes the prediction,</w:t>
      </w:r>
      <w:r>
        <w:t xml:space="preserve"> </w:t>
      </w:r>
      <w:r>
        <w:t xml:space="preserve">attribution, causal-filtering, and calibration problems. Section IV</w:t>
      </w:r>
      <w:r>
        <w:t xml:space="preserve"> </w:t>
      </w:r>
      <w:r>
        <w:t xml:space="preserve">describes the proposed framework and its five components. Section V details the three-dataset experimental setup. Section VI reports results for each component across all three legs. Section VII discusses the findings, Section VIII states</w:t>
      </w:r>
      <w:r>
        <w:t xml:space="preserve"> </w:t>
      </w:r>
      <w:r>
        <w:t xml:space="preserve">limitations and threats to validity, Section IX outlines practical</w:t>
      </w:r>
      <w:r>
        <w:t xml:space="preserve"> </w:t>
      </w:r>
      <w:r>
        <w:t xml:space="preserve">implications and future work, and Section X concludes.</w:t>
      </w:r>
    </w:p>
    <w:bookmarkEnd w:id="20"/>
    <w:bookmarkStart w:id="21" w:name="ii.-related-work"/>
    <w:p>
      <w:pPr>
        <w:pStyle w:val="Heading1"/>
      </w:pPr>
      <w:r>
        <w:t xml:space="preserve">II. Related Work</w:t>
      </w:r>
    </w:p>
    <w:p>
      <w:pPr>
        <w:pStyle w:val="FirstParagraph"/>
      </w:pPr>
      <w:r>
        <w:t xml:space="preserve">Classical machine learning. Tree ensembles (isolation forests, random</w:t>
      </w:r>
      <w:r>
        <w:t xml:space="preserve"> </w:t>
      </w:r>
      <w:r>
        <w:t xml:space="preserve">forests, gradient-boosted trees) remain a strong, auditable baseline for</w:t>
      </w:r>
      <w:r>
        <w:t xml:space="preserve"> </w:t>
      </w:r>
      <w:r>
        <w:t xml:space="preserve">KPI anomaly detection; a 2024 benchmark of ML methods on network anomaly</w:t>
      </w:r>
      <w:r>
        <w:t xml:space="preserve"> </w:t>
      </w:r>
      <w:r>
        <w:t xml:space="preserve">detection confirms they remain competitive with deep alternatives on</w:t>
      </w:r>
      <w:r>
        <w:t xml:space="preserve"> </w:t>
      </w:r>
      <w:r>
        <w:t xml:space="preserve">tabular telemetry [8].</w:t>
      </w:r>
    </w:p>
    <w:p>
      <w:pPr>
        <w:pStyle w:val="BodyText"/>
      </w:pPr>
      <w:r>
        <w:t xml:space="preserve">Deep learning and Transformers. Recurrent and variational architectures</w:t>
      </w:r>
      <w:r>
        <w:t xml:space="preserve"> </w:t>
      </w:r>
      <w:r>
        <w:t xml:space="preserve">dominate multivariate KPI anomaly detection: OmniAnomaly [7] models</w:t>
      </w:r>
      <w:r>
        <w:t xml:space="preserve"> </w:t>
      </w:r>
      <w:r>
        <w:t xml:space="preserve">KPI vectors with a stochastic RNN and is also the source of the SMD</w:t>
      </w:r>
      <w:r>
        <w:t xml:space="preserve"> </w:t>
      </w:r>
      <w:r>
        <w:t xml:space="preserve">dataset used in this study; LSTM-NDT [9] forecasts KPI values and</w:t>
      </w:r>
      <w:r>
        <w:t xml:space="preserve"> </w:t>
      </w:r>
      <w:r>
        <w:t xml:space="preserve">flags deviation with a non-parametric dynamic threshold. Self-attention</w:t>
      </w:r>
      <w:r>
        <w:t xml:space="preserve"> </w:t>
      </w:r>
      <w:r>
        <w:t xml:space="preserve">architectures improve on recurrence for long-range temporal dependence</w:t>
      </w:r>
      <w:r>
        <w:t xml:space="preserve"> </w:t>
      </w:r>
      <w:r>
        <w:t xml:space="preserve">[10]; TranAD [11] uses an adversarially trained transformer encoder</w:t>
      </w:r>
      <w:r>
        <w:t xml:space="preserve"> </w:t>
      </w:r>
      <w:r>
        <w:t xml:space="preserve">for multivariate anomaly detection. Closest to our domain, [12] fuses</w:t>
      </w:r>
      <w:r>
        <w:t xml:space="preserve"> </w:t>
      </w:r>
      <w:r>
        <w:t xml:space="preserve">a transformer temporal encoder with a graph neural network over 5G RAN</w:t>
      </w:r>
      <w:r>
        <w:t xml:space="preserve"> </w:t>
      </w:r>
      <w:r>
        <w:t xml:space="preserve">topology for anomaly root-causing — effectively Components 1 and 2 of</w:t>
      </w:r>
      <w:r>
        <w:t xml:space="preserve"> </w:t>
      </w:r>
      <w:r>
        <w:t xml:space="preserve">our framework, evaluated on real (non-public) RAN data but without a</w:t>
      </w:r>
      <w:r>
        <w:t xml:space="preserve"> </w:t>
      </w:r>
      <w:r>
        <w:t xml:space="preserve">causal-versus-correlational distinction or calibrated uncertainty.</w:t>
      </w:r>
    </w:p>
    <w:p>
      <w:pPr>
        <w:pStyle w:val="BodyText"/>
      </w:pPr>
      <w:r>
        <w:t xml:space="preserve">Graph neural networks. Once more than one KPI stream and a known</w:t>
      </w:r>
      <w:r>
        <w:t xml:space="preserve"> </w:t>
      </w:r>
      <w:r>
        <w:t xml:space="preserve">topology are available, root-cause evidence can propagate along</w:t>
      </w:r>
      <w:r>
        <w:t xml:space="preserve"> </w:t>
      </w:r>
      <w:r>
        <w:t xml:space="preserve">dependency edges instead of being scored per KPI in isolation. MicroRCA</w:t>
      </w:r>
      <w:r>
        <w:t xml:space="preserve"> </w:t>
      </w:r>
      <w:r>
        <w:t xml:space="preserve">[13] builds an attributed service graph and ranks root causes with</w:t>
      </w:r>
      <w:r>
        <w:t xml:space="preserve"> </w:t>
      </w:r>
      <w:r>
        <w:t xml:space="preserve">personalized PageRank; GDN [14] learns the dependency graph itself and</w:t>
      </w:r>
      <w:r>
        <w:t xml:space="preserve"> </w:t>
      </w:r>
      <w:r>
        <w:t xml:space="preserve">scores per-sensor deviation with attention.</w:t>
      </w:r>
    </w:p>
    <w:p>
      <w:pPr>
        <w:pStyle w:val="BodyText"/>
      </w:pPr>
      <w:r>
        <w:t xml:space="preserve">Causal reasoning. GNN and attribution scores remain correlational: they</w:t>
      </w:r>
      <w:r>
        <w:t xml:space="preserve"> </w:t>
      </w:r>
      <w:r>
        <w:t xml:space="preserve">indicate that a KPI co-moved with the outcome, not that changing it</w:t>
      </w:r>
      <w:r>
        <w:t xml:space="preserve"> </w:t>
      </w:r>
      <w:r>
        <w:t xml:space="preserve">would change the outcome. Constraint-based causal discovery (the PC/FCI</w:t>
      </w:r>
      <w:r>
        <w:t xml:space="preserve"> </w:t>
      </w:r>
      <w:r>
        <w:t xml:space="preserve">family [3]) and neural Granger causal discovery [15] provide tools</w:t>
      </w:r>
      <w:r>
        <w:t xml:space="preserve"> </w:t>
      </w:r>
      <w:r>
        <w:t xml:space="preserve">to test temporal precedence and conditional independence; a recent</w:t>
      </w:r>
      <w:r>
        <w:t xml:space="preserve"> </w:t>
      </w:r>
      <w:r>
        <w:t xml:space="preserve">comparative study [16] benchmarks PC, FCI, Granger, fGES, and LiNGAM</w:t>
      </w:r>
      <w:r>
        <w:t xml:space="preserve"> </w:t>
      </w:r>
      <w:r>
        <w:t xml:space="preserve">as causal-graph builders for RCA.</w:t>
      </w:r>
    </w:p>
    <w:p>
      <w:pPr>
        <w:pStyle w:val="BodyText"/>
      </w:pPr>
      <w:r>
        <w:t xml:space="preserve">RCA benchmarking. RCAEval [5] standardizes precision@k, MRR, and MAP@k</w:t>
      </w:r>
      <w:r>
        <w:t xml:space="preserve"> </w:t>
      </w:r>
      <w:r>
        <w:t xml:space="preserve">evaluation across 735 failure cases spanning eleven fault types in three</w:t>
      </w:r>
      <w:r>
        <w:t xml:space="preserve"> </w:t>
      </w:r>
      <w:r>
        <w:t xml:space="preserve">microservice systems; LEMMA-RCA [6] extends multi-domain, multi-modal</w:t>
      </w:r>
      <w:r>
        <w:t xml:space="preserve"> </w:t>
      </w:r>
      <w:r>
        <w:t xml:space="preserve">RCA evaluation to IT and operational-technology systems. Neither</w:t>
      </w:r>
      <w:r>
        <w:t xml:space="preserve"> </w:t>
      </w:r>
      <w:r>
        <w:t xml:space="preserve">benchmark ablates the joint contribution of causal filtering and</w:t>
      </w:r>
      <w:r>
        <w:t xml:space="preserve"> </w:t>
      </w:r>
      <w:r>
        <w:t xml:space="preserve">calibrated uncertainty on top of attribution — the gap this paper targets.</w:t>
      </w:r>
    </w:p>
    <w:p>
      <w:pPr>
        <w:pStyle w:val="BodyText"/>
      </w:pPr>
      <w:r>
        <w:t xml:space="preserve">LLM-based approaches. Recent AIOps systems use large language models</w:t>
      </w:r>
      <w:r>
        <w:t xml:space="preserve"> </w:t>
      </w:r>
      <w:r>
        <w:t xml:space="preserve">strictly as narrators over verified, tool-collected evidence rather than</w:t>
      </w:r>
      <w:r>
        <w:t xml:space="preserve"> </w:t>
      </w:r>
      <w:r>
        <w:t xml:space="preserve">as free-form diagnosers: RCACopilot-style systems [17] aggregate</w:t>
      </w:r>
      <w:r>
        <w:t xml:space="preserve"> </w:t>
      </w:r>
      <w:r>
        <w:t xml:space="preserve">multi-modal diagnostic evidence into incident narratives, and LLM-agent</w:t>
      </w:r>
      <w:r>
        <w:t xml:space="preserve"> </w:t>
      </w:r>
      <w:r>
        <w:t xml:space="preserve">RCA work [18] shows that grounding the LLM in retrieved telemetry is</w:t>
      </w:r>
      <w:r>
        <w:t xml:space="preserve"> </w:t>
      </w:r>
      <w:r>
        <w:t xml:space="preserve">what prevents hallucinated causes. We reuse this narrate-don't-diagnose</w:t>
      </w:r>
      <w:r>
        <w:t xml:space="preserve"> </w:t>
      </w:r>
      <w:r>
        <w:t xml:space="preserve">pattern for Component 4.</w:t>
      </w:r>
    </w:p>
    <w:p>
      <w:pPr>
        <w:pStyle w:val="BodyText"/>
      </w:pPr>
      <w:r>
        <w:t xml:space="preserve">Uncertainty quantification. Conformal prediction [4] gives</w:t>
      </w:r>
      <w:r>
        <w:t xml:space="preserve"> </w:t>
      </w:r>
      <w:r>
        <w:t xml:space="preserve">distribution-free, finite-sample coverage guarantees without assuming a</w:t>
      </w:r>
      <w:r>
        <w:t xml:space="preserve"> </w:t>
      </w:r>
      <w:r>
        <w:t xml:space="preserve">noise model for KPI residuals, and is increasingly positioned as a</w:t>
      </w:r>
      <w:r>
        <w:t xml:space="preserve"> </w:t>
      </w:r>
      <w:r>
        <w:t xml:space="preserve">prerequisite for trustworthy AI deployment [19], including in</w:t>
      </w:r>
      <w:r>
        <w:t xml:space="preserve"> </w:t>
      </w:r>
      <w:r>
        <w:t xml:space="preserve">5G-specific deep models [20]. It is used here as the calibration layer</w:t>
      </w:r>
      <w:r>
        <w:t xml:space="preserve"> </w:t>
      </w:r>
      <w:r>
        <w:t xml:space="preserve">for Component 5.</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1. Related-work comparison matrix.</w:t>
      </w:r>
    </w:p>
    <w:tbl>
      <w:tblPr>
        <w:tblStyle w:val="Table"/>
        <w:tblLook w:firstRow="1" w:lastRow="0" w:firstColumn="0" w:lastColumn="0" w:noHBand="0" w:noVBand="0" w:val="0020"/>
        <w:jc w:val="start"/>
        <w:tblLayout w:type="autofit"/>
        <w:tblW w:type="pct" w:w="5000"/>
      </w:tblPr>
      <w:tblGrid>
        <w:gridCol w:w="922"/>
        <w:gridCol w:w="1537"/>
        <w:gridCol w:w="1384"/>
        <w:gridCol w:w="1230"/>
        <w:gridCol w:w="1076"/>
        <w:gridCol w:w="1614"/>
      </w:tblGrid>
      <w:tr>
        <w:trPr>
          <w:tblHeader w:val="true"/>
        </w:trPr>
        <w:tc>
          <w:tcPr/>
          <w:p>
            <w:pPr>
              <w:pStyle w:val="Compact"/>
              <w:jc w:val="left"/>
            </w:pPr>
            <w:r>
              <w:rPr>
                <w:bCs/>
                <w:rFonts w:ascii="Times New Roman" w:hAnsi="Times New Roman"/>
                <w:b/>
                <w:sz w:val="16"/>
              </w:rPr>
              <w:t xml:space="preserve">Ref.</w:t>
            </w:r>
          </w:p>
        </w:tc>
        <w:tc>
          <w:tcPr/>
          <w:p>
            <w:pPr>
              <w:pStyle w:val="Compact"/>
              <w:jc w:val="left"/>
            </w:pPr>
            <w:r>
              <w:rPr>
                <w:bCs/>
                <w:rFonts w:ascii="Times New Roman" w:hAnsi="Times New Roman"/>
                <w:b/>
                <w:sz w:val="16"/>
              </w:rPr>
              <w:t xml:space="preserve">Problem</w:t>
            </w:r>
          </w:p>
        </w:tc>
        <w:tc>
          <w:tcPr/>
          <w:p>
            <w:pPr>
              <w:pStyle w:val="Compact"/>
              <w:jc w:val="left"/>
            </w:pPr>
            <w:r>
              <w:rPr>
                <w:bCs/>
                <w:rFonts w:ascii="Times New Roman" w:hAnsi="Times New Roman"/>
                <w:b/>
                <w:sz w:val="16"/>
              </w:rPr>
              <w:t xml:space="preserve">Method</w:t>
            </w:r>
          </w:p>
        </w:tc>
        <w:tc>
          <w:tcPr/>
          <w:p>
            <w:pPr>
              <w:pStyle w:val="Compact"/>
              <w:jc w:val="left"/>
            </w:pPr>
            <w:r>
              <w:rPr>
                <w:bCs/>
                <w:rFonts w:ascii="Times New Roman" w:hAnsi="Times New Roman"/>
                <w:b/>
                <w:sz w:val="16"/>
              </w:rPr>
              <w:t xml:space="preserve">Dataset</w:t>
            </w:r>
          </w:p>
        </w:tc>
        <w:tc>
          <w:tcPr/>
          <w:p>
            <w:pPr>
              <w:pStyle w:val="Compact"/>
              <w:jc w:val="left"/>
            </w:pPr>
            <w:r>
              <w:rPr>
                <w:bCs/>
                <w:rFonts w:ascii="Times New Roman" w:hAnsi="Times New Roman"/>
                <w:b/>
                <w:sz w:val="16"/>
              </w:rPr>
              <w:t xml:space="preserve">Metrics</w:t>
            </w:r>
          </w:p>
        </w:tc>
        <w:tc>
          <w:tcPr/>
          <w:p>
            <w:pPr>
              <w:pStyle w:val="Compact"/>
              <w:jc w:val="left"/>
            </w:pPr>
            <w:r>
              <w:rPr>
                <w:bCs/>
                <w:rFonts w:ascii="Times New Roman" w:hAnsi="Times New Roman"/>
                <w:b/>
                <w:sz w:val="16"/>
              </w:rPr>
              <w:t xml:space="preserve">Gap relevant to</w:t>
            </w:r>
            <w:r>
              <w:rPr>
                <w:bCs/>
                <w:rFonts w:ascii="Times New Roman" w:hAnsi="Times New Roman"/>
                <w:b/>
                <w:sz w:val="16"/>
              </w:rPr>
              <w:t xml:space="preserve"> </w:t>
            </w:r>
            <w:r>
              <w:rPr>
                <w:bCs/>
                <w:rFonts w:ascii="Times New Roman" w:hAnsi="Times New Roman"/>
                <w:b/>
                <w:sz w:val="16"/>
              </w:rPr>
              <w:t xml:space="preserve">this work</w:t>
            </w:r>
          </w:p>
        </w:tc>
      </w:tr>
      <w:tr>
        <w:tc>
          <w:tcPr/>
          <w:p>
            <w:pPr>
              <w:pStyle w:val="Compact"/>
              <w:jc w:val="left"/>
            </w:pPr>
            <w:r>
              <w:rPr>
                <w:rFonts w:ascii="Times New Roman" w:hAnsi="Times New Roman"/>
                <w:sz w:val="16"/>
              </w:rPr>
              <w:t xml:space="preserve">[7]</w:t>
            </w:r>
          </w:p>
        </w:tc>
        <w:tc>
          <w:tcPr/>
          <w:p>
            <w:pPr>
              <w:pStyle w:val="Compact"/>
              <w:jc w:val="left"/>
            </w:pPr>
            <w:r>
              <w:rPr>
                <w:rFonts w:ascii="Times New Roman" w:hAnsi="Times New Roman"/>
                <w:sz w:val="16"/>
              </w:rPr>
              <w:t xml:space="preserve">MTS anomaly</w:t>
            </w:r>
            <w:r>
              <w:rPr>
                <w:rFonts w:ascii="Times New Roman" w:hAnsi="Times New Roman"/>
                <w:sz w:val="16"/>
              </w:rPr>
              <w:t xml:space="preserve"> </w:t>
            </w:r>
            <w:r>
              <w:rPr>
                <w:rFonts w:ascii="Times New Roman" w:hAnsi="Times New Roman"/>
                <w:sz w:val="16"/>
              </w:rPr>
              <w:t xml:space="preserve">detection</w:t>
            </w:r>
          </w:p>
        </w:tc>
        <w:tc>
          <w:tcPr/>
          <w:p>
            <w:pPr>
              <w:pStyle w:val="Compact"/>
              <w:jc w:val="left"/>
            </w:pPr>
            <w:r>
              <w:rPr>
                <w:rFonts w:ascii="Times New Roman" w:hAnsi="Times New Roman"/>
                <w:sz w:val="16"/>
              </w:rPr>
              <w:t xml:space="preserve">Stochastic</w:t>
            </w:r>
            <w:r>
              <w:rPr>
                <w:rFonts w:ascii="Times New Roman" w:hAnsi="Times New Roman"/>
                <w:sz w:val="16"/>
              </w:rPr>
              <w:t xml:space="preserve"> </w:t>
            </w:r>
            <w:r>
              <w:rPr>
                <w:rFonts w:ascii="Times New Roman" w:hAnsi="Times New Roman"/>
                <w:sz w:val="16"/>
              </w:rPr>
              <w:t xml:space="preserve">RNN+VAE</w:t>
            </w:r>
          </w:p>
        </w:tc>
        <w:tc>
          <w:tcPr/>
          <w:p>
            <w:pPr>
              <w:pStyle w:val="Compact"/>
              <w:jc w:val="left"/>
            </w:pPr>
            <w:r>
              <w:rPr>
                <w:rFonts w:ascii="Times New Roman" w:hAnsi="Times New Roman"/>
                <w:sz w:val="16"/>
              </w:rPr>
              <w:t xml:space="preserve">SMD</w:t>
            </w:r>
            <w:r>
              <w:rPr>
                <w:rFonts w:ascii="Times New Roman" w:hAnsi="Times New Roman"/>
                <w:sz w:val="16"/>
              </w:rPr>
              <w:t xml:space="preserve"> </w:t>
            </w:r>
            <w:r>
              <w:rPr>
                <w:rFonts w:ascii="Times New Roman" w:hAnsi="Times New Roman"/>
                <w:sz w:val="16"/>
              </w:rPr>
              <w:t xml:space="preserve">(introduced)</w:t>
            </w:r>
          </w:p>
        </w:tc>
        <w:tc>
          <w:tcPr/>
          <w:p>
            <w:pPr>
              <w:pStyle w:val="Compact"/>
              <w:jc w:val="left"/>
            </w:pPr>
            <w:r>
              <w:rPr>
                <w:rFonts w:ascii="Times New Roman" w:hAnsi="Times New Roman"/>
                <w:sz w:val="16"/>
              </w:rPr>
              <w:t xml:space="preserve">F1</w:t>
            </w:r>
          </w:p>
        </w:tc>
        <w:tc>
          <w:tcPr/>
          <w:p>
            <w:pPr>
              <w:pStyle w:val="Compact"/>
              <w:jc w:val="left"/>
            </w:pPr>
            <w:r>
              <w:rPr>
                <w:rFonts w:ascii="Times New Roman" w:hAnsi="Times New Roman"/>
                <w:sz w:val="16"/>
              </w:rPr>
              <w:t xml:space="preserve">No RCA, no causal</w:t>
            </w:r>
            <w:r>
              <w:rPr>
                <w:rFonts w:ascii="Times New Roman" w:hAnsi="Times New Roman"/>
                <w:sz w:val="16"/>
              </w:rPr>
              <w:t xml:space="preserve"> </w:t>
            </w:r>
            <w:r>
              <w:rPr>
                <w:rFonts w:ascii="Times New Roman" w:hAnsi="Times New Roman"/>
                <w:sz w:val="16"/>
              </w:rPr>
              <w:t xml:space="preserve">filter, no</w:t>
            </w:r>
            <w:r>
              <w:rPr>
                <w:rFonts w:ascii="Times New Roman" w:hAnsi="Times New Roman"/>
                <w:sz w:val="16"/>
              </w:rPr>
              <w:t xml:space="preserve"> </w:t>
            </w:r>
            <w:r>
              <w:rPr>
                <w:rFonts w:ascii="Times New Roman" w:hAnsi="Times New Roman"/>
                <w:sz w:val="16"/>
              </w:rPr>
              <w:t xml:space="preserve">calibration</w:t>
            </w:r>
          </w:p>
        </w:tc>
      </w:tr>
      <w:tr>
        <w:tc>
          <w:tcPr/>
          <w:p>
            <w:pPr>
              <w:pStyle w:val="Compact"/>
              <w:jc w:val="left"/>
            </w:pPr>
            <w:r>
              <w:rPr>
                <w:rFonts w:ascii="Times New Roman" w:hAnsi="Times New Roman"/>
                <w:sz w:val="16"/>
              </w:rPr>
              <w:t xml:space="preserve">[5]</w:t>
            </w:r>
          </w:p>
        </w:tc>
        <w:tc>
          <w:tcPr/>
          <w:p>
            <w:pPr>
              <w:pStyle w:val="Compact"/>
              <w:jc w:val="left"/>
            </w:pPr>
            <w:r>
              <w:rPr>
                <w:rFonts w:ascii="Times New Roman" w:hAnsi="Times New Roman"/>
                <w:sz w:val="16"/>
              </w:rPr>
              <w:t xml:space="preserve">RCA benchmarking</w:t>
            </w:r>
          </w:p>
        </w:tc>
        <w:tc>
          <w:tcPr/>
          <w:p>
            <w:pPr>
              <w:pStyle w:val="Compact"/>
              <w:jc w:val="left"/>
            </w:pPr>
            <w:r>
              <w:rPr>
                <w:rFonts w:ascii="Times New Roman" w:hAnsi="Times New Roman"/>
                <w:sz w:val="16"/>
              </w:rPr>
              <w:t xml:space="preserve">Multi-method eval</w:t>
            </w:r>
            <w:r>
              <w:rPr>
                <w:rFonts w:ascii="Times New Roman" w:hAnsi="Times New Roman"/>
                <w:sz w:val="16"/>
              </w:rPr>
              <w:t xml:space="preserve"> </w:t>
            </w:r>
            <w:r>
              <w:rPr>
                <w:rFonts w:ascii="Times New Roman" w:hAnsi="Times New Roman"/>
                <w:sz w:val="16"/>
              </w:rPr>
              <w:t xml:space="preserve">harness</w:t>
            </w:r>
          </w:p>
        </w:tc>
        <w:tc>
          <w:tcPr/>
          <w:p>
            <w:pPr>
              <w:pStyle w:val="Compact"/>
              <w:jc w:val="left"/>
            </w:pPr>
            <w:r>
              <w:rPr>
                <w:rFonts w:ascii="Times New Roman" w:hAnsi="Times New Roman"/>
                <w:sz w:val="16"/>
              </w:rPr>
              <w:t xml:space="preserve">3 microservice</w:t>
            </w:r>
            <w:r>
              <w:rPr>
                <w:rFonts w:ascii="Times New Roman" w:hAnsi="Times New Roman"/>
                <w:sz w:val="16"/>
              </w:rPr>
              <w:t xml:space="preserve"> </w:t>
            </w:r>
            <w:r>
              <w:rPr>
                <w:rFonts w:ascii="Times New Roman" w:hAnsi="Times New Roman"/>
                <w:sz w:val="16"/>
              </w:rPr>
              <w:t xml:space="preserve">systems</w:t>
            </w:r>
          </w:p>
        </w:tc>
        <w:tc>
          <w:tcPr/>
          <w:p>
            <w:pPr>
              <w:pStyle w:val="Compact"/>
              <w:jc w:val="left"/>
            </w:pPr>
            <w:r>
              <w:rPr>
                <w:rFonts w:ascii="Times New Roman" w:hAnsi="Times New Roman"/>
                <w:sz w:val="16"/>
              </w:rPr>
              <w:t xml:space="preserve">PR@K, MRR,</w:t>
            </w:r>
            <w:r>
              <w:rPr>
                <w:rFonts w:ascii="Times New Roman" w:hAnsi="Times New Roman"/>
                <w:sz w:val="16"/>
              </w:rPr>
              <w:t xml:space="preserve"> </w:t>
            </w:r>
            <w:r>
              <w:rPr>
                <w:rFonts w:ascii="Times New Roman" w:hAnsi="Times New Roman"/>
                <w:sz w:val="16"/>
              </w:rPr>
              <w:t xml:space="preserve">MAP@K</w:t>
            </w:r>
          </w:p>
        </w:tc>
        <w:tc>
          <w:tcPr/>
          <w:p>
            <w:pPr>
              <w:pStyle w:val="Compact"/>
              <w:jc w:val="left"/>
            </w:pPr>
            <w:r>
              <w:rPr>
                <w:rFonts w:ascii="Times New Roman" w:hAnsi="Times New Roman"/>
                <w:sz w:val="16"/>
              </w:rPr>
              <w:t xml:space="preserve">No causal/conformal</w:t>
            </w:r>
            <w:r>
              <w:rPr>
                <w:rFonts w:ascii="Times New Roman" w:hAnsi="Times New Roman"/>
                <w:sz w:val="16"/>
              </w:rPr>
              <w:t xml:space="preserve"> </w:t>
            </w:r>
            <w:r>
              <w:rPr>
                <w:rFonts w:ascii="Times New Roman" w:hAnsi="Times New Roman"/>
                <w:sz w:val="16"/>
              </w:rPr>
              <w:t xml:space="preserve">ablation; no telecom</w:t>
            </w:r>
            <w:r>
              <w:rPr>
                <w:rFonts w:ascii="Times New Roman" w:hAnsi="Times New Roman"/>
                <w:sz w:val="16"/>
              </w:rPr>
              <w:t xml:space="preserve"> </w:t>
            </w:r>
            <w:r>
              <w:rPr>
                <w:rFonts w:ascii="Times New Roman" w:hAnsi="Times New Roman"/>
                <w:sz w:val="16"/>
              </w:rPr>
              <w:t xml:space="preserve">domain</w:t>
            </w:r>
          </w:p>
        </w:tc>
      </w:tr>
      <w:tr>
        <w:tc>
          <w:tcPr/>
          <w:p>
            <w:pPr>
              <w:pStyle w:val="Compact"/>
              <w:jc w:val="left"/>
            </w:pPr>
            <w:r>
              <w:rPr>
                <w:rFonts w:ascii="Times New Roman" w:hAnsi="Times New Roman"/>
                <w:sz w:val="16"/>
              </w:rPr>
              <w:t xml:space="preserve">[6]</w:t>
            </w:r>
          </w:p>
        </w:tc>
        <w:tc>
          <w:tcPr/>
          <w:p>
            <w:pPr>
              <w:pStyle w:val="Compact"/>
              <w:jc w:val="left"/>
            </w:pPr>
            <w:r>
              <w:rPr>
                <w:rFonts w:ascii="Times New Roman" w:hAnsi="Times New Roman"/>
                <w:sz w:val="16"/>
              </w:rPr>
              <w:t xml:space="preserve">Multi-domain RCA</w:t>
            </w:r>
            <w:r>
              <w:rPr>
                <w:rFonts w:ascii="Times New Roman" w:hAnsi="Times New Roman"/>
                <w:sz w:val="16"/>
              </w:rPr>
              <w:t xml:space="preserve"> </w:t>
            </w:r>
            <w:r>
              <w:rPr>
                <w:rFonts w:ascii="Times New Roman" w:hAnsi="Times New Roman"/>
                <w:sz w:val="16"/>
              </w:rPr>
              <w:t xml:space="preserve">dataset</w:t>
            </w:r>
          </w:p>
        </w:tc>
        <w:tc>
          <w:tcPr/>
          <w:p>
            <w:pPr>
              <w:pStyle w:val="Compact"/>
              <w:jc w:val="left"/>
            </w:pPr>
            <w:r>
              <w:rPr>
                <w:rFonts w:ascii="Times New Roman" w:hAnsi="Times New Roman"/>
                <w:sz w:val="16"/>
              </w:rPr>
              <w:t xml:space="preserve">Multi-modal</w:t>
            </w:r>
          </w:p>
        </w:tc>
        <w:tc>
          <w:tcPr/>
          <w:p>
            <w:pPr>
              <w:pStyle w:val="Compact"/>
              <w:jc w:val="left"/>
            </w:pPr>
            <w:r>
              <w:rPr>
                <w:rFonts w:ascii="Times New Roman" w:hAnsi="Times New Roman"/>
                <w:sz w:val="16"/>
              </w:rPr>
              <w:t xml:space="preserve">IT + OT systems</w:t>
            </w:r>
          </w:p>
        </w:tc>
        <w:tc>
          <w:tcPr/>
          <w:p>
            <w:pPr>
              <w:pStyle w:val="Compact"/>
              <w:jc w:val="left"/>
            </w:pPr>
            <w:r>
              <w:rPr>
                <w:rFonts w:ascii="Times New Roman" w:hAnsi="Times New Roman"/>
                <w:sz w:val="16"/>
              </w:rPr>
              <w:t xml:space="preserve">-</w:t>
            </w:r>
          </w:p>
        </w:tc>
        <w:tc>
          <w:tcPr/>
          <w:p>
            <w:pPr>
              <w:pStyle w:val="Compact"/>
              <w:jc w:val="left"/>
            </w:pPr>
            <w:r>
              <w:rPr>
                <w:rFonts w:ascii="Times New Roman" w:hAnsi="Times New Roman"/>
                <w:sz w:val="16"/>
              </w:rPr>
              <w:t xml:space="preserve">No telecom RAN; no</w:t>
            </w:r>
            <w:r>
              <w:rPr>
                <w:rFonts w:ascii="Times New Roman" w:hAnsi="Times New Roman"/>
                <w:sz w:val="16"/>
              </w:rPr>
              <w:t xml:space="preserve"> </w:t>
            </w:r>
            <w:r>
              <w:rPr>
                <w:rFonts w:ascii="Times New Roman" w:hAnsi="Times New Roman"/>
                <w:sz w:val="16"/>
              </w:rPr>
              <w:t xml:space="preserve">causal+calibration</w:t>
            </w:r>
            <w:r>
              <w:rPr>
                <w:rFonts w:ascii="Times New Roman" w:hAnsi="Times New Roman"/>
                <w:sz w:val="16"/>
              </w:rPr>
              <w:t xml:space="preserve"> </w:t>
            </w:r>
            <w:r>
              <w:rPr>
                <w:rFonts w:ascii="Times New Roman" w:hAnsi="Times New Roman"/>
                <w:sz w:val="16"/>
              </w:rPr>
              <w:t xml:space="preserve">study</w:t>
            </w:r>
          </w:p>
        </w:tc>
      </w:tr>
      <w:tr>
        <w:tc>
          <w:tcPr/>
          <w:p>
            <w:pPr>
              <w:pStyle w:val="Compact"/>
              <w:jc w:val="left"/>
            </w:pPr>
            <w:r>
              <w:rPr>
                <w:rFonts w:ascii="Times New Roman" w:hAnsi="Times New Roman"/>
                <w:sz w:val="16"/>
              </w:rPr>
              <w:t xml:space="preserve">[15]</w:t>
            </w:r>
          </w:p>
        </w:tc>
        <w:tc>
          <w:tcPr/>
          <w:p>
            <w:pPr>
              <w:pStyle w:val="Compact"/>
              <w:jc w:val="left"/>
            </w:pPr>
            <w:r>
              <w:rPr>
                <w:rFonts w:ascii="Times New Roman" w:hAnsi="Times New Roman"/>
                <w:sz w:val="16"/>
              </w:rPr>
              <w:t xml:space="preserve">Causal-graph RCA</w:t>
            </w:r>
          </w:p>
        </w:tc>
        <w:tc>
          <w:tcPr/>
          <w:p>
            <w:pPr>
              <w:pStyle w:val="Compact"/>
              <w:jc w:val="left"/>
            </w:pPr>
            <w:r>
              <w:rPr>
                <w:rFonts w:ascii="Times New Roman" w:hAnsi="Times New Roman"/>
                <w:sz w:val="16"/>
              </w:rPr>
              <w:t xml:space="preserve">Neural Granger</w:t>
            </w:r>
            <w:r>
              <w:rPr>
                <w:rFonts w:ascii="Times New Roman" w:hAnsi="Times New Roman"/>
                <w:sz w:val="16"/>
              </w:rPr>
              <w:t xml:space="preserve"> </w:t>
            </w:r>
            <w:r>
              <w:rPr>
                <w:rFonts w:ascii="Times New Roman" w:hAnsi="Times New Roman"/>
                <w:sz w:val="16"/>
              </w:rPr>
              <w:t xml:space="preserve">discovery</w:t>
            </w:r>
          </w:p>
        </w:tc>
        <w:tc>
          <w:tcPr/>
          <w:p>
            <w:pPr>
              <w:pStyle w:val="Compact"/>
              <w:jc w:val="left"/>
            </w:pPr>
            <w:r>
              <w:rPr>
                <w:rFonts w:ascii="Times New Roman" w:hAnsi="Times New Roman"/>
                <w:sz w:val="16"/>
              </w:rPr>
              <w:t xml:space="preserve">Microservices</w:t>
            </w:r>
          </w:p>
        </w:tc>
        <w:tc>
          <w:tcPr/>
          <w:p>
            <w:pPr>
              <w:pStyle w:val="Compact"/>
              <w:jc w:val="left"/>
            </w:pPr>
            <w:r>
              <w:rPr>
                <w:rFonts w:ascii="Times New Roman" w:hAnsi="Times New Roman"/>
                <w:sz w:val="16"/>
              </w:rPr>
              <w:t xml:space="preserve">PR@K</w:t>
            </w:r>
          </w:p>
        </w:tc>
        <w:tc>
          <w:tcPr/>
          <w:p>
            <w:pPr>
              <w:pStyle w:val="Compact"/>
              <w:jc w:val="left"/>
            </w:pPr>
            <w:r>
              <w:rPr>
                <w:rFonts w:ascii="Times New Roman" w:hAnsi="Times New Roman"/>
                <w:sz w:val="16"/>
              </w:rPr>
              <w:t xml:space="preserve">No calibrated</w:t>
            </w:r>
            <w:r>
              <w:rPr>
                <w:rFonts w:ascii="Times New Roman" w:hAnsi="Times New Roman"/>
                <w:sz w:val="16"/>
              </w:rPr>
              <w:t xml:space="preserve"> </w:t>
            </w:r>
            <w:r>
              <w:rPr>
                <w:rFonts w:ascii="Times New Roman" w:hAnsi="Times New Roman"/>
                <w:sz w:val="16"/>
              </w:rPr>
              <w:t xml:space="preserve">confidence layer</w:t>
            </w:r>
          </w:p>
        </w:tc>
      </w:tr>
      <w:tr>
        <w:tc>
          <w:tcPr/>
          <w:p>
            <w:pPr>
              <w:pStyle w:val="Compact"/>
              <w:jc w:val="left"/>
            </w:pPr>
            <w:r>
              <w:rPr>
                <w:rFonts w:ascii="Times New Roman" w:hAnsi="Times New Roman"/>
                <w:sz w:val="16"/>
              </w:rPr>
              <w:t xml:space="preserve">[12]</w:t>
            </w:r>
          </w:p>
        </w:tc>
        <w:tc>
          <w:tcPr/>
          <w:p>
            <w:pPr>
              <w:pStyle w:val="Compact"/>
              <w:jc w:val="left"/>
            </w:pPr>
            <w:r>
              <w:rPr>
                <w:rFonts w:ascii="Times New Roman" w:hAnsi="Times New Roman"/>
                <w:sz w:val="16"/>
              </w:rPr>
              <w:t xml:space="preserve">RAN anomaly RCA</w:t>
            </w:r>
          </w:p>
        </w:tc>
        <w:tc>
          <w:tcPr/>
          <w:p>
            <w:pPr>
              <w:pStyle w:val="Compact"/>
              <w:jc w:val="left"/>
            </w:pPr>
            <w:r>
              <w:rPr>
                <w:rFonts w:ascii="Times New Roman" w:hAnsi="Times New Roman"/>
                <w:sz w:val="16"/>
              </w:rPr>
              <w:t xml:space="preserve">GNN + Transformer</w:t>
            </w:r>
          </w:p>
        </w:tc>
        <w:tc>
          <w:tcPr/>
          <w:p>
            <w:pPr>
              <w:pStyle w:val="Compact"/>
              <w:jc w:val="left"/>
            </w:pPr>
            <w:r>
              <w:rPr>
                <w:rFonts w:ascii="Times New Roman" w:hAnsi="Times New Roman"/>
                <w:sz w:val="16"/>
              </w:rPr>
              <w:t xml:space="preserve">Real 5G RAN</w:t>
            </w:r>
            <w:r>
              <w:rPr>
                <w:rFonts w:ascii="Times New Roman" w:hAnsi="Times New Roman"/>
                <w:sz w:val="16"/>
              </w:rPr>
              <w:t xml:space="preserve"> </w:t>
            </w:r>
            <w:r>
              <w:rPr>
                <w:rFonts w:ascii="Times New Roman" w:hAnsi="Times New Roman"/>
                <w:sz w:val="16"/>
              </w:rPr>
              <w:t xml:space="preserve">(private)</w:t>
            </w:r>
          </w:p>
        </w:tc>
        <w:tc>
          <w:tcPr/>
          <w:p>
            <w:pPr>
              <w:pStyle w:val="Compact"/>
              <w:jc w:val="left"/>
            </w:pPr>
            <w:r>
              <w:rPr>
                <w:rFonts w:ascii="Times New Roman" w:hAnsi="Times New Roman"/>
                <w:sz w:val="16"/>
              </w:rPr>
              <w:t xml:space="preserve">-</w:t>
            </w:r>
          </w:p>
        </w:tc>
        <w:tc>
          <w:tcPr/>
          <w:p>
            <w:pPr>
              <w:pStyle w:val="Compact"/>
              <w:jc w:val="left"/>
            </w:pPr>
            <w:r>
              <w:rPr>
                <w:rFonts w:ascii="Times New Roman" w:hAnsi="Times New Roman"/>
                <w:sz w:val="16"/>
              </w:rPr>
              <w:t xml:space="preserve">No</w:t>
            </w:r>
            <w:r>
              <w:rPr>
                <w:rFonts w:ascii="Times New Roman" w:hAnsi="Times New Roman"/>
                <w:sz w:val="16"/>
              </w:rPr>
              <w:t xml:space="preserve"> </w:t>
            </w:r>
            <w:r>
              <w:rPr>
                <w:rFonts w:ascii="Times New Roman" w:hAnsi="Times New Roman"/>
                <w:sz w:val="16"/>
              </w:rPr>
              <w:t xml:space="preserve">causal/correlation</w:t>
            </w:r>
            <w:r>
              <w:rPr>
                <w:rFonts w:ascii="Times New Roman" w:hAnsi="Times New Roman"/>
                <w:sz w:val="16"/>
              </w:rPr>
              <w:t xml:space="preserve"> </w:t>
            </w:r>
            <w:r>
              <w:rPr>
                <w:rFonts w:ascii="Times New Roman" w:hAnsi="Times New Roman"/>
                <w:sz w:val="16"/>
              </w:rPr>
              <w:t xml:space="preserve">split; no</w:t>
            </w:r>
            <w:r>
              <w:rPr>
                <w:rFonts w:ascii="Times New Roman" w:hAnsi="Times New Roman"/>
                <w:sz w:val="16"/>
              </w:rPr>
              <w:t xml:space="preserve"> </w:t>
            </w:r>
            <w:r>
              <w:rPr>
                <w:rFonts w:ascii="Times New Roman" w:hAnsi="Times New Roman"/>
                <w:sz w:val="16"/>
              </w:rPr>
              <w:t xml:space="preserve">calibration</w:t>
            </w:r>
          </w:p>
        </w:tc>
      </w:tr>
      <w:tr>
        <w:tc>
          <w:tcPr/>
          <w:p>
            <w:pPr>
              <w:pStyle w:val="Compact"/>
              <w:jc w:val="left"/>
            </w:pPr>
            <w:r>
              <w:rPr>
                <w:rFonts w:ascii="Times New Roman" w:hAnsi="Times New Roman"/>
                <w:sz w:val="16"/>
              </w:rPr>
              <w:t xml:space="preserve">[4]</w:t>
            </w:r>
          </w:p>
        </w:tc>
        <w:tc>
          <w:tcPr/>
          <w:p>
            <w:pPr>
              <w:pStyle w:val="Compact"/>
              <w:jc w:val="left"/>
            </w:pPr>
            <w:r>
              <w:rPr>
                <w:rFonts w:ascii="Times New Roman" w:hAnsi="Times New Roman"/>
                <w:sz w:val="16"/>
              </w:rPr>
              <w:t xml:space="preserve">Distribution-free</w:t>
            </w:r>
            <w:r>
              <w:rPr>
                <w:rFonts w:ascii="Times New Roman" w:hAnsi="Times New Roman"/>
                <w:sz w:val="16"/>
              </w:rPr>
              <w:t xml:space="preserve"> </w:t>
            </w:r>
            <w:r>
              <w:rPr>
                <w:rFonts w:ascii="Times New Roman" w:hAnsi="Times New Roman"/>
                <w:sz w:val="16"/>
              </w:rPr>
              <w:t xml:space="preserve">UQ</w:t>
            </w:r>
          </w:p>
        </w:tc>
        <w:tc>
          <w:tcPr/>
          <w:p>
            <w:pPr>
              <w:pStyle w:val="Compact"/>
              <w:jc w:val="left"/>
            </w:pPr>
            <w:r>
              <w:rPr>
                <w:rFonts w:ascii="Times New Roman" w:hAnsi="Times New Roman"/>
                <w:sz w:val="16"/>
              </w:rPr>
              <w:t xml:space="preserve">Split-conformal</w:t>
            </w:r>
          </w:p>
        </w:tc>
        <w:tc>
          <w:tcPr/>
          <w:p>
            <w:pPr>
              <w:pStyle w:val="Compact"/>
              <w:jc w:val="left"/>
            </w:pPr>
            <w:r>
              <w:rPr>
                <w:rFonts w:ascii="Times New Roman" w:hAnsi="Times New Roman"/>
                <w:sz w:val="16"/>
              </w:rPr>
              <w:t xml:space="preserve">General ML</w:t>
            </w:r>
          </w:p>
        </w:tc>
        <w:tc>
          <w:tcPr/>
          <w:p>
            <w:pPr>
              <w:pStyle w:val="Compact"/>
              <w:jc w:val="left"/>
            </w:pPr>
            <w:r>
              <w:rPr>
                <w:rFonts w:ascii="Times New Roman" w:hAnsi="Times New Roman"/>
                <w:sz w:val="16"/>
              </w:rPr>
              <w:t xml:space="preserve">Coverage</w:t>
            </w:r>
          </w:p>
        </w:tc>
        <w:tc>
          <w:tcPr/>
          <w:p>
            <w:pPr>
              <w:pStyle w:val="Compact"/>
              <w:jc w:val="left"/>
            </w:pPr>
            <w:r>
              <w:rPr>
                <w:rFonts w:ascii="Times New Roman" w:hAnsi="Times New Roman"/>
                <w:sz w:val="16"/>
              </w:rPr>
              <w:t xml:space="preserve">Not applied to RCA</w:t>
            </w:r>
            <w:r>
              <w:rPr>
                <w:rFonts w:ascii="Times New Roman" w:hAnsi="Times New Roman"/>
                <w:sz w:val="16"/>
              </w:rPr>
              <w:t xml:space="preserve"> </w:t>
            </w:r>
            <w:r>
              <w:rPr>
                <w:rFonts w:ascii="Times New Roman" w:hAnsi="Times New Roman"/>
                <w:sz w:val="16"/>
              </w:rPr>
              <w:t xml:space="preserve">specifically</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bookmarkEnd w:id="21"/>
    <w:bookmarkStart w:id="26" w:name="iii.-problem-formulation"/>
    <w:p>
      <w:pPr>
        <w:pStyle w:val="Heading1"/>
      </w:pPr>
      <w:r>
        <w:t xml:space="preserve">III. Problem Formulation</w:t>
      </w:r>
    </w:p>
    <w:p>
      <w:pPr>
        <w:pStyle w:val="FirstParagraph"/>
      </w:pPr>
      <w:r>
        <w:t xml:space="preserve">Let</w:t>
      </w:r>
      <w:r>
        <w:t xml:space="preserve"> </w:t>
      </w:r>
      <m:oMath>
        <m:sSub>
          <m:e>
            <m:r>
              <m:rPr>
                <m:sty m:val="b"/>
              </m:rPr>
              <m:t>x</m:t>
            </m:r>
          </m:e>
          <m:sub>
            <m:r>
              <m:t>t</m:t>
            </m:r>
          </m:sub>
        </m:sSub>
        <m:r>
          <m:rPr>
            <m:sty m:val="p"/>
          </m:rPr>
          <m:t>∈</m:t>
        </m:r>
        <m:sSup>
          <m:e>
            <m:r>
              <m:rPr>
                <m:sty m:val="p"/>
                <m:scr m:val="double-struck"/>
              </m:rPr>
              <m:t>R</m:t>
            </m:r>
          </m:e>
          <m:sup>
            <m:r>
              <m:t>d</m:t>
            </m:r>
          </m:sup>
        </m:sSup>
      </m:oMath>
      <w:r>
        <w:t xml:space="preserve"> </w:t>
      </w:r>
      <w:r>
        <w:t xml:space="preserve">denote the KPI vector observed at time</w:t>
      </w:r>
      <w:r>
        <w:t xml:space="preserve"> </w:t>
      </w:r>
      <w:r>
        <w:t xml:space="preserve">step</w:t>
      </w:r>
      <w:r>
        <w:t xml:space="preserve"> </w:t>
      </w:r>
      <m:oMath>
        <m:r>
          <m:t>t</m:t>
        </m:r>
      </m:oMath>
      <w:r>
        <w:t xml:space="preserve">, with</w:t>
      </w:r>
      <w:r>
        <w:t xml:space="preserve"> </w:t>
      </w:r>
      <m:oMath>
        <m:r>
          <m:t>d</m:t>
        </m:r>
        <m:r>
          <m:rPr>
            <m:sty m:val="p"/>
          </m:rPr>
          <m:t>=</m:t>
        </m:r>
        <m:r>
          <m:t>18</m:t>
        </m:r>
      </m:oMath>
      <w:r>
        <w:t xml:space="preserve"> </w:t>
      </w:r>
      <w:r>
        <w:t xml:space="preserve">for TelecomTS,</w:t>
      </w:r>
      <w:r>
        <w:t xml:space="preserve"> </w:t>
      </w:r>
      <m:oMath>
        <m:r>
          <m:t>d</m:t>
        </m:r>
        <m:r>
          <m:rPr>
            <m:sty m:val="p"/>
          </m:rPr>
          <m:t>=</m:t>
        </m:r>
        <m:r>
          <m:t>24</m:t>
        </m:r>
      </m:oMath>
      <w:r>
        <w:t xml:space="preserve"> </w:t>
      </w:r>
      <w:r>
        <w:t xml:space="preserve">for RCAEval, and</w:t>
      </w:r>
      <w:r>
        <w:t xml:space="preserve"> </w:t>
      </w:r>
      <m:oMath>
        <m:r>
          <m:t>d</m:t>
        </m:r>
        <m:r>
          <m:rPr>
            <m:sty m:val="p"/>
          </m:rPr>
          <m:t>=</m:t>
        </m:r>
        <m:r>
          <m:t>38</m:t>
        </m:r>
      </m:oMath>
      <w:r>
        <w:t xml:space="preserve"> </w:t>
      </w:r>
      <w:r>
        <w:t xml:space="preserve">for</w:t>
      </w:r>
      <w:r>
        <w:t xml:space="preserve"> </w:t>
      </w:r>
      <w:r>
        <w:t xml:space="preserve">SMD. In deployment,</w:t>
      </w:r>
      <w:r>
        <w:t xml:space="preserve"> </w:t>
      </w:r>
      <m:oMath>
        <m:r>
          <m:t>d</m:t>
        </m:r>
      </m:oMath>
      <w:r>
        <w:t xml:space="preserve"> </w:t>
      </w:r>
      <w:r>
        <w:t xml:space="preserve">indexes named telecom KPIs such as latency, packet</w:t>
      </w:r>
      <w:r>
        <w:t xml:space="preserve"> </w:t>
      </w:r>
      <w:r>
        <w:t xml:space="preserve">loss, jitter, or handover-failure rate. Write the window of the</w:t>
      </w:r>
      <w:r>
        <w:t xml:space="preserve"> </w:t>
      </w:r>
      <m:oMath>
        <m:r>
          <m:t>W</m:t>
        </m:r>
      </m:oMath>
      <w:r>
        <w:t xml:space="preserve"> </w:t>
      </w:r>
      <w:r>
        <w:t xml:space="preserve">most</w:t>
      </w:r>
      <w:r>
        <w:t xml:space="preserve"> </w:t>
      </w:r>
      <w:r>
        <w:t xml:space="preserve">recent observations as</w:t>
      </w:r>
      <w:r>
        <w:t xml:space="preserve"> </w:t>
      </w:r>
      <m:oMath>
        <m:sSub>
          <m:e>
            <m:r>
              <m:rPr>
                <m:sty m:val="b"/>
              </m:rPr>
              <m:t>X</m:t>
            </m:r>
          </m:e>
          <m:sub>
            <m:r>
              <m:t>t</m:t>
            </m:r>
            <m:r>
              <m:rPr>
                <m:sty m:val="p"/>
              </m:rPr>
              <m:t>−</m:t>
            </m:r>
            <m:r>
              <m:t>W</m:t>
            </m:r>
            <m:r>
              <m:rPr>
                <m:sty m:val="p"/>
              </m:rPr>
              <m:t>+</m:t>
            </m:r>
            <m:r>
              <m:t>1</m:t>
            </m:r>
            <m:r>
              <m:rPr>
                <m:sty m:val="p"/>
              </m:rPr>
              <m:t>:</m:t>
            </m:r>
            <m:r>
              <m:t>t</m:t>
            </m:r>
          </m:sub>
        </m:sSub>
        <m:r>
          <m:rPr>
            <m:sty m:val="p"/>
          </m:rPr>
          <m:t>∈</m:t>
        </m:r>
        <m:sSup>
          <m:e>
            <m:r>
              <m:rPr>
                <m:sty m:val="p"/>
                <m:scr m:val="double-struck"/>
              </m:rPr>
              <m:t>R</m:t>
            </m:r>
          </m:e>
          <m:sup>
            <m:r>
              <m:t>W</m:t>
            </m:r>
            <m:r>
              <m:rPr>
                <m:sty m:val="p"/>
              </m:rPr>
              <m:t>×</m:t>
            </m:r>
            <m:r>
              <m:t>d</m:t>
            </m:r>
          </m:sup>
        </m:sSup>
      </m:oMath>
      <w:r>
        <w:t xml:space="preserve">.</w:t>
      </w:r>
      <w:r>
        <w:t xml:space="preserve"> </w:t>
      </w:r>
      <w:r>
        <w:t xml:space="preserve">Throughout,</w:t>
      </w:r>
      <w:r>
        <w:t xml:space="preserve"> </w:t>
      </w:r>
      <m:oMath>
        <m:acc>
          <m:accPr>
            <m:chr m:val="̂"/>
          </m:accPr>
          <m:e>
            <m:r>
              <m:rPr>
                <m:sty m:val="p"/>
              </m:rPr>
              <m:t>⋅</m:t>
            </m:r>
          </m:e>
        </m:acc>
      </m:oMath>
      <w:r>
        <w:t xml:space="preserve"> </w:t>
      </w:r>
      <w:r>
        <w:t xml:space="preserve">denotes an estimated quantity and</w:t>
      </w:r>
      <w:r>
        <w:t xml:space="preserve"> </w:t>
      </w:r>
      <m:oMath>
        <m:r>
          <m:t>H</m:t>
        </m:r>
      </m:oMath>
      <w:r>
        <w:t xml:space="preserve"> </w:t>
      </w:r>
      <w:r>
        <w:t xml:space="preserve">the</w:t>
      </w:r>
      <w:r>
        <w:t xml:space="preserve"> </w:t>
      </w:r>
      <w:r>
        <w:t xml:space="preserve">prediction horizon.</w:t>
      </w:r>
    </w:p>
    <w:bookmarkStart w:id="22" w:name="a.-early-warning-prediction"/>
    <w:p>
      <w:pPr>
        <w:pStyle w:val="Heading2"/>
      </w:pPr>
      <w:r>
        <w:t xml:space="preserve">A. Early-warning prediction</w:t>
      </w:r>
    </w:p>
    <w:p>
      <w:pPr>
        <w:pStyle w:val="FirstParagraph"/>
      </w:pPr>
      <w:r>
        <w:t xml:space="preserve">Component 1 learns a predictor</w:t>
      </w:r>
      <w:r>
        <w:t xml:space="preserve"> </w:t>
      </w:r>
      <m:oMath>
        <m:sSub>
          <m:e>
            <m:r>
              <m:t>f</m:t>
            </m:r>
          </m:e>
          <m:sub>
            <m:r>
              <m:t>θ</m:t>
            </m:r>
          </m:sub>
        </m:sSub>
      </m:oMath>
      <w:r>
        <w:t xml:space="preserve"> </w:t>
      </w:r>
      <w:r>
        <w:t xml:space="preserve">mapping a window to a degradation</w:t>
      </w:r>
      <w:r>
        <w:t xml:space="preserve"> </w:t>
      </w:r>
      <w:r>
        <w:t xml:space="preserve">probability,</w:t>
      </w:r>
    </w:p>
    <w:p>
      <w:pPr>
        <w:pStyle w:val="BodyText"/>
        <w:tabs>
          <w:tab w:val="center" w:pos="2520"/>
          <w:tab w:val="right" w:pos="5040"/>
        </w:tabs>
        <w:ind w:firstLine="0"/>
      </w:pPr>
      <w:r>
        <w:tab/>
      </w:r>
      <m:oMath>
        <m:sSub>
          <m:e>
            <m:acc>
              <m:accPr>
                <m:chr m:val="̂"/>
              </m:accPr>
              <m:e>
                <m:r>
                  <m:t>y</m:t>
                </m:r>
              </m:e>
            </m:acc>
          </m:e>
          <m:sub>
            <m:r>
              <m:t>t</m:t>
            </m:r>
          </m:sub>
        </m:sSub>
        <m:r>
          <m:rPr>
            <m:sty m:val="p"/>
          </m:rPr>
          <m:t>=</m:t>
        </m:r>
        <m:sSub>
          <m:e>
            <m:r>
              <m:t>f</m:t>
            </m:r>
          </m:e>
          <m:sub>
            <m:r>
              <m:t>θ</m:t>
            </m:r>
          </m:sub>
        </m:sSub>
        <m:r>
          <m:t>​</m:t>
        </m:r>
        <m:d>
          <m:dPr>
            <m:begChr m:val="("/>
            <m:endChr m:val=")"/>
            <m:sepChr m:val=""/>
            <m:grow/>
          </m:dPr>
          <m:e>
            <m:sSub>
              <m:e>
                <m:r>
                  <m:rPr>
                    <m:sty m:val="b"/>
                  </m:rPr>
                  <m:t>X</m:t>
                </m:r>
              </m:e>
              <m:sub>
                <m:r>
                  <m:t>t</m:t>
                </m:r>
                <m:r>
                  <m:rPr>
                    <m:sty m:val="p"/>
                  </m:rPr>
                  <m:t>−</m:t>
                </m:r>
                <m:r>
                  <m:t>W</m:t>
                </m:r>
                <m:r>
                  <m:rPr>
                    <m:sty m:val="p"/>
                  </m:rPr>
                  <m:t>+</m:t>
                </m:r>
                <m:r>
                  <m:t>1</m:t>
                </m:r>
                <m:r>
                  <m:rPr>
                    <m:sty m:val="p"/>
                  </m:rPr>
                  <m:t>:</m:t>
                </m:r>
                <m:r>
                  <m:t>t</m:t>
                </m:r>
              </m:sub>
            </m:sSub>
          </m:e>
        </m:d>
        <m:r>
          <m:rPr>
            <m:sty m:val="p"/>
          </m:rPr>
          <m:t>∈</m:t>
        </m:r>
        <m:d>
          <m:dPr>
            <m:begChr m:val="["/>
            <m:endChr m:val="]"/>
            <m:sepChr m:val=""/>
            <m:grow/>
          </m:dPr>
          <m:e>
            <m:r>
              <m:t>0</m:t>
            </m:r>
            <m:r>
              <m:rPr>
                <m:sty m:val="p"/>
              </m:rPr>
              <m:t>,</m:t>
            </m:r>
            <m:r>
              <m:t>1</m:t>
            </m:r>
          </m:e>
        </m:d>
        <m:r>
          <m:rPr>
            <m:sty m:val="p"/>
          </m:rPr>
          <m:t>,</m:t>
        </m:r>
      </m:oMath>
      <w:r>
        <w:tab/>
        <w:t>(1)</w:t>
      </w:r>
    </w:p>
    <w:p>
      <w:pPr>
        <w:pStyle w:val="FirstParagraph"/>
      </w:pPr>
      <w:r>
        <w:t xml:space="preserve">against the forward-looking label</w:t>
      </w:r>
    </w:p>
    <w:p>
      <w:pPr>
        <w:pStyle w:val="BodyText"/>
        <w:tabs>
          <w:tab w:val="center" w:pos="2520"/>
          <w:tab w:val="right" w:pos="5040"/>
        </w:tabs>
        <w:ind w:firstLine="0"/>
      </w:pPr>
      <w:r>
        <w:tab/>
      </w:r>
      <m:oMath>
        <m:sSub>
          <m:e>
            <m:r>
              <m:t>y</m:t>
            </m:r>
          </m:e>
          <m:sub>
            <m:r>
              <m:t>t</m:t>
            </m:r>
          </m:sub>
        </m:sSub>
        <m:r>
          <m:rPr>
            <m:sty m:val="p"/>
          </m:rPr>
          <m:t>=</m:t>
        </m:r>
        <m:r>
          <m:rPr>
            <m:sty m:val="b"/>
          </m:rPr>
          <m:t>1</m:t>
        </m:r>
        <m:r>
          <m:t>​</m:t>
        </m:r>
        <m:d>
          <m:dPr>
            <m:begChr m:val="["/>
            <m:endChr m:val="]"/>
            <m:sepChr m:val=""/>
            <m:grow/>
          </m:dPr>
          <m:e>
            <m:r>
              <m:t> </m:t>
            </m:r>
            <m:r>
              <m:rPr>
                <m:sty m:val="p"/>
              </m:rPr>
              <m:t>∃</m:t>
            </m:r>
            <m:r>
              <m:t> </m:t>
            </m:r>
            <m:r>
              <m:t>τ</m:t>
            </m:r>
            <m:r>
              <m:rPr>
                <m:sty m:val="p"/>
              </m:rPr>
              <m:t>∈</m:t>
            </m:r>
            <m:r>
              <m:rPr>
                <m:sty m:val="p"/>
              </m:rPr>
              <m:t>(</m:t>
            </m:r>
            <m:r>
              <m:t>t</m:t>
            </m:r>
            <m:r>
              <m:rPr>
                <m:sty m:val="p"/>
              </m:rPr>
              <m:t>,</m:t>
            </m:r>
            <m:r>
              <m:t> </m:t>
            </m:r>
            <m:r>
              <m:t>t</m:t>
            </m:r>
            <m:r>
              <m:rPr>
                <m:sty m:val="p"/>
              </m:rPr>
              <m:t>+</m:t>
            </m:r>
            <m:r>
              <m:t>H</m:t>
            </m:r>
            <m:r>
              <m:rPr>
                <m:sty m:val="p"/>
              </m:rPr>
              <m:t>]</m:t>
            </m:r>
            <m:r>
              <m:t> </m:t>
            </m:r>
            <m:r>
              <m:rPr>
                <m:nor/>
                <m:sty m:val="p"/>
              </m:rPr>
              <m:t>anomalous</m:t>
            </m:r>
            <m:r>
              <m:t> </m:t>
            </m:r>
          </m:e>
        </m:d>
        <m:r>
          <m:rPr>
            <m:sty m:val="p"/>
          </m:rPr>
          <m:t>,</m:t>
        </m:r>
      </m:oMath>
      <w:r>
        <w:tab/>
        <w:t>(2)</w:t>
      </w:r>
    </w:p>
    <w:p>
      <w:pPr>
        <w:pStyle w:val="FirstParagraph"/>
      </w:pPr>
      <w:r>
        <w:t xml:space="preserve">so that a positive label at</w:t>
      </w:r>
      <w:r>
        <w:t xml:space="preserve"> </w:t>
      </w:r>
      <m:oMath>
        <m:r>
          <m:t>t</m:t>
        </m:r>
      </m:oMath>
      <w:r>
        <w:t xml:space="preserve"> </w:t>
      </w:r>
      <w:r>
        <w:t xml:space="preserve">asserts a future event and the predictor</w:t>
      </w:r>
      <w:r>
        <w:t xml:space="preserve"> </w:t>
      </w:r>
      <w:r>
        <w:t xml:space="preserve">observes nothing after</w:t>
      </w:r>
      <w:r>
        <w:t xml:space="preserve"> </w:t>
      </w:r>
      <m:oMath>
        <m:r>
          <m:t>t</m:t>
        </m:r>
      </m:oMath>
      <w:r>
        <w:t xml:space="preserve">. Parameters are fitted by minimizing the</w:t>
      </w:r>
      <w:r>
        <w:t xml:space="preserve"> </w:t>
      </w:r>
      <w:r>
        <w:t xml:space="preserve">class-weighted cross-entropy</w:t>
      </w:r>
    </w:p>
    <w:p>
      <w:pPr>
        <w:pStyle w:val="BodyText"/>
        <w:tabs>
          <w:tab w:val="center" w:pos="2520"/>
          <w:tab w:val="right" w:pos="5040"/>
        </w:tabs>
        <w:ind w:firstLine="0"/>
      </w:pPr>
      <w:r>
        <w:tab/>
      </w:r>
      <m:oMath>
        <m:r>
          <m:rPr>
            <m:sty m:val="p"/>
            <m:scr m:val="script"/>
          </m:rPr>
          <m:t>L</m:t>
        </m:r>
        <m:d>
          <m:dPr>
            <m:begChr m:val="("/>
            <m:endChr m:val=")"/>
            <m:sepChr m:val=""/>
            <m:grow/>
          </m:dPr>
          <m:e>
            <m:r>
              <m:t>θ</m:t>
            </m:r>
          </m:e>
        </m:d>
        <m:r>
          <m:rPr>
            <m:sty m:val="p"/>
          </m:rPr>
          <m:t>=</m:t>
        </m:r>
        <m:r>
          <m:rPr>
            <m:sty m:val="p"/>
          </m:rPr>
          <m:t>−</m:t>
        </m:r>
        <m:nary>
          <m:naryPr>
            <m:chr m:val="∑"/>
            <m:limLoc m:val="undOvr"/>
            <m:subHide m:val="off"/>
            <m:supHide m:val="on"/>
          </m:naryPr>
          <m:sub>
            <m:r>
              <m:t>t</m:t>
            </m:r>
          </m:sub>
          <m:sup>
            <m:r>
              <m:t>​</m:t>
            </m:r>
          </m:sup>
          <m:e>
            <m:sSub>
              <m:e>
                <m:r>
                  <m:t>w</m:t>
                </m:r>
              </m:e>
              <m:sub>
                <m:sSub>
                  <m:e>
                    <m:r>
                      <m:t>y</m:t>
                    </m:r>
                  </m:e>
                  <m:sub>
                    <m:r>
                      <m:t>t</m:t>
                    </m:r>
                  </m:sub>
                </m:sSub>
              </m:sub>
            </m:sSub>
          </m:e>
        </m:nary>
        <m:r>
          <m:t>​</m:t>
        </m:r>
        <m:d>
          <m:dPr>
            <m:begChr m:val="["/>
            <m:endChr m:val="]"/>
            <m:sepChr m:val=""/>
            <m:grow/>
          </m:dPr>
          <m:e>
            <m:r>
              <m:t> </m:t>
            </m:r>
            <m:sSub>
              <m:e>
                <m:r>
                  <m:t>y</m:t>
                </m:r>
              </m:e>
              <m:sub>
                <m:r>
                  <m:t>t</m:t>
                </m:r>
              </m:sub>
            </m:sSub>
            <m:r>
              <m:rPr>
                <m:sty m:val="p"/>
              </m:rPr>
              <m:t>log</m:t>
            </m:r>
            <m:sSub>
              <m:e>
                <m:acc>
                  <m:accPr>
                    <m:chr m:val="̂"/>
                  </m:accPr>
                  <m:e>
                    <m:r>
                      <m:t>y</m:t>
                    </m:r>
                  </m:e>
                </m:acc>
              </m:e>
              <m:sub>
                <m:r>
                  <m:t>t</m:t>
                </m:r>
              </m:sub>
            </m:sSub>
            <m:r>
              <m:rPr>
                <m:sty m:val="p"/>
              </m:rPr>
              <m:t>+</m:t>
            </m:r>
            <m:d>
              <m:dPr>
                <m:begChr m:val="("/>
                <m:endChr m:val=")"/>
                <m:sepChr m:val=""/>
                <m:grow/>
              </m:dPr>
              <m:e>
                <m:r>
                  <m:t>1</m:t>
                </m:r>
                <m:r>
                  <m:rPr>
                    <m:sty m:val="p"/>
                  </m:rPr>
                  <m:t>−</m:t>
                </m:r>
                <m:sSub>
                  <m:e>
                    <m:r>
                      <m:t>y</m:t>
                    </m:r>
                  </m:e>
                  <m:sub>
                    <m:r>
                      <m:t>t</m:t>
                    </m:r>
                  </m:sub>
                </m:sSub>
              </m:e>
            </m:d>
            <m:r>
              <m:rPr>
                <m:sty m:val="p"/>
              </m:rPr>
              <m:t>log</m:t>
            </m:r>
            <m:r>
              <m:t>​</m:t>
            </m:r>
            <m:d>
              <m:dPr>
                <m:begChr m:val="("/>
                <m:endChr m:val=")"/>
                <m:sepChr m:val=""/>
                <m:grow/>
              </m:dPr>
              <m:e>
                <m:r>
                  <m:t>1</m:t>
                </m:r>
                <m:r>
                  <m:rPr>
                    <m:sty m:val="p"/>
                  </m:rPr>
                  <m:t>−</m:t>
                </m:r>
                <m:sSub>
                  <m:e>
                    <m:acc>
                      <m:accPr>
                        <m:chr m:val="̂"/>
                      </m:accPr>
                      <m:e>
                        <m:r>
                          <m:t>y</m:t>
                        </m:r>
                      </m:e>
                    </m:acc>
                  </m:e>
                  <m:sub>
                    <m:r>
                      <m:t>t</m:t>
                    </m:r>
                  </m:sub>
                </m:sSub>
              </m:e>
            </m:d>
          </m:e>
        </m:d>
        <m:r>
          <m:rPr>
            <m:sty m:val="p"/>
          </m:rPr>
          <m:t>,</m:t>
        </m:r>
      </m:oMath>
      <w:r>
        <w:tab/>
        <w:t>(3)</w:t>
      </w:r>
    </w:p>
    <w:p>
      <w:pPr>
        <w:pStyle w:val="FirstParagraph"/>
      </w:pPr>
      <w:r>
        <w:t xml:space="preserve">where</w:t>
      </w:r>
      <w:r>
        <w:t xml:space="preserve"> </w:t>
      </w:r>
      <m:oMath>
        <m:sSub>
          <m:e>
            <m:r>
              <m:t>w</m:t>
            </m:r>
          </m:e>
          <m:sub>
            <m:sSub>
              <m:e>
                <m:r>
                  <m:t>y</m:t>
                </m:r>
              </m:e>
              <m:sub>
                <m:r>
                  <m:t>t</m:t>
                </m:r>
              </m:sub>
            </m:sSub>
          </m:sub>
        </m:sSub>
      </m:oMath>
      <w:r>
        <w:t xml:space="preserve"> </w:t>
      </w:r>
      <w:r>
        <w:t xml:space="preserve">compensates for class imbalance. In this study</w:t>
      </w:r>
      <w:r>
        <w:t xml:space="preserve"> </w:t>
      </w:r>
      <m:oMath>
        <m:sSub>
          <m:e>
            <m:r>
              <m:t>f</m:t>
            </m:r>
          </m:e>
          <m:sub>
            <m:r>
              <m:t>θ</m:t>
            </m:r>
          </m:sub>
        </m:sSub>
      </m:oMath>
      <w:r>
        <w:t xml:space="preserve"> </w:t>
      </w:r>
      <w:r>
        <w:t xml:space="preserve">ranges over the model hierarchy of Section V.5.</w:t>
      </w:r>
    </w:p>
    <w:bookmarkEnd w:id="22"/>
    <w:bookmarkStart w:id="23" w:name="b.-attribution"/>
    <w:p>
      <w:pPr>
        <w:pStyle w:val="Heading2"/>
      </w:pPr>
      <w:r>
        <w:t xml:space="preserve">B. Attribution</w:t>
      </w:r>
    </w:p>
    <w:p>
      <w:pPr>
        <w:pStyle w:val="FirstParagraph"/>
      </w:pPr>
      <w:r>
        <w:t xml:space="preserve">Component 2 assigns each feature</w:t>
      </w:r>
      <w:r>
        <w:t xml:space="preserve"> </w:t>
      </w:r>
      <m:oMath>
        <m:r>
          <m:t>i</m:t>
        </m:r>
      </m:oMath>
      <w:r>
        <w:t xml:space="preserve"> </w:t>
      </w:r>
      <w:r>
        <w:t xml:space="preserve">its Shapley value with respect to the</w:t>
      </w:r>
      <w:r>
        <w:t xml:space="preserve"> </w:t>
      </w:r>
      <w:r>
        <w:t xml:space="preserve">fitted predictor</w:t>
      </w:r>
      <w:r>
        <w:t xml:space="preserve"> </w:t>
      </w:r>
      <m:oMath>
        <m:r>
          <m:t>f</m:t>
        </m:r>
      </m:oMath>
      <w:r>
        <w:t xml:space="preserve">,</w:t>
      </w:r>
    </w:p>
    <w:p>
      <w:pPr>
        <w:pStyle w:val="BodyText"/>
        <w:tabs>
          <w:tab w:val="center" w:pos="2520"/>
          <w:tab w:val="right" w:pos="5040"/>
        </w:tabs>
        <w:ind w:firstLine="0"/>
      </w:pPr>
      <w:r>
        <w:tab/>
      </w:r>
      <m:oMath>
        <m:sSub>
          <m:e>
            <m:r>
              <m:t>ϕ</m:t>
            </m:r>
          </m:e>
          <m:sub>
            <m:r>
              <m:t>i</m:t>
            </m:r>
          </m:sub>
        </m:sSub>
        <m:d>
          <m:dPr>
            <m:begChr m:val="("/>
            <m:endChr m:val=")"/>
            <m:sepChr m:val=""/>
            <m:grow/>
          </m:dPr>
          <m:e>
            <m:r>
              <m:t>x</m:t>
            </m:r>
          </m:e>
        </m:d>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sSub>
              <m:e>
                <m:r>
                  <m:t>w</m:t>
                </m:r>
              </m:e>
              <m:sub>
                <m:r>
                  <m:t>S</m:t>
                </m:r>
              </m:sub>
            </m:sSub>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r>
          <m:rPr>
            <m:sty m:val="p"/>
          </m:rPr>
          <m:t>,</m:t>
        </m:r>
      </m:oMath>
      <w:r>
        <w:tab/>
        <w:t>(4)</w:t>
      </w:r>
    </w:p>
    <w:p>
      <w:pPr>
        <w:pStyle w:val="FirstParagraph"/>
        <w:tabs>
          <w:tab w:val="center" w:pos="2520"/>
          <w:tab w:val="right" w:pos="5040"/>
        </w:tabs>
        <w:ind w:firstLine="0"/>
      </w:pPr>
      <w:r>
        <w:tab/>
      </w:r>
      <m:oMath>
        <m:sSub>
          <m:e>
            <m:r>
              <m:t>w</m:t>
            </m:r>
          </m:e>
          <m:sub>
            <m:r>
              <m:t>S</m:t>
            </m:r>
          </m:sub>
        </m:sSub>
        <m:r>
          <m:rPr>
            <m:sty m:val="p"/>
          </m:rPr>
          <m:t>=</m:t>
        </m:r>
        <m:f>
          <m:fPr>
            <m:type m:val="bar"/>
          </m:fPr>
          <m:num>
            <m:d>
              <m:dPr>
                <m:begChr m:val="|"/>
                <m:endChr m:val="|"/>
                <m:sepChr m:val=""/>
                <m:grow/>
              </m:dPr>
              <m:e>
                <m:r>
                  <m:t>S</m:t>
                </m:r>
              </m:e>
            </m:d>
            <m:r>
              <m:rPr>
                <m:sty m:val="p"/>
              </m:rPr>
              <m:t>!</m:t>
            </m:r>
            <m:r>
              <m:t> </m:t>
            </m:r>
            <m:d>
              <m:dPr>
                <m:begChr m:val="("/>
                <m:endChr m:val=")"/>
                <m:sepChr m:val=""/>
                <m:grow/>
              </m:dPr>
              <m:e>
                <m:d>
                  <m:dPr>
                    <m:begChr m:val="|"/>
                    <m:endChr m:val="|"/>
                    <m:sepChr m:val=""/>
                    <m:grow/>
                  </m:dPr>
                  <m:e>
                    <m:r>
                      <m:t>N</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N</m:t>
                </m:r>
              </m:e>
            </m:d>
            <m:r>
              <m:rPr>
                <m:sty m:val="p"/>
              </m:rPr>
              <m:t>!</m:t>
            </m:r>
          </m:den>
        </m:f>
        <m:r>
          <m:rPr>
            <m:sty m:val="p"/>
          </m:rPr>
          <m:t>,</m:t>
        </m:r>
      </m:oMath>
      <w:r>
        <w:tab/>
        <w:t>(5)</w:t>
      </w:r>
    </w:p>
    <w:p>
      <w:pPr>
        <w:pStyle w:val="FirstParagraph"/>
      </w:pPr>
      <w:r>
        <w:t xml:space="preserve">where</w:t>
      </w:r>
      <w:r>
        <w:t xml:space="preserve"> </w:t>
      </w:r>
      <m:oMath>
        <m:r>
          <m:t>N</m:t>
        </m:r>
      </m:oMath>
      <w:r>
        <w:t xml:space="preserve"> </w:t>
      </w:r>
      <w:r>
        <w:t xml:space="preserve">is the feature set and</w:t>
      </w:r>
      <w:r>
        <w:t xml:space="preserve"> </w:t>
      </w:r>
      <m:oMath>
        <m:sSub>
          <m:e>
            <m:r>
              <m:t>w</m:t>
            </m:r>
          </m:e>
          <m:sub>
            <m:r>
              <m:t>S</m:t>
            </m:r>
          </m:sub>
        </m:sSub>
      </m:oMath>
      <w:r>
        <w:t xml:space="preserve"> </w:t>
      </w:r>
      <w:r>
        <w:t xml:space="preserve">is the Shapley weight. Per-KPI importance aggregates</w:t>
      </w:r>
      <w:r>
        <w:t xml:space="preserve"> </w:t>
      </w:r>
      <m:oMath>
        <m:d>
          <m:dPr>
            <m:begChr m:val="|"/>
            <m:endChr m:val="|"/>
            <m:sepChr m:val=""/>
            <m:grow/>
          </m:dPr>
          <m:e>
            <m:sSub>
              <m:e>
                <m:r>
                  <m:t>ϕ</m:t>
                </m:r>
              </m:e>
              <m:sub>
                <m:r>
                  <m:t>i</m:t>
                </m:r>
              </m:sub>
            </m:sSub>
          </m:e>
        </m:d>
      </m:oMath>
      <w:r>
        <w:t xml:space="preserve"> </w:t>
      </w:r>
      <w:r>
        <w:t xml:space="preserve">over</w:t>
      </w:r>
      <w:r>
        <w:t xml:space="preserve"> </w:t>
      </w:r>
      <w:r>
        <w:t xml:space="preserve">the derived features of that KPI (Section V.3). For tree ensembles this is</w:t>
      </w:r>
      <w:r>
        <w:t xml:space="preserve"> </w:t>
      </w:r>
      <w:r>
        <w:t xml:space="preserve">computed exactly rather than approximated, which Section VI.1 shows is</w:t>
      </w:r>
      <w:r>
        <w:t xml:space="preserve"> </w:t>
      </w:r>
      <w:r>
        <w:t xml:space="preserve">available on every leg because the strongest predictor is a tree model.</w:t>
      </w:r>
    </w:p>
    <w:bookmarkEnd w:id="23"/>
    <w:bookmarkStart w:id="24" w:name="c.-causal-filtering"/>
    <w:p>
      <w:pPr>
        <w:pStyle w:val="Heading2"/>
      </w:pPr>
      <w:r>
        <w:t xml:space="preserve">C. Causal filtering</w:t>
      </w:r>
    </w:p>
    <w:p>
      <w:pPr>
        <w:pStyle w:val="FirstParagraph"/>
      </w:pPr>
      <w:r>
        <w:t xml:space="preserve">Component 3 retains a candidate KPI</w:t>
      </w:r>
      <w:r>
        <w:t xml:space="preserve"> </w:t>
      </w:r>
      <m:oMath>
        <m:r>
          <m:t>i</m:t>
        </m:r>
      </m:oMath>
      <w:r>
        <w:t xml:space="preserve"> </w:t>
      </w:r>
      <w:r>
        <w:t xml:space="preserve">as causal evidence for target KPI</w:t>
      </w:r>
      <w:r>
        <w:t xml:space="preserve"> </w:t>
      </w:r>
      <m:oMath>
        <m:r>
          <m:t>j</m:t>
        </m:r>
      </m:oMath>
      <w:r>
        <w:t xml:space="preserve"> </w:t>
      </w:r>
      <w:r>
        <w:t xml:space="preserve">only if</w:t>
      </w:r>
      <w:r>
        <w:t xml:space="preserve"> </w:t>
      </w:r>
      <m:oMath>
        <m:r>
          <m:t>i</m:t>
        </m:r>
      </m:oMath>
      <w:r>
        <w:t xml:space="preserve">’s past improves the prediction of</w:t>
      </w:r>
      <w:r>
        <w:t xml:space="preserve"> </w:t>
      </w:r>
      <m:oMath>
        <m:r>
          <m:t>j</m:t>
        </m:r>
      </m:oMath>
      <w:r>
        <w:t xml:space="preserve">’s future beyond</w:t>
      </w:r>
      <w:r>
        <w:t xml:space="preserve"> </w:t>
      </w:r>
      <m:oMath>
        <m:r>
          <m:t>j</m:t>
        </m:r>
      </m:oMath>
      <w:r>
        <w:t xml:space="preserve">’s</w:t>
      </w:r>
      <w:r>
        <w:t xml:space="preserve"> </w:t>
      </w:r>
      <w:r>
        <w:t xml:space="preserve">own past. For lag</w:t>
      </w:r>
      <w:r>
        <w:t xml:space="preserve"> </w:t>
      </w:r>
      <m:oMath>
        <m:r>
          <m:rPr>
            <m:sty m:val="p"/>
          </m:rPr>
          <m:t>ℓ</m:t>
        </m:r>
        <m:r>
          <m:rPr>
            <m:sty m:val="p"/>
          </m:rPr>
          <m:t>∈</m:t>
        </m:r>
        <m:r>
          <m:rPr>
            <m:sty m:val="p"/>
          </m:rPr>
          <m:t>{</m:t>
        </m:r>
        <m:r>
          <m:t>1</m:t>
        </m:r>
        <m:r>
          <m:rPr>
            <m:sty m:val="p"/>
          </m:rPr>
          <m:t>,</m:t>
        </m:r>
        <m:r>
          <m:rPr>
            <m:sty m:val="p"/>
          </m:rPr>
          <m:t>…</m:t>
        </m:r>
        <m:r>
          <m:rPr>
            <m:sty m:val="p"/>
          </m:rPr>
          <m:t>,</m:t>
        </m:r>
        <m:r>
          <m:t>L</m:t>
        </m:r>
        <m:r>
          <m:rPr>
            <m:sty m:val="p"/>
          </m:rPr>
          <m:t>}</m:t>
        </m:r>
      </m:oMath>
      <w:r>
        <w:t xml:space="preserve"> </w:t>
      </w:r>
      <w:r>
        <w:t xml:space="preserve">the test contrasts the null and alternative</w:t>
      </w:r>
    </w:p>
    <w:p>
      <w:pPr>
        <w:pStyle w:val="BodyText"/>
        <w:tabs>
          <w:tab w:val="center" w:pos="2520"/>
          <w:tab w:val="right" w:pos="5040"/>
        </w:tabs>
        <w:ind w:firstLine="0"/>
      </w:pPr>
      <w:r>
        <w:tab/>
      </w:r>
      <m:oMath>
        <m:sSub>
          <m:e>
            <m:r>
              <m:rPr>
                <m:sty m:val="p"/>
                <m:scr m:val="script"/>
              </m:rPr>
              <m:t>H</m:t>
            </m:r>
          </m:e>
          <m:sub>
            <m:r>
              <m:t>0</m:t>
            </m:r>
          </m:sub>
        </m:sSub>
        <m:r>
          <m:rPr>
            <m:sty m:val="p"/>
          </m:rPr>
          <m:t>:</m:t>
        </m:r>
        <m:r>
          <m:t> </m:t>
        </m:r>
        <m:sSub>
          <m:e>
            <m:r>
              <m:t>Y</m:t>
            </m:r>
          </m:e>
          <m:sub>
            <m:r>
              <m:t>j</m:t>
            </m:r>
            <m:r>
              <m:rPr>
                <m:sty m:val="p"/>
              </m:rPr>
              <m:t>,</m:t>
            </m:r>
            <m:r>
              <m:t>t</m:t>
            </m:r>
          </m:sub>
        </m:sSub>
        <m:r>
          <m:rPr>
            <m:sty m:val="p"/>
          </m:rPr>
          <m:t>∼</m:t>
        </m:r>
        <m:sSub>
          <m:e>
            <m:r>
              <m:t>Y</m:t>
            </m:r>
          </m:e>
          <m:sub>
            <m:r>
              <m:t>j</m:t>
            </m:r>
            <m:r>
              <m:rPr>
                <m:sty m:val="p"/>
              </m:rPr>
              <m:t>,</m:t>
            </m:r>
            <m:r>
              <m:t> </m:t>
            </m:r>
            <m:r>
              <m:t>t</m:t>
            </m:r>
            <m:r>
              <m:rPr>
                <m:sty m:val="p"/>
              </m:rPr>
              <m:t>−</m:t>
            </m:r>
            <m:r>
              <m:t>1</m:t>
            </m:r>
            <m:r>
              <m:rPr>
                <m:sty m:val="p"/>
              </m:rPr>
              <m:t>:</m:t>
            </m:r>
            <m:r>
              <m:t>t</m:t>
            </m:r>
            <m:r>
              <m:rPr>
                <m:sty m:val="p"/>
              </m:rPr>
              <m:t>−</m:t>
            </m:r>
            <m:r>
              <m:rPr>
                <m:sty m:val="p"/>
              </m:rPr>
              <m:t>ℓ</m:t>
            </m:r>
          </m:sub>
        </m:sSub>
        <m:r>
          <m:rPr>
            <m:sty m:val="p"/>
          </m:rPr>
          <m:t>,</m:t>
        </m:r>
      </m:oMath>
      <w:r>
        <w:tab/>
        <w:t>(6)</w:t>
      </w:r>
    </w:p>
    <w:p>
      <w:pPr>
        <w:pStyle w:val="FirstParagraph"/>
        <w:tabs>
          <w:tab w:val="center" w:pos="2520"/>
          <w:tab w:val="right" w:pos="5040"/>
        </w:tabs>
        <w:ind w:firstLine="0"/>
      </w:pPr>
      <w:r>
        <w:tab/>
      </w:r>
      <m:oMath>
        <m:sSub>
          <m:e>
            <m:r>
              <m:rPr>
                <m:sty m:val="p"/>
                <m:scr m:val="script"/>
              </m:rPr>
              <m:t>H</m:t>
            </m:r>
          </m:e>
          <m:sub>
            <m:r>
              <m:t>1</m:t>
            </m:r>
          </m:sub>
        </m:sSub>
        <m:r>
          <m:rPr>
            <m:sty m:val="p"/>
          </m:rPr>
          <m:t>:</m:t>
        </m:r>
        <m:r>
          <m:t> </m:t>
        </m:r>
        <m:sSub>
          <m:e>
            <m:r>
              <m:t>Y</m:t>
            </m:r>
          </m:e>
          <m:sub>
            <m:r>
              <m:t>j</m:t>
            </m:r>
            <m:r>
              <m:rPr>
                <m:sty m:val="p"/>
              </m:rPr>
              <m:t>,</m:t>
            </m:r>
            <m:r>
              <m:t>t</m:t>
            </m:r>
          </m:sub>
        </m:sSub>
        <m:r>
          <m:rPr>
            <m:sty m:val="p"/>
          </m:rPr>
          <m:t>∼</m:t>
        </m:r>
        <m:sSub>
          <m:e>
            <m:r>
              <m:t>Y</m:t>
            </m:r>
          </m:e>
          <m:sub>
            <m:r>
              <m:t>j</m:t>
            </m:r>
            <m:r>
              <m:rPr>
                <m:sty m:val="p"/>
              </m:rPr>
              <m:t>,</m:t>
            </m:r>
            <m:r>
              <m:t> </m:t>
            </m:r>
            <m:r>
              <m:t>t</m:t>
            </m:r>
            <m:r>
              <m:rPr>
                <m:sty m:val="p"/>
              </m:rPr>
              <m:t>−</m:t>
            </m:r>
            <m:r>
              <m:t>1</m:t>
            </m:r>
            <m:r>
              <m:rPr>
                <m:sty m:val="p"/>
              </m:rPr>
              <m:t>:</m:t>
            </m:r>
            <m:r>
              <m:t>t</m:t>
            </m:r>
            <m:r>
              <m:rPr>
                <m:sty m:val="p"/>
              </m:rPr>
              <m:t>−</m:t>
            </m:r>
            <m:r>
              <m:rPr>
                <m:sty m:val="p"/>
              </m:rPr>
              <m:t>ℓ</m:t>
            </m:r>
          </m:sub>
        </m:sSub>
        <m:r>
          <m:rPr>
            <m:sty m:val="p"/>
          </m:rPr>
          <m:t>+</m:t>
        </m:r>
        <m:sSub>
          <m:e>
            <m:r>
              <m:t>X</m:t>
            </m:r>
          </m:e>
          <m:sub>
            <m:r>
              <m:t>i</m:t>
            </m:r>
            <m:r>
              <m:rPr>
                <m:sty m:val="p"/>
              </m:rPr>
              <m:t>,</m:t>
            </m:r>
            <m:r>
              <m:t> </m:t>
            </m:r>
            <m:r>
              <m:t>t</m:t>
            </m:r>
            <m:r>
              <m:rPr>
                <m:sty m:val="p"/>
              </m:rPr>
              <m:t>−</m:t>
            </m:r>
            <m:r>
              <m:t>1</m:t>
            </m:r>
            <m:r>
              <m:rPr>
                <m:sty m:val="p"/>
              </m:rPr>
              <m:t>:</m:t>
            </m:r>
            <m:r>
              <m:t>t</m:t>
            </m:r>
            <m:r>
              <m:rPr>
                <m:sty m:val="p"/>
              </m:rPr>
              <m:t>−</m:t>
            </m:r>
            <m:r>
              <m:rPr>
                <m:sty m:val="p"/>
              </m:rPr>
              <m:t>ℓ</m:t>
            </m:r>
          </m:sub>
        </m:sSub>
        <m:r>
          <m:rPr>
            <m:sty m:val="p"/>
          </m:rPr>
          <m:t>,</m:t>
        </m:r>
      </m:oMath>
      <w:r>
        <w:tab/>
        <w:t>(7)</w:t>
      </w:r>
    </w:p>
    <w:p>
      <w:pPr>
        <w:pStyle w:val="FirstParagraph"/>
      </w:pPr>
      <w:r>
        <w:t xml:space="preserve">rejecting</w:t>
      </w:r>
      <w:r>
        <w:t xml:space="preserve"> </w:t>
      </w:r>
      <m:oMath>
        <m:sSub>
          <m:e>
            <m:r>
              <m:rPr>
                <m:sty m:val="p"/>
                <m:scr m:val="script"/>
              </m:rPr>
              <m:t>H</m:t>
            </m:r>
          </m:e>
          <m:sub>
            <m:r>
              <m:t>0</m:t>
            </m:r>
          </m:sub>
        </m:sSub>
      </m:oMath>
      <w:r>
        <w:t xml:space="preserve"> </w:t>
      </w:r>
      <w:r>
        <w:t xml:space="preserve">by an SSR</w:t>
      </w:r>
      <w:r>
        <w:t xml:space="preserve"> </w:t>
      </w:r>
      <m:oMath>
        <m:r>
          <m:t>F</m:t>
        </m:r>
      </m:oMath>
      <w:r>
        <w:t xml:space="preserve">-test at</w:t>
      </w:r>
      <w:r>
        <w:t xml:space="preserve"> </w:t>
      </w:r>
      <m:oMath>
        <m:r>
          <m:t>p</m:t>
        </m:r>
        <m:r>
          <m:rPr>
            <m:sty m:val="p"/>
          </m:rPr>
          <m:t>&lt;</m:t>
        </m:r>
        <m:r>
          <m:t>0.05</m:t>
        </m:r>
      </m:oMath>
      <w:r>
        <w:t xml:space="preserve"> </w:t>
      </w:r>
      <w:r>
        <w:t xml:space="preserve">under</w:t>
      </w:r>
      <w:r>
        <w:t xml:space="preserve"> </w:t>
      </w:r>
      <w:r>
        <w:t xml:space="preserve">Benjamini-Hochberg control across the tested dimensions. This is</w:t>
      </w:r>
      <w:r>
        <w:t xml:space="preserve"> </w:t>
      </w:r>
      <w:r>
        <w:t xml:space="preserve">temporal-precedence evidence, not intervention; Section VIII states the</w:t>
      </w:r>
      <w:r>
        <w:t xml:space="preserve"> </w:t>
      </w:r>
      <w:r>
        <w:t xml:space="preserve">consequence.</w:t>
      </w:r>
    </w:p>
    <w:bookmarkEnd w:id="24"/>
    <w:bookmarkStart w:id="25" w:name="d.-calibration"/>
    <w:p>
      <w:pPr>
        <w:pStyle w:val="Heading2"/>
      </w:pPr>
      <w:r>
        <w:t xml:space="preserve">D. Calibration</w:t>
      </w:r>
    </w:p>
    <w:p>
      <w:pPr>
        <w:pStyle w:val="FirstParagraph"/>
      </w:pPr>
      <w:r>
        <w:t xml:space="preserve">Component 5 wraps the predictor in a distribution-free coverage guarantee.</w:t>
      </w:r>
      <w:r>
        <w:t xml:space="preserve"> </w:t>
      </w:r>
      <w:r>
        <w:t xml:space="preserve">Given a calibration set with known labels, the nonconformity score of point</w:t>
      </w:r>
      <w:r>
        <w:t xml:space="preserve"> </w:t>
      </w:r>
      <m:oMath>
        <m:r>
          <m:t>i</m:t>
        </m:r>
      </m:oMath>
      <w:r>
        <w:t xml:space="preserve"> </w:t>
      </w:r>
      <w:r>
        <w:t xml:space="preserve">is</w:t>
      </w:r>
    </w:p>
    <w:p>
      <w:pPr>
        <w:pStyle w:val="BodyText"/>
        <w:tabs>
          <w:tab w:val="center" w:pos="2520"/>
          <w:tab w:val="right" w:pos="5040"/>
        </w:tabs>
        <w:ind w:firstLine="0"/>
      </w:pPr>
      <w:r>
        <w:tab/>
      </w:r>
      <m:oMath>
        <m:sSub>
          <m:e>
            <m:r>
              <m:t>s</m:t>
            </m:r>
          </m:e>
          <m:sub>
            <m:r>
              <m:t>i</m:t>
            </m:r>
          </m:sub>
        </m:sSub>
        <m:r>
          <m:rPr>
            <m:sty m:val="p"/>
          </m:rPr>
          <m:t>=</m:t>
        </m:r>
        <m:r>
          <m:t>1</m:t>
        </m:r>
        <m:r>
          <m:rPr>
            <m:sty m:val="p"/>
          </m:rPr>
          <m:t>−</m:t>
        </m:r>
        <m:acc>
          <m:accPr>
            <m:chr m:val="̂"/>
          </m:accPr>
          <m:e>
            <m:r>
              <m:t>P</m:t>
            </m:r>
          </m:e>
        </m:acc>
        <m:r>
          <m:t>​</m:t>
        </m:r>
        <m:d>
          <m:dPr>
            <m:begChr m:val="("/>
            <m:endChr m:val=")"/>
            <m:sepChr m:val=""/>
            <m:grow/>
          </m:dPr>
          <m:e>
            <m:sSub>
              <m:e>
                <m:r>
                  <m:t>y</m:t>
                </m:r>
              </m:e>
              <m:sub>
                <m:r>
                  <m:t>i</m:t>
                </m:r>
              </m:sub>
            </m:sSub>
            <m:r>
              <m:rPr>
                <m:sty m:val="p"/>
              </m:rPr>
              <m:t>∣</m:t>
            </m:r>
            <m:sSub>
              <m:e>
                <m:r>
                  <m:t>x</m:t>
                </m:r>
              </m:e>
              <m:sub>
                <m:r>
                  <m:t>i</m:t>
                </m:r>
              </m:sub>
            </m:sSub>
          </m:e>
        </m:d>
        <m:r>
          <m:rPr>
            <m:sty m:val="p"/>
          </m:rPr>
          <m:t>,</m:t>
        </m:r>
      </m:oMath>
      <w:r>
        <w:tab/>
        <w:t>(8)</w:t>
      </w:r>
    </w:p>
    <w:p>
      <w:pPr>
        <w:pStyle w:val="FirstParagraph"/>
      </w:pPr>
      <w:r>
        <w:t xml:space="preserve">and the</w:t>
      </w:r>
      <w:r>
        <w:t xml:space="preserve"> </w:t>
      </w:r>
      <m:oMath>
        <m:d>
          <m:dPr>
            <m:begChr m:val="("/>
            <m:endChr m:val=")"/>
            <m:sepChr m:val=""/>
            <m:grow/>
          </m:dPr>
          <m:e>
            <m:r>
              <m:t>1</m:t>
            </m:r>
            <m:r>
              <m:rPr>
                <m:sty m:val="p"/>
              </m:rPr>
              <m:t>−</m:t>
            </m:r>
            <m:r>
              <m:t>α</m:t>
            </m:r>
          </m:e>
        </m:d>
      </m:oMath>
      <w:r>
        <w:t xml:space="preserve">-quantile of</w:t>
      </w:r>
      <w:r>
        <w:t xml:space="preserve"> </w:t>
      </w:r>
      <m:oMath>
        <m:r>
          <m:rPr>
            <m:sty m:val="p"/>
          </m:rPr>
          <m:t>{</m:t>
        </m:r>
        <m:sSub>
          <m:e>
            <m:r>
              <m:t>s</m:t>
            </m:r>
          </m:e>
          <m:sub>
            <m:r>
              <m:t>i</m:t>
            </m:r>
          </m:sub>
        </m:sSub>
        <m:r>
          <m:rPr>
            <m:sty m:val="p"/>
          </m:rPr>
          <m:t>}</m:t>
        </m:r>
      </m:oMath>
      <w:r>
        <w:t xml:space="preserve">, written</w:t>
      </w:r>
      <w:r>
        <w:t xml:space="preserve"> </w:t>
      </w:r>
      <m:oMath>
        <m:acc>
          <m:accPr>
            <m:chr m:val="̂"/>
          </m:accPr>
          <m:e>
            <m:r>
              <m:t>q</m:t>
            </m:r>
          </m:e>
        </m:acc>
      </m:oMath>
      <w:r>
        <w:t xml:space="preserve">, defines the</w:t>
      </w:r>
      <w:r>
        <w:t xml:space="preserve"> </w:t>
      </w:r>
      <w:r>
        <w:t xml:space="preserve">prediction set for a new point</w:t>
      </w:r>
      <w:r>
        <w:t xml:space="preserve"> </w:t>
      </w:r>
      <m:oMath>
        <m:r>
          <m:t>x</m:t>
        </m:r>
      </m:oMath>
      <w:r>
        <w:t xml:space="preserve">,</w:t>
      </w:r>
    </w:p>
    <w:p>
      <w:pPr>
        <w:pStyle w:val="BodyText"/>
        <w:tabs>
          <w:tab w:val="center" w:pos="2520"/>
          <w:tab w:val="right" w:pos="5040"/>
        </w:tabs>
        <w:ind w:firstLine="0"/>
      </w:pPr>
      <w:r>
        <w:tab/>
      </w:r>
      <m:oMath>
        <m:r>
          <m:t>C</m:t>
        </m:r>
        <m:d>
          <m:dPr>
            <m:begChr m:val="("/>
            <m:endChr m:val=")"/>
            <m:sepChr m:val=""/>
            <m:grow/>
          </m:dPr>
          <m:e>
            <m:r>
              <m:t>x</m:t>
            </m:r>
          </m:e>
        </m:d>
        <m:r>
          <m:rPr>
            <m:sty m:val="p"/>
          </m:rPr>
          <m:t>=</m:t>
        </m:r>
        <m:d>
          <m:dPr>
            <m:begChr m:val="{"/>
            <m:endChr m:val="}"/>
            <m:sepChr m:val=""/>
            <m:grow/>
          </m:dPr>
          <m:e>
            <m:r>
              <m:t> </m:t>
            </m:r>
            <m:r>
              <m:t>c</m:t>
            </m:r>
            <m:r>
              <m:rPr>
                <m:sty m:val="p"/>
              </m:rPr>
              <m:t>:</m:t>
            </m:r>
            <m:r>
              <m:t>1</m:t>
            </m:r>
            <m:r>
              <m:rPr>
                <m:sty m:val="p"/>
              </m:rPr>
              <m:t>−</m:t>
            </m:r>
            <m:acc>
              <m:accPr>
                <m:chr m:val="̂"/>
              </m:accPr>
              <m:e>
                <m:r>
                  <m:t>P</m:t>
                </m:r>
              </m:e>
            </m:acc>
            <m:d>
              <m:dPr>
                <m:begChr m:val="("/>
                <m:endChr m:val=")"/>
                <m:sepChr m:val=""/>
                <m:grow/>
              </m:dPr>
              <m:e>
                <m:r>
                  <m:t>c</m:t>
                </m:r>
                <m:r>
                  <m:rPr>
                    <m:sty m:val="p"/>
                  </m:rPr>
                  <m:t>∣</m:t>
                </m:r>
                <m:r>
                  <m:t>x</m:t>
                </m:r>
              </m:e>
            </m:d>
            <m:r>
              <m:rPr>
                <m:sty m:val="p"/>
              </m:rPr>
              <m:t>≤</m:t>
            </m:r>
            <m:acc>
              <m:accPr>
                <m:chr m:val="̂"/>
              </m:accPr>
              <m:e>
                <m:r>
                  <m:t>q</m:t>
                </m:r>
              </m:e>
            </m:acc>
            <m:r>
              <m:t> </m:t>
            </m:r>
          </m:e>
        </m:d>
        <m:r>
          <m:rPr>
            <m:sty m:val="p"/>
          </m:rPr>
          <m:t>,</m:t>
        </m:r>
      </m:oMath>
      <w:r>
        <w:tab/>
        <w:t>(9)</w:t>
      </w:r>
    </w:p>
    <w:p>
      <w:pPr>
        <w:pStyle w:val="FirstParagraph"/>
      </w:pPr>
      <w:r>
        <w:t xml:space="preserve">which satisfies the marginal coverage guarantee</w:t>
      </w:r>
    </w:p>
    <w:p>
      <w:pPr>
        <w:pStyle w:val="BodyText"/>
        <w:tabs>
          <w:tab w:val="center" w:pos="2520"/>
          <w:tab w:val="right" w:pos="5040"/>
        </w:tabs>
        <w:ind w:firstLine="0"/>
      </w:pPr>
      <w:r>
        <w:tab/>
      </w:r>
      <m:oMath>
        <m:r>
          <m:rPr>
            <m:sty m:val="p"/>
            <m:scr m:val="double-struck"/>
          </m:rPr>
          <m:t>P</m:t>
        </m:r>
        <m:d>
          <m:dPr>
            <m:begChr m:val="("/>
            <m:endChr m:val=")"/>
            <m:sepChr m:val=""/>
            <m:grow/>
          </m:dPr>
          <m:e>
            <m:r>
              <m:t>y</m:t>
            </m:r>
            <m:r>
              <m:rPr>
                <m:sty m:val="p"/>
              </m:rPr>
              <m:t>∈</m:t>
            </m:r>
            <m:r>
              <m:t>C</m:t>
            </m:r>
            <m:d>
              <m:dPr>
                <m:begChr m:val="("/>
                <m:endChr m:val=")"/>
                <m:sepChr m:val=""/>
                <m:grow/>
              </m:dPr>
              <m:e>
                <m:r>
                  <m:t>x</m:t>
                </m:r>
              </m:e>
            </m:d>
          </m:e>
        </m:d>
        <m:r>
          <m:rPr>
            <m:sty m:val="p"/>
          </m:rPr>
          <m:t>≥</m:t>
        </m:r>
        <m:r>
          <m:t>1</m:t>
        </m:r>
        <m:r>
          <m:rPr>
            <m:sty m:val="p"/>
          </m:rPr>
          <m:t>−</m:t>
        </m:r>
        <m:r>
          <m:t>α</m:t>
        </m:r>
        <m:r>
          <m:rPr>
            <m:sty m:val="p"/>
          </m:rPr>
          <m:t>.</m:t>
        </m:r>
      </m:oMath>
      <w:r>
        <w:tab/>
        <w:t>(10)</w:t>
      </w:r>
    </w:p>
    <w:p>
      <w:pPr>
        <w:pStyle w:val="FirstParagraph"/>
      </w:pPr>
      <w:r>
        <w:t xml:space="preserve">A set of size two,</w:t>
      </w:r>
      <w:r>
        <w:t xml:space="preserve"> </w:t>
      </w:r>
      <m:oMath>
        <m:r>
          <m:rPr>
            <m:sty m:val="p"/>
          </m:rPr>
          <m:t>{</m:t>
        </m:r>
        <m:r>
          <m:rPr>
            <m:nor/>
            <m:sty m:val="i"/>
          </m:rPr>
          <m:t>normal</m:t>
        </m:r>
        <m:r>
          <m:rPr>
            <m:sty m:val="p"/>
          </m:rPr>
          <m:t>,</m:t>
        </m:r>
        <m:r>
          <m:rPr>
            <m:nor/>
            <m:sty m:val="i"/>
          </m:rPr>
          <m:t>degrading</m:t>
        </m:r>
        <m:r>
          <m:rPr>
            <m:sty m:val="p"/>
          </m:rPr>
          <m:t>}</m:t>
        </m:r>
      </m:oMath>
      <w:r>
        <w:t xml:space="preserve">, is the</w:t>
      </w:r>
      <w:r>
        <w:t xml:space="preserve"> </w:t>
      </w:r>
      <w:r>
        <w:t xml:space="preserve">system’s explicit abstention: it signals that the evidence does not</w:t>
      </w:r>
      <w:r>
        <w:t xml:space="preserve"> </w:t>
      </w:r>
      <w:r>
        <w:t xml:space="preserve">separate the classes at the requested confidence and the case should be</w:t>
      </w:r>
      <w:r>
        <w:t xml:space="preserve"> </w:t>
      </w:r>
      <w:r>
        <w:t xml:space="preserve">escalated rather than resolved automatically.</w:t>
      </w:r>
    </w:p>
    <w:bookmarkEnd w:id="25"/>
    <w:bookmarkEnd w:id="26"/>
    <w:bookmarkStart w:id="35" w:name="iv.-proposed-framework"/>
    <w:p>
      <w:pPr>
        <w:pStyle w:val="Heading1"/>
      </w:pPr>
      <w:r>
        <w:t xml:space="preserve">IV. Proposed Framework</w:t>
      </w:r>
    </w:p>
    <w:p>
      <w:pPr>
        <w:pStyle w:val="FirstParagraph"/>
      </w:pPr>
      <w:r>
        <w:t xml:space="preserve">TrustNet-RCA decomposes the problem in Section I into five components,</w:t>
      </w:r>
      <w:r>
        <w:t xml:space="preserve"> </w:t>
      </w:r>
      <w:r>
        <w:t xml:space="preserve">each with its own input, output, and validation criterion, chained as</w:t>
      </w:r>
      <w:r>
        <w:t xml:space="preserve"> </w:t>
      </w:r>
      <w:r>
        <w:t xml:space="preserve">shown in Figure 1. This decomposition is deliberate: it lets each stage</w:t>
      </w:r>
      <w:r>
        <w:t xml:space="preserve"> </w:t>
      </w:r>
      <w:r>
        <w:t xml:space="preserve">be evaluated — and, in Section VI, scored against ground truth —</w:t>
      </w:r>
      <w:r>
        <w:t xml:space="preserve"> </w:t>
      </w:r>
      <w:r>
        <w:t xml:space="preserve">independently, rather than treating trustworthiness as an emergent,</w:t>
      </w:r>
      <w:r>
        <w:t xml:space="preserve"> </w:t>
      </w:r>
      <w:r>
        <w:t xml:space="preserve">unmeasured property of one opaque end-to-end model.</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3750654"/>
            <wp:effectExtent b="0" l="0" r="0" t="0"/>
            <wp:docPr descr="" title="" id="28" name="Picture"/>
            <a:graphic>
              <a:graphicData uri="http://schemas.openxmlformats.org/drawingml/2006/picture">
                <pic:pic>
                  <pic:nvPicPr>
                    <pic:cNvPr descr="figures/fig1_framework.png" id="29" name="Picture"/>
                    <pic:cNvPicPr>
                      <a:picLocks noChangeArrowheads="1" noChangeAspect="1"/>
                    </pic:cNvPicPr>
                  </pic:nvPicPr>
                  <pic:blipFill>
                    <a:blip r:embed="rId27"/>
                    <a:stretch>
                      <a:fillRect/>
                    </a:stretch>
                  </pic:blipFill>
                  <pic:spPr bwMode="auto">
                    <a:xfrm>
                      <a:off x="0" y="0"/>
                      <a:ext cx="6400800" cy="3750654"/>
                    </a:xfrm>
                    <a:prstGeom prst="rect">
                      <a:avLst/>
                    </a:prstGeom>
                    <a:noFill/>
                    <a:ln w="9525">
                      <a:noFill/>
                      <a:headEnd/>
                      <a:tailEnd/>
                    </a:ln>
                  </pic:spPr>
                </pic:pic>
              </a:graphicData>
            </a:graphic>
          </wp:inline>
        </w:drawing>
      </w:r>
    </w:p>
    <w:p>
      <w:pPr>
        <w:pStyle w:val="BodyText"/>
      </w:pPr>
      <w:r>
        <w:rPr>
          <w:iCs/>
          <w:i/>
        </w:rPr>
        <w:t xml:space="preserve">Figure 1. The TrustNet-RCA five-component framework and its three-leg evaluation architecture. Solid arrows show data</w:t>
      </w:r>
      <w:r>
        <w:rPr>
          <w:iCs/>
          <w:i/>
        </w:rPr>
        <w:t xml:space="preserve"> </w:t>
      </w:r>
      <w:r>
        <w:rPr>
          <w:iCs/>
          <w:i/>
        </w:rPr>
        <w:t xml:space="preserve">flow; Components 2 (graph view) and 5 are illustrative/parallel branches</w:t>
      </w:r>
      <w:r>
        <w:rPr>
          <w:iCs/>
          <w:i/>
        </w:rPr>
        <w:t xml:space="preserve"> </w:t>
      </w:r>
      <w:r>
        <w:rPr>
          <w:iCs/>
          <w:i/>
        </w:rPr>
        <w:t xml:space="preserve">feeding the final explanation stage.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bookmarkStart w:id="30" w:name="X18533fddb7c097c0c80a8083a45a37bab58d17a"/>
    <w:p>
      <w:pPr>
        <w:pStyle w:val="Heading2"/>
      </w:pPr>
      <w:r>
        <w:t xml:space="preserve">A. Component 1 — Predict degradation before disruption</w:t>
      </w:r>
    </w:p>
    <w:p>
      <w:pPr>
        <w:pStyle w:val="FirstParagraph"/>
      </w:pPr>
      <w:r>
        <w:t xml:space="preserve">Input: a W-minute KPI window per network element. Method: a Transformer</w:t>
      </w:r>
      <w:r>
        <w:t xml:space="preserve"> </w:t>
      </w:r>
      <w:r>
        <w:t xml:space="preserve">encoder (self-attention over the window) as the primary model,</w:t>
      </w:r>
      <w:r>
        <w:t xml:space="preserve"> </w:t>
      </w:r>
      <w:r>
        <w:t xml:space="preserve">benchmarked against a gradient-boosted tree baseline (LightGBM) on</w:t>
      </w:r>
      <w:r>
        <w:t xml:space="preserve"> </w:t>
      </w:r>
      <w:r>
        <w:t xml:space="preserve">rolling statistical features — retained as a cheap, auditable fallback</w:t>
      </w:r>
      <w:r>
        <w:t xml:space="preserve"> </w:t>
      </w:r>
      <w:r>
        <w:t xml:space="preserve">and as the model exactly explained in Component 2. Output: P(degradation</w:t>
      </w:r>
      <w:r>
        <w:t xml:space="preserve"> </w:t>
      </w:r>
      <w:r>
        <w:t xml:space="preserve">in the next H minutes), a continuously updated early-warning score</w:t>
      </w:r>
      <w:r>
        <w:t xml:space="preserve"> </w:t>
      </w:r>
      <w:r>
        <w:t xml:space="preserve">rather than a post-hoc flag.</w:t>
      </w:r>
    </w:p>
    <w:bookmarkEnd w:id="30"/>
    <w:bookmarkStart w:id="31" w:name="X014bf0e85cbdbe91511853fbaf7ab7818c27ac4"/>
    <w:p>
      <w:pPr>
        <w:pStyle w:val="Heading2"/>
      </w:pPr>
      <w:r>
        <w:t xml:space="preserve">B. Component 2 — Identify probable root causes</w:t>
      </w:r>
    </w:p>
    <w:p>
      <w:pPr>
        <w:pStyle w:val="FirstParagraph"/>
      </w:pPr>
      <w:r>
        <w:t xml:space="preserve">Input: the flagged window, the full KPI vector, and (where available)</w:t>
      </w:r>
      <w:r>
        <w:t xml:space="preserve"> </w:t>
      </w:r>
      <w:r>
        <w:t xml:space="preserve">the NE/site topology graph. Method: exact SHAP attribution on the</w:t>
      </w:r>
      <w:r>
        <w:t xml:space="preserve"> </w:t>
      </w:r>
      <w:r>
        <w:t xml:space="preserve">tree-ensemble predictor ranks which KPI dimensions drove the flagged</w:t>
      </w:r>
      <w:r>
        <w:t xml:space="preserve"> </w:t>
      </w:r>
      <w:r>
        <w:t xml:space="preserve">prediction; a graph view — personalized PageRank over the topology,</w:t>
      </w:r>
      <w:r>
        <w:t xml:space="preserve"> </w:t>
      </w:r>
      <w:r>
        <w:t xml:space="preserve">seeded at high-deviation nodes — ranks which network element is the</w:t>
      </w:r>
      <w:r>
        <w:t xml:space="preserve"> </w:t>
      </w:r>
      <w:r>
        <w:t xml:space="preserve">propagation source rather than merely a symptom, in the spirit of</w:t>
      </w:r>
      <w:r>
        <w:t xml:space="preserve"> </w:t>
      </w:r>
      <w:r>
        <w:t xml:space="preserve">MicroRCA [13]. Output: a ranked (KPI or NE, contribution score) list,</w:t>
      </w:r>
      <w:r>
        <w:t xml:space="preserve"> </w:t>
      </w:r>
      <w:r>
        <w:t xml:space="preserve">explicitly still correlational at this stage.</w:t>
      </w:r>
    </w:p>
    <w:bookmarkEnd w:id="31"/>
    <w:bookmarkStart w:id="32" w:name="X84881a427ee1bf211427bb4e40c56968aa019f5"/>
    <w:p>
      <w:pPr>
        <w:pStyle w:val="Heading2"/>
      </w:pPr>
      <w:r>
        <w:t xml:space="preserve">C. Component 3 — Distinguish correlation from causal evidence</w:t>
      </w:r>
    </w:p>
    <w:p>
      <w:pPr>
        <w:pStyle w:val="FirstParagraph"/>
      </w:pPr>
      <w:r>
        <w:t xml:space="preserve">Input: Component 2's ranked candidates and their raw time series.</w:t>
      </w:r>
      <w:r>
        <w:t xml:space="preserve"> </w:t>
      </w:r>
      <w:r>
        <w:t xml:space="preserve">Method: a Granger-causality test per candidate (Section III), plus, where</w:t>
      </w:r>
      <w:r>
        <w:t xml:space="preserve"> </w:t>
      </w:r>
      <w:r>
        <w:t xml:space="preserve">a configuration-change timestamp coincides with a candidate's onset, a</w:t>
      </w:r>
      <w:r>
        <w:t xml:space="preserve"> </w:t>
      </w:r>
      <w:r>
        <w:t xml:space="preserve">before/after comparison treated as a quasi-experiment. Output: each</w:t>
      </w:r>
      <w:r>
        <w:t xml:space="preserve"> </w:t>
      </w:r>
      <w:r>
        <w:t xml:space="preserve">candidate labeled correlational only or causal evidence, with its test</w:t>
      </w:r>
      <w:r>
        <w:t xml:space="preserve"> </w:t>
      </w:r>
      <w:r>
        <w:t xml:space="preserve">statistic attached; Granger causality is necessary-but-not-sufficient</w:t>
      </w:r>
      <w:r>
        <w:t xml:space="preserve"> </w:t>
      </w:r>
      <w:r>
        <w:t xml:space="preserve">evidence for true causality, and this label is reported as a confidence</w:t>
      </w:r>
      <w:r>
        <w:t xml:space="preserve"> </w:t>
      </w:r>
      <w:r>
        <w:t xml:space="preserve">tier, not a proof.</w:t>
      </w:r>
    </w:p>
    <w:bookmarkEnd w:id="32"/>
    <w:bookmarkStart w:id="33" w:name="X8fbba20d6e88bd771cd021e02589e5f568254e9"/>
    <w:p>
      <w:pPr>
        <w:pStyle w:val="Heading2"/>
      </w:pPr>
      <w:r>
        <w:t xml:space="preserve">D. Component 4 — Explain in engineer-understandable terms</w:t>
      </w:r>
    </w:p>
    <w:p>
      <w:pPr>
        <w:pStyle w:val="FirstParagraph"/>
      </w:pPr>
      <w:r>
        <w:t xml:space="preserve">Input: the outputs of Components 1, 2, 3, and 5. Method: a template</w:t>
      </w:r>
      <w:r>
        <w:t xml:space="preserve"> </w:t>
      </w:r>
      <w:r>
        <w:t xml:space="preserve">grounded strictly in the evidence already computed — not a</w:t>
      </w:r>
      <w:r>
        <w:t xml:space="preserve"> </w:t>
      </w:r>
      <w:r>
        <w:t xml:space="preserve">free-generation LLM call — following the narrate-don't-diagnose</w:t>
      </w:r>
      <w:r>
        <w:t xml:space="preserve"> </w:t>
      </w:r>
      <w:r>
        <w:t xml:space="preserve">pattern from RCACopilot- and RCAgent-style systems [17], [18]; an</w:t>
      </w:r>
      <w:r>
        <w:t xml:space="preserve"> </w:t>
      </w:r>
      <w:r>
        <w:t xml:space="preserve">LLM may phrase the narrative fluently but may not assert any fact absent</w:t>
      </w:r>
      <w:r>
        <w:t xml:space="preserve"> </w:t>
      </w:r>
      <w:r>
        <w:t xml:space="preserve">from the evidence. Output: a short report stating what is predicted, how</w:t>
      </w:r>
      <w:r>
        <w:t xml:space="preserve"> </w:t>
      </w:r>
      <w:r>
        <w:t xml:space="preserve">confident, which KPI/NE is implicated, whether that evidence is causal</w:t>
      </w:r>
      <w:r>
        <w:t xml:space="preserve"> </w:t>
      </w:r>
      <w:r>
        <w:t xml:space="preserve">or correlational, and what changed immediately before onset.</w:t>
      </w:r>
    </w:p>
    <w:bookmarkEnd w:id="33"/>
    <w:bookmarkStart w:id="34" w:name="Xfdb45cdfafd2675b4cf72063a3d7209d1cbe2f0"/>
    <w:p>
      <w:pPr>
        <w:pStyle w:val="Heading2"/>
      </w:pPr>
      <w:r>
        <w:t xml:space="preserve">E. Component 5 — Quantify uncertainty and confidence</w:t>
      </w:r>
    </w:p>
    <w:p>
      <w:pPr>
        <w:pStyle w:val="FirstParagraph"/>
      </w:pPr>
      <w:r>
        <w:t xml:space="preserve">Input: Component 1's raw probability and a held-out calibration set.</w:t>
      </w:r>
      <w:r>
        <w:t xml:space="preserve"> </w:t>
      </w:r>
      <w:r>
        <w:t xml:space="preserve">Method: split-conformal prediction (Section III) wraps the probability</w:t>
      </w:r>
      <w:r>
        <w:t xml:space="preserve"> </w:t>
      </w:r>
      <w:r>
        <w:t xml:space="preserve">into a set with a distribution-free, finite-sample coverage guarantee,</w:t>
      </w:r>
      <w:r>
        <w:t xml:space="preserve"> </w:t>
      </w:r>
      <w:r>
        <w:t xml:space="preserve">independent of whether the underlying model is well-calibrated on its</w:t>
      </w:r>
      <w:r>
        <w:t xml:space="preserve"> </w:t>
      </w:r>
      <w:r>
        <w:t xml:space="preserve">own; reliability diagrams / Expected Calibration Error (ECE) are</w:t>
      </w:r>
      <w:r>
        <w:t xml:space="preserve"> </w:t>
      </w:r>
      <w:r>
        <w:t xml:space="preserve">reported as a diagnostic. Output: a calibrated confidence level plus an</w:t>
      </w:r>
      <w:r>
        <w:t xml:space="preserve"> </w:t>
      </w:r>
      <w:r>
        <w:t xml:space="preserve">explicit abstain-and-escalate flag for low-confidence (ambiguous)</w:t>
      </w:r>
      <w:r>
        <w:t xml:space="preserve"> </w:t>
      </w:r>
      <w:r>
        <w:t xml:space="preserve">predictions.</w:t>
      </w:r>
    </w:p>
    <w:bookmarkEnd w:id="34"/>
    <w:bookmarkEnd w:id="35"/>
    <w:bookmarkStart w:id="45" w:name="v.-experimental-setup"/>
    <w:p>
      <w:pPr>
        <w:pStyle w:val="Heading1"/>
      </w:pPr>
      <w:r>
        <w:t xml:space="preserve">V. Experimental Setup</w:t>
      </w:r>
    </w:p>
    <w:bookmarkStart w:id="39" w:name="a.-three-dataset-evaluation-architecture"/>
    <w:p>
      <w:pPr>
        <w:pStyle w:val="Heading2"/>
      </w:pPr>
      <w:r>
        <w:t xml:space="preserve">A. Three-dataset evaluation architecture</w:t>
      </w:r>
    </w:p>
    <w:p>
      <w:pPr>
        <w:pStyle w:val="FirstParagraph"/>
      </w:pPr>
      <w:r>
        <w:t xml:space="preserve">A framework that claims 5G RAN relevance cannot be validated on server</w:t>
      </w:r>
      <w:r>
        <w:t xml:space="preserve"> </w:t>
      </w:r>
      <w:r>
        <w:t xml:space="preserve">telemetry alone. TrustNet-RCA is therefore evaluated on three public</w:t>
      </w:r>
      <w:r>
        <w:t xml:space="preserve"> </w:t>
      </w:r>
      <w:r>
        <w:t xml:space="preserve">datasets, each assigned a distinct and explicitly bounded job, with the</w:t>
      </w:r>
      <w:r>
        <w:t xml:space="preserve"> </w:t>
      </w:r>
      <w:r>
        <w:rPr>
          <w:iCs/>
          <w:i/>
        </w:rPr>
        <w:t xml:space="preserve">identical</w:t>
      </w:r>
      <w:r>
        <w:t xml:space="preserve"> </w:t>
      </w:r>
      <w:r>
        <w:t xml:space="preserve">method run on all three so that the legs are comparable</w:t>
      </w:r>
      <w:r>
        <w:t xml:space="preserve"> </w:t>
      </w:r>
      <w:r>
        <w:t xml:space="preserve">rather than merely adjacent:</w:t>
      </w:r>
    </w:p>
    <w:p>
      <w:pPr>
        <w:numPr>
          <w:ilvl w:val="0"/>
          <w:numId w:val="1001"/>
        </w:numPr>
        <w:pStyle w:val="Compact"/>
      </w:pPr>
      <w:r>
        <w:rPr>
          <w:bCs/>
          <w:b/>
        </w:rPr>
        <w:t xml:space="preserve">TelecomTS</w:t>
      </w:r>
      <w:r>
        <w:t xml:space="preserve"> </w:t>
      </w:r>
      <w:r>
        <w:t xml:space="preserve">[22] is the</w:t>
      </w:r>
      <w:r>
        <w:t xml:space="preserve"> </w:t>
      </w:r>
      <w:r>
        <w:rPr>
          <w:bCs/>
          <w:b/>
        </w:rPr>
        <w:t xml:space="preserve">primary 5G-domain benchmark</w:t>
      </w:r>
      <w:r>
        <w:t xml:space="preserve">. It is</w:t>
      </w:r>
      <w:r>
        <w:t xml:space="preserve"> </w:t>
      </w:r>
      <w:r>
        <w:t xml:space="preserve">derived from a 5G testbed and exposes named PHY/MAC/network-layer KPIs,</w:t>
      </w:r>
      <w:r>
        <w:t xml:space="preserve"> </w:t>
      </w:r>
      <w:r>
        <w:t xml:space="preserve">which is what makes a radio-domain claim possible at all.</w:t>
      </w:r>
    </w:p>
    <w:p>
      <w:pPr>
        <w:numPr>
          <w:ilvl w:val="0"/>
          <w:numId w:val="1001"/>
        </w:numPr>
        <w:pStyle w:val="Compact"/>
      </w:pPr>
      <w:r>
        <w:rPr>
          <w:bCs/>
          <w:b/>
        </w:rPr>
        <w:t xml:space="preserve">RCAEval</w:t>
      </w:r>
      <w:r>
        <w:t xml:space="preserve"> </w:t>
      </w:r>
      <w:r>
        <w:t xml:space="preserve">[5] (RE1 / Online Boutique) carries</w:t>
      </w:r>
      <w:r>
        <w:t xml:space="preserve"> </w:t>
      </w:r>
      <w:r>
        <w:rPr>
          <w:bCs/>
          <w:b/>
        </w:rPr>
        <w:t xml:space="preserve">service-management</w:t>
      </w:r>
      <w:r>
        <w:rPr>
          <w:bCs/>
          <w:b/>
        </w:rPr>
        <w:t xml:space="preserve"> </w:t>
      </w:r>
      <w:r>
        <w:rPr>
          <w:bCs/>
          <w:b/>
        </w:rPr>
        <w:t xml:space="preserve">and RCA rigor</w:t>
      </w:r>
      <w:r>
        <w:t xml:space="preserve">: annotated microservice failures with reproducible</w:t>
      </w:r>
      <w:r>
        <w:t xml:space="preserve"> </w:t>
      </w:r>
      <w:r>
        <w:t xml:space="preserve">baselines.</w:t>
      </w:r>
    </w:p>
    <w:p>
      <w:pPr>
        <w:numPr>
          <w:ilvl w:val="0"/>
          <w:numId w:val="1001"/>
        </w:numPr>
        <w:pStyle w:val="Compact"/>
      </w:pPr>
      <w:r>
        <w:rPr>
          <w:bCs/>
          <w:b/>
        </w:rPr>
        <w:t xml:space="preserve">SMD</w:t>
      </w:r>
      <w:r>
        <w:t xml:space="preserve"> </w:t>
      </w:r>
      <w:r>
        <w:t xml:space="preserve">[7] (machine-1-1) is retained strictly as an</w:t>
      </w:r>
      <w:r>
        <w:t xml:space="preserve"> </w:t>
      </w:r>
      <w:r>
        <w:rPr>
          <w:bCs/>
          <w:b/>
        </w:rPr>
        <w:t xml:space="preserve">out-of-domain generalization</w:t>
      </w:r>
      <w:r>
        <w:t xml:space="preserve"> </w:t>
      </w:r>
      <w:r>
        <w:t xml:space="preserve">check. Its 38 dimensions are generic</w:t>
      </w:r>
      <w:r>
        <w:t xml:space="preserve"> </w:t>
      </w:r>
      <w:r>
        <w:t xml:space="preserve">server metrics, not radio KPIs, and no result on SMD is offered here as</w:t>
      </w:r>
      <w:r>
        <w:t xml:space="preserve"> </w:t>
      </w:r>
      <w:r>
        <w:t xml:space="preserve">evidence about RAN behavior.</w:t>
      </w:r>
    </w:p>
    <w:p>
      <w:pPr>
        <w:pStyle w:val="FirstParagraph"/>
      </w:pPr>
      <w:r>
        <w:rPr>
          <w:bCs/>
          <w:b/>
        </w:rPr>
        <w:t xml:space="preserve">Table 2. Per-leg data preparation.</w:t>
      </w:r>
    </w:p>
    <w:tbl>
      <w:tblPr>
        <w:tblStyle w:val="Table"/>
        <w:tblLook w:firstRow="1" w:lastRow="0" w:firstColumn="0" w:lastColumn="0" w:noHBand="0" w:noVBand="0" w:val="0020"/>
        <w:jc w:val="start"/>
        <w:tblLayout w:type="autofit"/>
        <w:tblW w:type="pct" w:w="5000"/>
      </w:tblPr>
      <w:tblGrid>
        <w:gridCol w:w="1980"/>
        <w:gridCol w:w="1980"/>
        <w:gridCol w:w="1980"/>
        <w:gridCol w:w="1980"/>
      </w:tblGrid>
      <w:tr>
        <w:trPr>
          <w:tblHeader w:val="true"/>
        </w:trPr>
        <w:tc>
          <w:tcPr/>
          <w:p>
            <w:pPr>
              <w:pStyle w:val="Compact"/>
            </w:pPr>
          </w:p>
        </w:tc>
        <w:tc>
          <w:tcPr/>
          <w:p>
            <w:pPr>
              <w:pStyle w:val="Compact"/>
              <w:jc w:val="left"/>
            </w:pPr>
            <w:r>
              <w:rPr>
                <w:rFonts w:ascii="Times New Roman" w:hAnsi="Times New Roman"/>
                <w:sz w:val="16"/>
              </w:rPr>
              <w:t xml:space="preserve">TelecomTS</w:t>
            </w:r>
          </w:p>
        </w:tc>
        <w:tc>
          <w:tcPr/>
          <w:p>
            <w:pPr>
              <w:pStyle w:val="Compact"/>
              <w:jc w:val="left"/>
            </w:pPr>
            <w:r>
              <w:rPr>
                <w:rFonts w:ascii="Times New Roman" w:hAnsi="Times New Roman"/>
                <w:sz w:val="16"/>
              </w:rPr>
              <w:t xml:space="preserve">RCAEval</w:t>
            </w:r>
          </w:p>
        </w:tc>
        <w:tc>
          <w:tcPr/>
          <w:p>
            <w:pPr>
              <w:pStyle w:val="Compact"/>
              <w:jc w:val="left"/>
            </w:pPr>
            <w:r>
              <w:rPr>
                <w:rFonts w:ascii="Times New Roman" w:hAnsi="Times New Roman"/>
                <w:sz w:val="16"/>
              </w:rPr>
              <w:t xml:space="preserve">SMD</w:t>
            </w:r>
          </w:p>
        </w:tc>
      </w:tr>
      <w:tr>
        <w:tc>
          <w:tcPr/>
          <w:p>
            <w:pPr>
              <w:pStyle w:val="Compact"/>
              <w:jc w:val="left"/>
            </w:pPr>
            <w:r>
              <w:rPr>
                <w:rFonts w:ascii="Times New Roman" w:hAnsi="Times New Roman"/>
                <w:sz w:val="16"/>
              </w:rPr>
              <w:t xml:space="preserve">Role</w:t>
            </w:r>
          </w:p>
        </w:tc>
        <w:tc>
          <w:tcPr/>
          <w:p>
            <w:pPr>
              <w:pStyle w:val="Compact"/>
              <w:jc w:val="left"/>
            </w:pPr>
            <w:r>
              <w:rPr>
                <w:rFonts w:ascii="Times New Roman" w:hAnsi="Times New Roman"/>
                <w:sz w:val="16"/>
              </w:rPr>
              <w:t xml:space="preserve">5G RAN domain validity</w:t>
            </w:r>
          </w:p>
        </w:tc>
        <w:tc>
          <w:tcPr/>
          <w:p>
            <w:pPr>
              <w:pStyle w:val="Compact"/>
              <w:jc w:val="left"/>
            </w:pPr>
            <w:r>
              <w:rPr>
                <w:rFonts w:ascii="Times New Roman" w:hAnsi="Times New Roman"/>
                <w:sz w:val="16"/>
              </w:rPr>
              <w:t xml:space="preserve">RCA / service-mgmt rigor</w:t>
            </w:r>
          </w:p>
        </w:tc>
        <w:tc>
          <w:tcPr/>
          <w:p>
            <w:pPr>
              <w:pStyle w:val="Compact"/>
              <w:jc w:val="left"/>
            </w:pPr>
            <w:r>
              <w:rPr>
                <w:rFonts w:ascii="Times New Roman" w:hAnsi="Times New Roman"/>
                <w:sz w:val="16"/>
              </w:rPr>
              <w:t xml:space="preserve">out-of-domain generalization</w:t>
            </w:r>
          </w:p>
        </w:tc>
      </w:tr>
      <w:tr>
        <w:tc>
          <w:tcPr/>
          <w:p>
            <w:pPr>
              <w:pStyle w:val="Compact"/>
              <w:jc w:val="left"/>
            </w:pPr>
            <w:r>
              <w:rPr>
                <w:rFonts w:ascii="Times New Roman" w:hAnsi="Times New Roman"/>
                <w:sz w:val="16"/>
              </w:rPr>
              <w:t xml:space="preserve">Unit</w:t>
            </w:r>
          </w:p>
        </w:tc>
        <w:tc>
          <w:tcPr/>
          <w:p>
            <w:pPr>
              <w:pStyle w:val="Compact"/>
              <w:jc w:val="left"/>
            </w:pPr>
            <w:r>
              <w:rPr>
                <w:rFonts w:ascii="Times New Roman" w:hAnsi="Times New Roman"/>
                <w:sz w:val="16"/>
              </w:rPr>
              <w:t xml:space="preserve">168 reconstructed sessions</w:t>
            </w:r>
          </w:p>
        </w:tc>
        <w:tc>
          <w:tcPr/>
          <w:p>
            <w:pPr>
              <w:pStyle w:val="Compact"/>
              <w:jc w:val="left"/>
            </w:pPr>
            <w:r>
              <w:rPr>
                <w:rFonts w:ascii="Times New Roman" w:hAnsi="Times New Roman"/>
                <w:sz w:val="16"/>
              </w:rPr>
              <w:t xml:space="preserve">123 injected-failure cases</w:t>
            </w:r>
          </w:p>
        </w:tc>
        <w:tc>
          <w:tcPr/>
          <w:p>
            <w:pPr>
              <w:pStyle w:val="Compact"/>
              <w:jc w:val="left"/>
            </w:pPr>
            <w:r>
              <w:rPr>
                <w:rFonts w:ascii="Times New Roman" w:hAnsi="Times New Roman"/>
                <w:sz w:val="16"/>
              </w:rPr>
              <w:t xml:space="preserve">1 machine (machine-1-1)</w:t>
            </w:r>
          </w:p>
        </w:tc>
      </w:tr>
      <w:tr>
        <w:tc>
          <w:tcPr/>
          <w:p>
            <w:pPr>
              <w:pStyle w:val="Compact"/>
              <w:jc w:val="left"/>
            </w:pPr>
            <w:r>
              <w:rPr>
                <w:rFonts w:ascii="Times New Roman" w:hAnsi="Times New Roman"/>
                <w:sz w:val="16"/>
              </w:rPr>
              <w:t xml:space="preserve">Sampling</w:t>
            </w:r>
          </w:p>
        </w:tc>
        <w:tc>
          <w:tcPr/>
          <w:p>
            <w:pPr>
              <w:pStyle w:val="Compact"/>
              <w:jc w:val="left"/>
            </w:pPr>
            <w:r>
              <w:rPr>
                <w:rFonts w:ascii="Times New Roman" w:hAnsi="Times New Roman"/>
                <w:sz w:val="16"/>
              </w:rPr>
              <w:t xml:space="preserve">10 Hz</w:t>
            </w:r>
          </w:p>
        </w:tc>
        <w:tc>
          <w:tcPr/>
          <w:p>
            <w:pPr>
              <w:pStyle w:val="Compact"/>
              <w:jc w:val="left"/>
            </w:pPr>
            <w:r>
              <w:rPr>
                <w:rFonts w:ascii="Times New Roman" w:hAnsi="Times New Roman"/>
                <w:sz w:val="16"/>
              </w:rPr>
              <w:t xml:space="preserve">1 Hz</w:t>
            </w:r>
          </w:p>
        </w:tc>
        <w:tc>
          <w:tcPr/>
          <w:p>
            <w:pPr>
              <w:pStyle w:val="Compact"/>
              <w:jc w:val="left"/>
            </w:pPr>
            <w:r>
              <w:rPr>
                <w:rFonts w:ascii="Times New Roman" w:hAnsi="Times New Roman"/>
                <w:sz w:val="16"/>
              </w:rPr>
              <w:t xml:space="preserve">1 / minute</w:t>
            </w:r>
          </w:p>
        </w:tc>
      </w:tr>
      <w:tr>
        <w:tc>
          <w:tcPr/>
          <w:p>
            <w:pPr>
              <w:pStyle w:val="Compact"/>
              <w:jc w:val="left"/>
            </w:pPr>
            <w:r>
              <w:rPr>
                <w:rFonts w:ascii="Times New Roman" w:hAnsi="Times New Roman"/>
                <w:sz w:val="16"/>
              </w:rPr>
              <w:t xml:space="preserve">Channels</w:t>
            </w:r>
          </w:p>
        </w:tc>
        <w:tc>
          <w:tcPr/>
          <w:p>
            <w:pPr>
              <w:pStyle w:val="Compact"/>
              <w:jc w:val="left"/>
            </w:pPr>
            <w:r>
              <w:rPr>
                <w:rFonts w:ascii="Times New Roman" w:hAnsi="Times New Roman"/>
                <w:sz w:val="16"/>
              </w:rPr>
              <w:t xml:space="preserve">18 named PHY/MAC/network KPIs</w:t>
            </w:r>
          </w:p>
        </w:tc>
        <w:tc>
          <w:tcPr/>
          <w:p>
            <w:pPr>
              <w:pStyle w:val="Compact"/>
              <w:jc w:val="left"/>
            </w:pPr>
            <w:r>
              <w:rPr>
                <w:rFonts w:ascii="Times New Roman" w:hAnsi="Times New Roman"/>
                <w:sz w:val="16"/>
              </w:rPr>
              <w:t xml:space="preserve">24 common metric columns</w:t>
            </w:r>
          </w:p>
        </w:tc>
        <w:tc>
          <w:tcPr/>
          <w:p>
            <w:pPr>
              <w:pStyle w:val="Compact"/>
              <w:jc w:val="left"/>
            </w:pPr>
            <w:r>
              <w:rPr>
                <w:rFonts w:ascii="Times New Roman" w:hAnsi="Times New Roman"/>
                <w:sz w:val="16"/>
              </w:rPr>
              <w:t xml:space="preserve">38 anonymized dims</w:t>
            </w:r>
          </w:p>
        </w:tc>
      </w:tr>
      <w:tr>
        <w:tc>
          <w:tcPr/>
          <w:p>
            <w:pPr>
              <w:pStyle w:val="Compact"/>
              <w:jc w:val="left"/>
            </w:pPr>
            <w:r>
              <w:rPr>
                <w:rFonts w:ascii="Times New Roman" w:hAnsi="Times New Roman"/>
                <w:sz w:val="16"/>
              </w:rPr>
              <w:t xml:space="preserve">Volume</w:t>
            </w:r>
          </w:p>
        </w:tc>
        <w:tc>
          <w:tcPr/>
          <w:p>
            <w:pPr>
              <w:pStyle w:val="Compact"/>
              <w:jc w:val="left"/>
            </w:pPr>
            <w:r>
              <w:rPr>
                <w:rFonts w:ascii="Times New Roman" w:hAnsi="Times New Roman"/>
                <w:sz w:val="16"/>
              </w:rPr>
              <w:t xml:space="preserve">643,284 samples (~1,072 min)</w:t>
            </w:r>
          </w:p>
        </w:tc>
        <w:tc>
          <w:tcPr/>
          <w:p>
            <w:pPr>
              <w:pStyle w:val="Compact"/>
              <w:jc w:val="left"/>
            </w:pPr>
            <w:r>
              <w:rPr>
                <w:rFonts w:ascii="Times New Roman" w:hAnsi="Times New Roman"/>
                <w:sz w:val="16"/>
              </w:rPr>
              <w:t xml:space="preserve">123 cases, 6-35 min pre-injection</w:t>
            </w:r>
          </w:p>
        </w:tc>
        <w:tc>
          <w:tcPr/>
          <w:p>
            <w:pPr>
              <w:pStyle w:val="Compact"/>
              <w:jc w:val="left"/>
            </w:pPr>
            <w:r>
              <w:rPr>
                <w:rFonts w:ascii="Times New Roman" w:hAnsi="Times New Roman"/>
                <w:sz w:val="16"/>
              </w:rPr>
              <w:t xml:space="preserve">28,479 samples</w:t>
            </w:r>
          </w:p>
        </w:tc>
      </w:tr>
      <w:tr>
        <w:tc>
          <w:tcPr/>
          <w:p>
            <w:pPr>
              <w:pStyle w:val="Compact"/>
              <w:jc w:val="left"/>
            </w:pPr>
            <w:r>
              <w:rPr>
                <w:rFonts w:ascii="Times New Roman" w:hAnsi="Times New Roman"/>
                <w:sz w:val="16"/>
              </w:rPr>
              <w:t xml:space="preserve">Events</w:t>
            </w:r>
          </w:p>
        </w:tc>
        <w:tc>
          <w:tcPr/>
          <w:p>
            <w:pPr>
              <w:pStyle w:val="Compact"/>
              <w:jc w:val="left"/>
            </w:pPr>
            <w:r>
              <w:rPr>
                <w:rFonts w:ascii="Times New Roman" w:hAnsi="Times New Roman"/>
                <w:sz w:val="16"/>
              </w:rPr>
              <w:t xml:space="preserve">109 anomaly segments, 11 types</w:t>
            </w:r>
          </w:p>
        </w:tc>
        <w:tc>
          <w:tcPr/>
          <w:p>
            <w:pPr>
              <w:pStyle w:val="Compact"/>
              <w:jc w:val="left"/>
            </w:pPr>
            <w:r>
              <w:rPr>
                <w:rFonts w:ascii="Times New Roman" w:hAnsi="Times New Roman"/>
                <w:sz w:val="16"/>
              </w:rPr>
              <w:t xml:space="preserve">123 injections, 5 fault types</w:t>
            </w:r>
          </w:p>
        </w:tc>
        <w:tc>
          <w:tcPr/>
          <w:p>
            <w:pPr>
              <w:pStyle w:val="Compact"/>
              <w:jc w:val="left"/>
            </w:pPr>
            <w:r>
              <w:rPr>
                <w:rFonts w:ascii="Times New Roman" w:hAnsi="Times New Roman"/>
                <w:sz w:val="16"/>
              </w:rPr>
              <w:t xml:space="preserve">8 segments</w:t>
            </w:r>
          </w:p>
        </w:tc>
      </w:tr>
      <w:tr>
        <w:tc>
          <w:tcPr/>
          <w:p>
            <w:pPr>
              <w:pStyle w:val="Compact"/>
              <w:jc w:val="left"/>
            </w:pPr>
            <w:r>
              <w:rPr>
                <w:rFonts w:ascii="Times New Roman" w:hAnsi="Times New Roman"/>
                <w:sz w:val="16"/>
              </w:rPr>
              <w:t xml:space="preserve">Localization ground truth</w:t>
            </w:r>
          </w:p>
        </w:tc>
        <w:tc>
          <w:tcPr/>
          <w:p>
            <w:pPr>
              <w:pStyle w:val="Compact"/>
              <w:jc w:val="left"/>
            </w:pPr>
            <w:r>
              <w:rPr>
                <w:rStyle w:val="VerbatimChar"/>
                <w:rFonts w:ascii="Times New Roman" w:hAnsi="Times New Roman"/>
                <w:sz w:val="16"/>
              </w:rPr>
              <w:t xml:space="preserve">affected_kpis</w:t>
            </w:r>
            <w:r>
              <w:rPr>
                <w:rFonts w:ascii="Times New Roman" w:hAnsi="Times New Roman"/>
                <w:sz w:val="16"/>
              </w:rPr>
              <w:t xml:space="preserve"> </w:t>
            </w:r>
            <w:r>
              <w:rPr>
                <w:rFonts w:ascii="Times New Roman" w:hAnsi="Times New Roman"/>
                <w:sz w:val="16"/>
              </w:rPr>
              <w:t xml:space="preserve">(named)</w:t>
            </w:r>
          </w:p>
        </w:tc>
        <w:tc>
          <w:tcPr/>
          <w:p>
            <w:pPr>
              <w:pStyle w:val="Compact"/>
              <w:jc w:val="left"/>
            </w:pPr>
            <w:r>
              <w:rPr>
                <w:rFonts w:ascii="Times New Roman" w:hAnsi="Times New Roman"/>
                <w:sz w:val="16"/>
              </w:rPr>
              <w:t xml:space="preserve">root-cause service + indicator</w:t>
            </w:r>
          </w:p>
        </w:tc>
        <w:tc>
          <w:tcPr/>
          <w:p>
            <w:pPr>
              <w:pStyle w:val="Compact"/>
              <w:jc w:val="left"/>
            </w:pPr>
            <w:r>
              <w:rPr>
                <w:rStyle w:val="VerbatimChar"/>
                <w:rFonts w:ascii="Times New Roman" w:hAnsi="Times New Roman"/>
                <w:sz w:val="16"/>
              </w:rPr>
              <w:t xml:space="preserve">interpretation_label</w:t>
            </w:r>
            <w:r>
              <w:rPr>
                <w:rFonts w:ascii="Times New Roman" w:hAnsi="Times New Roman"/>
                <w:sz w:val="16"/>
              </w:rPr>
              <w:t xml:space="preserve"> </w:t>
            </w:r>
            <w:r>
              <w:rPr>
                <w:rFonts w:ascii="Times New Roman" w:hAnsi="Times New Roman"/>
                <w:sz w:val="16"/>
              </w:rPr>
              <w:t xml:space="preserve">(dim indices)</w:t>
            </w:r>
          </w:p>
        </w:tc>
      </w:tr>
      <w:tr>
        <w:tc>
          <w:tcPr/>
          <w:p>
            <w:pPr>
              <w:pStyle w:val="Compact"/>
              <w:jc w:val="left"/>
            </w:pPr>
            <w:r>
              <w:rPr>
                <w:rFonts w:ascii="Times New Roman" w:hAnsi="Times New Roman"/>
                <w:sz w:val="16"/>
              </w:rPr>
              <w:t xml:space="preserve">Split</w:t>
            </w:r>
          </w:p>
        </w:tc>
        <w:tc>
          <w:tcPr/>
          <w:p>
            <w:pPr>
              <w:pStyle w:val="Compact"/>
              <w:jc w:val="left"/>
            </w:pPr>
            <w:r>
              <w:rPr>
                <w:rFonts w:ascii="Times New Roman" w:hAnsi="Times New Roman"/>
                <w:sz w:val="16"/>
              </w:rPr>
              <w:t xml:space="preserve">session-level chronological 60/20/20</w:t>
            </w:r>
          </w:p>
        </w:tc>
        <w:tc>
          <w:tcPr/>
          <w:p>
            <w:pPr>
              <w:pStyle w:val="Compact"/>
              <w:jc w:val="left"/>
            </w:pPr>
            <w:r>
              <w:rPr>
                <w:rFonts w:ascii="Times New Roman" w:hAnsi="Times New Roman"/>
                <w:sz w:val="16"/>
              </w:rPr>
              <w:t xml:space="preserve">fault-stratified case split 60/20/20</w:t>
            </w:r>
          </w:p>
        </w:tc>
        <w:tc>
          <w:tcPr/>
          <w:p>
            <w:pPr>
              <w:pStyle w:val="Compact"/>
              <w:jc w:val="left"/>
            </w:pPr>
            <w:r>
              <w:rPr>
                <w:rFonts w:ascii="Times New Roman" w:hAnsi="Times New Roman"/>
                <w:sz w:val="16"/>
              </w:rPr>
              <w:t xml:space="preserve">chronological TRAIN/EVAL/CALIB</w:t>
            </w:r>
          </w:p>
        </w:tc>
      </w:tr>
      <w:tr>
        <w:tc>
          <w:tcPr/>
          <w:p>
            <w:pPr>
              <w:pStyle w:val="Compact"/>
              <w:jc w:val="left"/>
            </w:pPr>
            <w:r>
              <w:rPr>
                <w:rFonts w:ascii="Times New Roman" w:hAnsi="Times New Roman"/>
                <w:sz w:val="16"/>
              </w:rPr>
              <w:t xml:space="preserve">Window / target</w:t>
            </w:r>
          </w:p>
        </w:tc>
        <w:tc>
          <w:tcPr/>
          <w:p>
            <w:pPr>
              <w:pStyle w:val="Compact"/>
              <w:jc w:val="left"/>
            </w:pPr>
            <w:r>
              <w:rPr>
                <w:rFonts w:ascii="Times New Roman" w:hAnsi="Times New Roman"/>
                <w:sz w:val="16"/>
              </w:rPr>
              <w:t xml:space="preserve">3 s window, 5 s horizon</w:t>
            </w:r>
          </w:p>
        </w:tc>
        <w:tc>
          <w:tcPr/>
          <w:p>
            <w:pPr>
              <w:pStyle w:val="Compact"/>
              <w:jc w:val="left"/>
            </w:pPr>
            <w:r>
              <w:rPr>
                <w:rFonts w:ascii="Times New Roman" w:hAnsi="Times New Roman"/>
                <w:sz w:val="16"/>
              </w:rPr>
              <w:t xml:space="preserve">60 s window, detection</w:t>
            </w:r>
          </w:p>
        </w:tc>
        <w:tc>
          <w:tcPr/>
          <w:p>
            <w:pPr>
              <w:pStyle w:val="Compact"/>
              <w:jc w:val="left"/>
            </w:pPr>
            <w:r>
              <w:rPr>
                <w:rFonts w:ascii="Times New Roman" w:hAnsi="Times New Roman"/>
                <w:sz w:val="16"/>
              </w:rPr>
              <w:t xml:space="preserve">20 min window, 30 min horizon</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038494"/>
            <wp:effectExtent b="0" l="0" r="0" t="0"/>
            <wp:docPr descr="" title="" id="37" name="Picture"/>
            <a:graphic>
              <a:graphicData uri="http://schemas.openxmlformats.org/drawingml/2006/picture">
                <pic:pic>
                  <pic:nvPicPr>
                    <pic:cNvPr descr="figures/fig2_data_splits.png" id="38" name="Picture"/>
                    <pic:cNvPicPr>
                      <a:picLocks noChangeArrowheads="1" noChangeAspect="1"/>
                    </pic:cNvPicPr>
                  </pic:nvPicPr>
                  <pic:blipFill>
                    <a:blip r:embed="rId36"/>
                    <a:stretch>
                      <a:fillRect/>
                    </a:stretch>
                  </pic:blipFill>
                  <pic:spPr bwMode="auto">
                    <a:xfrm>
                      <a:off x="0" y="0"/>
                      <a:ext cx="6400800" cy="2038494"/>
                    </a:xfrm>
                    <a:prstGeom prst="rect">
                      <a:avLst/>
                    </a:prstGeom>
                    <a:noFill/>
                    <a:ln w="9525">
                      <a:noFill/>
                      <a:headEnd/>
                      <a:tailEnd/>
                    </a:ln>
                  </pic:spPr>
                </pic:pic>
              </a:graphicData>
            </a:graphic>
          </wp:inline>
        </w:drawing>
      </w:r>
    </w:p>
    <w:p>
      <w:pPr>
        <w:pStyle w:val="BodyText"/>
      </w:pPr>
      <w:r>
        <w:rPr>
          <w:iCs/>
          <w:i/>
        </w:rPr>
        <w:t xml:space="preserve">Figure 2. TRAIN / EVAL / CALIB window counts and positive rates across</w:t>
      </w:r>
      <w:r>
        <w:rPr>
          <w:iCs/>
          <w:i/>
        </w:rPr>
        <w:t xml:space="preserve"> </w:t>
      </w:r>
      <w:r>
        <w:rPr>
          <w:iCs/>
          <w:i/>
        </w:rPr>
        <w:t xml:space="preserve">all three datasets. This is not a conventional train/validation/test</w:t>
      </w:r>
      <w:r>
        <w:rPr>
          <w:iCs/>
          <w:i/>
        </w:rPr>
        <w:t xml:space="preserve"> </w:t>
      </w:r>
      <w:r>
        <w:rPr>
          <w:iCs/>
          <w:i/>
        </w:rPr>
        <w:t xml:space="preserve">split: there is no separate validation block because hyperparameters were</w:t>
      </w:r>
      <w:r>
        <w:rPr>
          <w:iCs/>
          <w:i/>
        </w:rPr>
        <w:t xml:space="preserve"> </w:t>
      </w:r>
      <w:r>
        <w:rPr>
          <w:iCs/>
          <w:i/>
        </w:rPr>
        <w:t xml:space="preserve">fixed by hand rather than tuned, EVAL plays the role of the final test</w:t>
      </w:r>
      <w:r>
        <w:rPr>
          <w:iCs/>
          <w:i/>
        </w:rPr>
        <w:t xml:space="preserve"> </w:t>
      </w:r>
      <w:r>
        <w:rPr>
          <w:iCs/>
          <w:i/>
        </w:rPr>
        <w:t xml:space="preserve">set, and CALIB is reserved exclusively for the conformal quantile and the</w:t>
      </w:r>
      <w:r>
        <w:rPr>
          <w:iCs/>
          <w:i/>
        </w:rPr>
        <w:t xml:space="preserve"> </w:t>
      </w:r>
      <w:r>
        <w:rPr>
          <w:iCs/>
          <w:i/>
        </w:rPr>
        <w:t xml:space="preserve">reliability diagram.</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bookmarkEnd w:id="39"/>
    <w:bookmarkStart w:id="40" w:name="b.-telecomts-session-reconstruction"/>
    <w:p>
      <w:pPr>
        <w:pStyle w:val="Heading2"/>
      </w:pPr>
      <w:r>
        <w:t xml:space="preserve">B. TelecomTS session reconstruction</w:t>
      </w:r>
    </w:p>
    <w:p>
      <w:pPr>
        <w:pStyle w:val="FirstParagraph"/>
      </w:pPr>
      <w:r>
        <w:t xml:space="preserve">TelecomTS ships as 128-sample windows at 10 Hz, but those windows are</w:t>
      </w:r>
      <w:r>
        <w:t xml:space="preserve"> </w:t>
      </w:r>
      <w:r>
        <w:t xml:space="preserve">sliding rather than independent: consecutive windows advance by a</w:t>
      </w:r>
      <w:r>
        <w:t xml:space="preserve"> </w:t>
      </w:r>
      <w:r>
        <w:t xml:space="preserve">32-sample (3.2 s) stride, so their overlapping regions are identical</w:t>
      </w:r>
      <w:r>
        <w:t xml:space="preserve"> </w:t>
      </w:r>
      <w:r>
        <w:t xml:space="preserve">across all 18 channels. Treating them as independent samples would leak</w:t>
      </w:r>
      <w:r>
        <w:t xml:space="preserve"> </w:t>
      </w:r>
      <w:r>
        <w:t xml:space="preserve">the evaluation block into the training block through the overlap. We</w:t>
      </w:r>
      <w:r>
        <w:t xml:space="preserve"> </w:t>
      </w:r>
      <w:r>
        <w:t xml:space="preserve">therefore reconstruct the continuous underlying series before splitting,</w:t>
      </w:r>
      <w:r>
        <w:t xml:space="preserve"> </w:t>
      </w:r>
      <w:r>
        <w:t xml:space="preserve">which is also what makes an early-warning target definable at all. The</w:t>
      </w:r>
      <w:r>
        <w:t xml:space="preserve"> </w:t>
      </w:r>
      <w:r>
        <w:t xml:space="preserve">overlap identity was verified rather than assumed: 285 window pairs were</w:t>
      </w:r>
      <w:r>
        <w:t xml:space="preserve"> </w:t>
      </w:r>
      <w:r>
        <w:t xml:space="preserve">checked on the anomaly shard with zero mismatches, and one shard rebuilds</w:t>
      </w:r>
      <w:r>
        <w:t xml:space="preserve"> </w:t>
      </w:r>
      <w:r>
        <w:t xml:space="preserve">to 99,680 timestamps (166.6 continuous minutes) with 7 holes totalling</w:t>
      </w:r>
      <w:r>
        <w:t xml:space="preserve"> </w:t>
      </w:r>
      <w:r>
        <w:t xml:space="preserve">28.8 s (0.288% of the timeline).</w:t>
      </w:r>
    </w:p>
    <w:p>
      <w:pPr>
        <w:pStyle w:val="BodyText"/>
      </w:pPr>
      <w:r>
        <w:t xml:space="preserve">Two of the 18 channels (</w:t>
      </w:r>
      <w:r>
        <w:rPr>
          <w:rStyle w:val="VerbatimChar"/>
        </w:rPr>
        <w:t xml:space="preserve">UL_Protocol</w:t>
      </w:r>
      <w:r>
        <w:t xml:space="preserve">,</w:t>
      </w:r>
      <w:r>
        <w:t xml:space="preserve"> </w:t>
      </w:r>
      <w:r>
        <w:rPr>
          <w:rStyle w:val="VerbatimChar"/>
        </w:rPr>
        <w:t xml:space="preserve">DL_Protocol</w:t>
      </w:r>
      <w:r>
        <w:t xml:space="preserve">) are categorical strings</w:t>
      </w:r>
      <w:r>
        <w:t xml:space="preserve"> </w:t>
      </w:r>
      <w:r>
        <w:t xml:space="preserve">and are label-encoded; the remaining 16 are numeric.</w:t>
      </w:r>
    </w:p>
    <w:bookmarkEnd w:id="40"/>
    <w:bookmarkStart w:id="41" w:name="c.-target-construction-and-features"/>
    <w:p>
      <w:pPr>
        <w:pStyle w:val="Heading2"/>
      </w:pPr>
      <w:r>
        <w:t xml:space="preserve">C. Target construction and features</w:t>
      </w:r>
    </w:p>
    <w:p>
      <w:pPr>
        <w:pStyle w:val="FirstParagraph"/>
      </w:pPr>
      <w:r>
        <w:t xml:space="preserve">We construct an early-warning target rather than a post-hoc detection</w:t>
      </w:r>
      <w:r>
        <w:t xml:space="preserve"> </w:t>
      </w:r>
      <w:r>
        <w:t xml:space="preserve">target, (2):</w:t>
      </w:r>
      <w:r>
        <w:t xml:space="preserve"> </w:t>
      </w:r>
      <m:oMath>
        <m:sSub>
          <m:e>
            <m:r>
              <m:t>y</m:t>
            </m:r>
          </m:e>
          <m:sub>
            <m:r>
              <m:t>t</m:t>
            </m:r>
          </m:sub>
        </m:sSub>
        <m:r>
          <m:rPr>
            <m:sty m:val="p"/>
          </m:rPr>
          <m:t>=</m:t>
        </m:r>
        <m:r>
          <m:t>1</m:t>
        </m:r>
      </m:oMath>
      <w:r>
        <w:t xml:space="preserve"> </w:t>
      </w:r>
      <w:r>
        <w:t xml:space="preserve">if a labeled anomaly occurs anywhere in</w:t>
      </w:r>
      <w:r>
        <w:t xml:space="preserve"> </w:t>
      </w:r>
      <m:oMath>
        <m:r>
          <m:rPr>
            <m:sty m:val="p"/>
          </m:rPr>
          <m:t>(</m:t>
        </m:r>
        <m:r>
          <m:t>t</m:t>
        </m:r>
        <m:r>
          <m:rPr>
            <m:sty m:val="p"/>
          </m:rPr>
          <m:t>,</m:t>
        </m:r>
        <m:r>
          <m:t> </m:t>
        </m:r>
        <m:r>
          <m:t>t</m:t>
        </m:r>
        <m:r>
          <m:rPr>
            <m:sty m:val="p"/>
          </m:rPr>
          <m:t>+</m:t>
        </m:r>
        <m:r>
          <m:t>H</m:t>
        </m:r>
        <m:r>
          <m:rPr>
            <m:sty m:val="p"/>
          </m:rPr>
          <m:t>]</m:t>
        </m:r>
      </m:oMath>
      <w:r>
        <w:t xml:space="preserve">,</w:t>
      </w:r>
      <w:r>
        <w:t xml:space="preserve"> </w:t>
      </w:r>
      <w:r>
        <w:t xml:space="preserve">using only data up to and including</w:t>
      </w:r>
      <w:r>
        <w:t xml:space="preserve"> </w:t>
      </w:r>
      <m:oMath>
        <m:r>
          <m:t>t</m:t>
        </m:r>
      </m:oMath>
      <w:r>
        <w:t xml:space="preserve">. Tabular features are the rolling mean,</w:t>
      </w:r>
      <w:r>
        <w:t xml:space="preserve"> </w:t>
      </w:r>
      <w:r>
        <w:t xml:space="preserve">standard deviation, and last value per KPI dimension over the window; the</w:t>
      </w:r>
      <w:r>
        <w:t xml:space="preserve"> </w:t>
      </w:r>
      <w:r>
        <w:t xml:space="preserve">sequence models additionally consume the raw window.</w:t>
      </w:r>
    </w:p>
    <w:p>
      <w:pPr>
        <w:pStyle w:val="BodyText"/>
      </w:pPr>
      <w:r>
        <w:t xml:space="preserve">The horizon is re-parameterized per domain rather than copied across</w:t>
      </w:r>
      <w:r>
        <w:t xml:space="preserve"> </w:t>
      </w:r>
      <w:r>
        <w:t xml:space="preserve">domains. SMD’s W = 20 min / H = 30 min are minutes on one-sample-per-minute</w:t>
      </w:r>
      <w:r>
        <w:t xml:space="preserve"> </w:t>
      </w:r>
      <w:r>
        <w:t xml:space="preserve">server telemetry; 5G radio degradation evolves on a seconds scale, so</w:t>
      </w:r>
      <w:r>
        <w:t xml:space="preserve"> </w:t>
      </w:r>
      <w:r>
        <w:t xml:space="preserve">TelecomTS uses W = 3 s / H = 5 s. Section VI.1 reports the horizon sweep</w:t>
      </w:r>
      <w:r>
        <w:t xml:space="preserve"> </w:t>
      </w:r>
      <w:r>
        <w:t xml:space="preserve">that justifies this choice empirically rather than by assertion.</w:t>
      </w:r>
    </w:p>
    <w:bookmarkEnd w:id="41"/>
    <w:bookmarkStart w:id="42" w:name="d.-data-splits"/>
    <w:p>
      <w:pPr>
        <w:pStyle w:val="Heading2"/>
      </w:pPr>
      <w:r>
        <w:t xml:space="preserve">D. Data splits</w:t>
      </w:r>
    </w:p>
    <w:p>
      <w:pPr>
        <w:pStyle w:val="FirstParagraph"/>
      </w:pPr>
      <w:r>
        <w:t xml:space="preserve">Each leg is split so that no window in the evaluation block shares source</w:t>
      </w:r>
      <w:r>
        <w:t xml:space="preserve"> </w:t>
      </w:r>
      <w:r>
        <w:t xml:space="preserve">samples with the fitting block.</w:t>
      </w:r>
    </w:p>
    <w:p>
      <w:pPr>
        <w:pStyle w:val="BodyText"/>
      </w:pPr>
      <w:r>
        <w:rPr>
          <w:iCs/>
          <w:i/>
        </w:rPr>
        <w:t xml:space="preserve">TelecomTS</w:t>
      </w:r>
      <w:r>
        <w:t xml:space="preserve"> </w:t>
      </w:r>
      <w:r>
        <w:t xml:space="preserve">is split at session level, chronologically, 60/20/20; the</w:t>
      </w:r>
      <w:r>
        <w:t xml:space="preserve"> </w:t>
      </w:r>
      <w:r>
        <w:t xml:space="preserve">held-out EVAL block contains 33 sessions and 26 anomaly segments at a</w:t>
      </w:r>
      <w:r>
        <w:t xml:space="preserve"> </w:t>
      </w:r>
      <w:r>
        <w:t xml:space="preserve">0.167 positive base rate.</w:t>
      </w:r>
    </w:p>
    <w:p>
      <w:pPr>
        <w:pStyle w:val="BodyText"/>
      </w:pPr>
      <w:r>
        <w:rPr>
          <w:iCs/>
          <w:i/>
        </w:rPr>
        <w:t xml:space="preserve">RCAEval</w:t>
      </w:r>
      <w:r>
        <w:t xml:space="preserve"> </w:t>
      </w:r>
      <w:r>
        <w:t xml:space="preserve">is split by case,</w:t>
      </w:r>
      <w:r>
        <w:t xml:space="preserve"> </w:t>
      </w:r>
      <w:r>
        <w:rPr>
          <w:bCs/>
          <w:b/>
        </w:rPr>
        <w:t xml:space="preserve">stratified by fault type</w:t>
      </w:r>
      <w:r>
        <w:t xml:space="preserve">. An initial</w:t>
      </w:r>
      <w:r>
        <w:t xml:space="preserve"> </w:t>
      </w:r>
      <w:r>
        <w:t xml:space="preserve">chronological split by injection time was found to segregate fault types</w:t>
      </w:r>
      <w:r>
        <w:t xml:space="preserve"> </w:t>
      </w:r>
      <w:r>
        <w:t xml:space="preserve">perfectly — TRAIN received all CPU and memory cases, EVAL all packet-loss,</w:t>
      </w:r>
      <w:r>
        <w:t xml:space="preserve"> </w:t>
      </w:r>
      <w:r>
        <w:t xml:space="preserve">CALIB all disk — which is a confounded split rather than a hard one.</w:t>
      </w:r>
      <w:r>
        <w:t xml:space="preserve"> </w:t>
      </w:r>
      <w:r>
        <w:t xml:space="preserve">Section VI.1 reports what that error produced and why the corrected split</w:t>
      </w:r>
      <w:r>
        <w:t xml:space="preserve"> </w:t>
      </w:r>
      <w:r>
        <w:t xml:space="preserve">still does not rescue early warning on this leg. After stratification the</w:t>
      </w:r>
      <w:r>
        <w:t xml:space="preserve"> </w:t>
      </w:r>
      <w:r>
        <w:t xml:space="preserve">per-block positive rates are 0.513 / 0.499 / 0.513, and EVAL holds 25</w:t>
      </w:r>
      <w:r>
        <w:t xml:space="preserve"> </w:t>
      </w:r>
      <w:r>
        <w:t xml:space="preserve">cases spanning all five fault types at a 0.498 base rate.</w:t>
      </w:r>
    </w:p>
    <w:p>
      <w:pPr>
        <w:pStyle w:val="BodyText"/>
      </w:pPr>
      <w:r>
        <w:rPr>
          <w:iCs/>
          <w:i/>
        </w:rPr>
        <w:t xml:space="preserve">SMD</w:t>
      </w:r>
      <w:r>
        <w:t xml:space="preserve">’s eight ground-truth segments are not spread evenly across the</w:t>
      </w:r>
      <w:r>
        <w:t xml:space="preserve"> </w:t>
      </w:r>
      <w:r>
        <w:t xml:space="preserve">28,479-step timeline: segments 1-5 fall in [15849, 21195], segments 6-8</w:t>
      </w:r>
      <w:r>
        <w:t xml:space="preserve"> </w:t>
      </w:r>
      <w:r>
        <w:t xml:space="preserve">in [24679, 27556], and [0, 15849) is anomaly-free. A naive 50/20/30</w:t>
      </w:r>
      <w:r>
        <w:t xml:space="preserve"> </w:t>
      </w:r>
      <w:r>
        <w:t xml:space="preserve">chronological split would leave the earliest block with zero positive</w:t>
      </w:r>
      <w:r>
        <w:t xml:space="preserve"> </w:t>
      </w:r>
      <w:r>
        <w:t xml:space="preserve">examples. We instead cut at two points inside anomaly-free gaps so that</w:t>
      </w:r>
      <w:r>
        <w:t xml:space="preserve"> </w:t>
      </w:r>
      <w:r>
        <w:t xml:space="preserve">each of three disjoint chronological blocks contains at least one full</w:t>
      </w:r>
      <w:r>
        <w:t xml:space="preserve"> </w:t>
      </w:r>
      <w:r>
        <w:t xml:space="preserve">ground-truth segment: TRAIN (segments 1-3), EVAL (segments 4-5; held out</w:t>
      </w:r>
      <w:r>
        <w:t xml:space="preserve"> </w:t>
      </w:r>
      <w:r>
        <w:t xml:space="preserve">for every reported detection metric), and CALIB (segments 6-8; used only</w:t>
      </w:r>
      <w:r>
        <w:t xml:space="preserve"> </w:t>
      </w:r>
      <w:r>
        <w:t xml:space="preserve">to fit the conformal threshold and reliability diagram). The original</w:t>
      </w:r>
      <w:r>
        <w:t xml:space="preserve"> </w:t>
      </w:r>
      <w:r>
        <w:t xml:space="preserve">anomaly-free train file is added as extra normal background for model</w:t>
      </w:r>
      <w:r>
        <w:t xml:space="preserve"> </w:t>
      </w:r>
      <w:r>
        <w:t xml:space="preserve">fitting only.</w:t>
      </w:r>
    </w:p>
    <w:p>
      <w:pPr>
        <w:pStyle w:val="BodyText"/>
      </w:pPr>
      <w:r>
        <w:rPr>
          <w:bCs/>
          <w:b/>
        </w:rPr>
        <w:t xml:space="preserve">Table 3. SMD split summary.</w:t>
      </w:r>
    </w:p>
    <w:tbl>
      <w:tblPr>
        <w:tblStyle w:val="Table"/>
        <w:tblLook w:firstRow="1" w:lastRow="0" w:firstColumn="0" w:lastColumn="0" w:noHBand="0" w:noVBand="0" w:val="0020"/>
        <w:jc w:val="start"/>
        <w:tblLayout w:type="autofit"/>
        <w:tblW w:type="pct" w:w="5000"/>
      </w:tblPr>
      <w:tblGrid>
        <w:gridCol w:w="1980"/>
        <w:gridCol w:w="1980"/>
        <w:gridCol w:w="1980"/>
        <w:gridCol w:w="1980"/>
      </w:tblGrid>
      <w:tr>
        <w:trPr>
          <w:tblHeader w:val="true"/>
        </w:trPr>
        <w:tc>
          <w:tcPr/>
          <w:p>
            <w:pPr>
              <w:pStyle w:val="Compact"/>
              <w:jc w:val="left"/>
            </w:pPr>
            <w:r>
              <w:rPr>
                <w:bCs/>
                <w:rFonts w:ascii="Times New Roman" w:hAnsi="Times New Roman"/>
                <w:b/>
                <w:sz w:val="16"/>
              </w:rPr>
              <w:t xml:space="preserve">Block</w:t>
            </w:r>
          </w:p>
        </w:tc>
        <w:tc>
          <w:tcPr/>
          <w:p>
            <w:pPr>
              <w:pStyle w:val="Compact"/>
              <w:jc w:val="left"/>
            </w:pPr>
            <w:r>
              <w:rPr>
                <w:bCs/>
                <w:rFonts w:ascii="Times New Roman" w:hAnsi="Times New Roman"/>
                <w:b/>
                <w:sz w:val="16"/>
              </w:rPr>
              <w:t xml:space="preserve">Role</w:t>
            </w:r>
          </w:p>
        </w:tc>
        <w:tc>
          <w:tcPr/>
          <w:p>
            <w:pPr>
              <w:pStyle w:val="Compact"/>
              <w:jc w:val="left"/>
            </w:pPr>
            <w:r>
              <w:rPr>
                <w:bCs/>
                <w:rFonts w:ascii="Times New Roman" w:hAnsi="Times New Roman"/>
                <w:b/>
                <w:sz w:val="16"/>
              </w:rPr>
              <w:t xml:space="preserve">Windows</w:t>
            </w:r>
          </w:p>
        </w:tc>
        <w:tc>
          <w:tcPr/>
          <w:p>
            <w:pPr>
              <w:pStyle w:val="Compact"/>
              <w:jc w:val="left"/>
            </w:pPr>
            <w:r>
              <w:rPr>
                <w:bCs/>
                <w:rFonts w:ascii="Times New Roman" w:hAnsi="Times New Roman"/>
                <w:b/>
                <w:sz w:val="16"/>
              </w:rPr>
              <w:t xml:space="preserve">Positive rate</w:t>
            </w:r>
          </w:p>
        </w:tc>
      </w:tr>
      <w:tr>
        <w:tc>
          <w:tcPr/>
          <w:p>
            <w:pPr>
              <w:pStyle w:val="Compact"/>
              <w:jc w:val="left"/>
            </w:pPr>
            <w:r>
              <w:rPr>
                <w:rFonts w:ascii="Times New Roman" w:hAnsi="Times New Roman"/>
                <w:sz w:val="16"/>
              </w:rPr>
              <w:t xml:space="preserve">TRAIN (+ background)</w:t>
            </w:r>
          </w:p>
        </w:tc>
        <w:tc>
          <w:tcPr/>
          <w:p>
            <w:pPr>
              <w:pStyle w:val="Compact"/>
              <w:jc w:val="left"/>
            </w:pPr>
            <w:r>
              <w:rPr>
                <w:rFonts w:ascii="Times New Roman" w:hAnsi="Times New Roman"/>
                <w:sz w:val="16"/>
              </w:rPr>
              <w:t xml:space="preserve">Model fitting</w:t>
            </w:r>
          </w:p>
        </w:tc>
        <w:tc>
          <w:tcPr/>
          <w:p>
            <w:pPr>
              <w:pStyle w:val="Compact"/>
              <w:jc w:val="left"/>
            </w:pPr>
            <w:r>
              <w:rPr>
                <w:rFonts w:ascii="Times New Roman" w:hAnsi="Times New Roman"/>
                <w:sz w:val="16"/>
              </w:rPr>
              <w:t xml:space="preserve">24,751</w:t>
            </w:r>
          </w:p>
        </w:tc>
        <w:tc>
          <w:tcPr/>
          <w:p>
            <w:pPr>
              <w:pStyle w:val="Compact"/>
              <w:jc w:val="left"/>
            </w:pPr>
            <w:r>
              <w:rPr>
                <w:rFonts w:ascii="Times New Roman" w:hAnsi="Times New Roman"/>
                <w:sz w:val="16"/>
              </w:rPr>
              <w:t xml:space="preserve">6.6%</w:t>
            </w:r>
          </w:p>
        </w:tc>
      </w:tr>
      <w:tr>
        <w:tc>
          <w:tcPr/>
          <w:p>
            <w:pPr>
              <w:pStyle w:val="Compact"/>
              <w:jc w:val="left"/>
            </w:pPr>
            <w:r>
              <w:rPr>
                <w:rFonts w:ascii="Times New Roman" w:hAnsi="Times New Roman"/>
                <w:sz w:val="16"/>
              </w:rPr>
              <w:t xml:space="preserve">EVAL</w:t>
            </w:r>
          </w:p>
        </w:tc>
        <w:tc>
          <w:tcPr/>
          <w:p>
            <w:pPr>
              <w:pStyle w:val="Compact"/>
              <w:jc w:val="left"/>
            </w:pPr>
            <w:r>
              <w:rPr>
                <w:rFonts w:ascii="Times New Roman" w:hAnsi="Times New Roman"/>
                <w:sz w:val="16"/>
              </w:rPr>
              <w:t xml:space="preserve">All reported detection metrics</w:t>
            </w:r>
          </w:p>
        </w:tc>
        <w:tc>
          <w:tcPr/>
          <w:p>
            <w:pPr>
              <w:pStyle w:val="Compact"/>
              <w:jc w:val="left"/>
            </w:pPr>
            <w:r>
              <w:rPr>
                <w:rFonts w:ascii="Times New Roman" w:hAnsi="Times New Roman"/>
                <w:sz w:val="16"/>
              </w:rPr>
              <w:t xml:space="preserve">4,151</w:t>
            </w:r>
          </w:p>
        </w:tc>
        <w:tc>
          <w:tcPr/>
          <w:p>
            <w:pPr>
              <w:pStyle w:val="Compact"/>
              <w:jc w:val="left"/>
            </w:pPr>
            <w:r>
              <w:rPr>
                <w:rFonts w:ascii="Times New Roman" w:hAnsi="Times New Roman"/>
                <w:sz w:val="16"/>
              </w:rPr>
              <w:t xml:space="preserve">28.6%</w:t>
            </w:r>
          </w:p>
        </w:tc>
      </w:tr>
      <w:tr>
        <w:tc>
          <w:tcPr/>
          <w:p>
            <w:pPr>
              <w:pStyle w:val="Compact"/>
              <w:jc w:val="left"/>
            </w:pPr>
            <w:r>
              <w:rPr>
                <w:rFonts w:ascii="Times New Roman" w:hAnsi="Times New Roman"/>
                <w:sz w:val="16"/>
              </w:rPr>
              <w:t xml:space="preserve">CALIB</w:t>
            </w:r>
          </w:p>
        </w:tc>
        <w:tc>
          <w:tcPr/>
          <w:p>
            <w:pPr>
              <w:pStyle w:val="Compact"/>
              <w:jc w:val="left"/>
            </w:pPr>
            <w:r>
              <w:rPr>
                <w:rFonts w:ascii="Times New Roman" w:hAnsi="Times New Roman"/>
                <w:sz w:val="16"/>
              </w:rPr>
              <w:t xml:space="preserve">Conformal threshold + ECE only</w:t>
            </w:r>
          </w:p>
        </w:tc>
        <w:tc>
          <w:tcPr/>
          <w:p>
            <w:pPr>
              <w:pStyle w:val="Compact"/>
              <w:jc w:val="left"/>
            </w:pPr>
            <w:r>
              <w:rPr>
                <w:rFonts w:ascii="Times New Roman" w:hAnsi="Times New Roman"/>
                <w:sz w:val="16"/>
              </w:rPr>
              <w:t xml:space="preserve">5,430</w:t>
            </w:r>
          </w:p>
        </w:tc>
        <w:tc>
          <w:tcPr/>
          <w:p>
            <w:pPr>
              <w:pStyle w:val="Compact"/>
              <w:jc w:val="left"/>
            </w:pPr>
            <w:r>
              <w:rPr>
                <w:rFonts w:ascii="Times New Roman" w:hAnsi="Times New Roman"/>
                <w:sz w:val="16"/>
              </w:rPr>
              <w:t xml:space="preserve">1.7%</w:t>
            </w:r>
          </w:p>
        </w:tc>
      </w:tr>
    </w:tbl>
    <w:bookmarkEnd w:id="42"/>
    <w:bookmarkStart w:id="43" w:name="e.-models-and-hyperparameters"/>
    <w:p>
      <w:pPr>
        <w:pStyle w:val="Heading2"/>
      </w:pPr>
      <w:r>
        <w:t xml:space="preserve">E. Models and hyperparameters</w:t>
      </w:r>
    </w:p>
    <w:p>
      <w:pPr>
        <w:pStyle w:val="FirstParagraph"/>
      </w:pPr>
      <w:r>
        <w:t xml:space="preserve">The model hierarchy is identical across legs: 11 base models spanning 8</w:t>
      </w:r>
      <w:r>
        <w:t xml:space="preserve"> </w:t>
      </w:r>
      <w:r>
        <w:t xml:space="preserve">families, plus 6 ensembles (5 deep ensembles at M = 5 members and one</w:t>
      </w:r>
      <w:r>
        <w:t xml:space="preserve"> </w:t>
      </w:r>
      <w:r>
        <w:t xml:space="preserve">cross-family soft vote). Base models are a dummy prior, Logistic</w:t>
      </w:r>
      <w:r>
        <w:t xml:space="preserve"> </w:t>
      </w:r>
      <w:r>
        <w:t xml:space="preserve">Regression, Random Forest, Extra Trees, XGBoost, LightGBM, an MLP, a 1D</w:t>
      </w:r>
      <w:r>
        <w:t xml:space="preserve"> </w:t>
      </w:r>
      <w:r>
        <w:t xml:space="preserve">ResNet, LSTM, GRU, and a Transformer encoder.</w:t>
      </w:r>
    </w:p>
    <w:p>
      <w:pPr>
        <w:pStyle w:val="BodyText"/>
      </w:pPr>
      <w:r>
        <w:t xml:space="preserve">LightGBM: 300 trees, max depth 5, learning rate 0.05, and</w:t>
      </w:r>
      <w:r>
        <w:t xml:space="preserve"> </w:t>
      </w:r>
      <w:r>
        <w:rPr>
          <w:rStyle w:val="VerbatimChar"/>
        </w:rPr>
        <w:t xml:space="preserve">scale_pos_weight</w:t>
      </w:r>
      <w:r>
        <w:t xml:space="preserve"> </w:t>
      </w:r>
      <w:r>
        <w:t xml:space="preserve">set to the train-set negative/positive ratio. Transformer: input projection to</w:t>
      </w:r>
      <w:r>
        <w:t xml:space="preserve"> </w:t>
      </w:r>
      <m:oMath>
        <m:sSub>
          <m:e>
            <m:r>
              <m:t>d</m:t>
            </m:r>
          </m:e>
          <m:sub>
            <m:r>
              <m:rPr>
                <m:nor/>
                <m:sty m:val="p"/>
              </m:rPr>
              <m:t>model</m:t>
            </m:r>
          </m:sub>
        </m:sSub>
        <m:r>
          <m:rPr>
            <m:sty m:val="p"/>
          </m:rPr>
          <m:t>=</m:t>
        </m:r>
        <m:r>
          <m:t>32</m:t>
        </m:r>
      </m:oMath>
      <w:r>
        <w:t xml:space="preserve">, learned positional embedding, 2 encoder layers (4 attention</w:t>
      </w:r>
      <w:r>
        <w:t xml:space="preserve"> </w:t>
      </w:r>
      <w:r>
        <w:t xml:space="preserve">heads, feed-forward dimension 64, dropout 0.1), mean-pooling over time, a</w:t>
      </w:r>
      <w:r>
        <w:t xml:space="preserve"> </w:t>
      </w:r>
      <w:r>
        <w:t xml:space="preserve">2-layer classification head; trained with Adam (lr = 1e-3), weighted binary</w:t>
      </w:r>
      <w:r>
        <w:t xml:space="preserve"> </w:t>
      </w:r>
      <w:r>
        <w:t xml:space="preserve">cross-entropy, batch size 256, 6 epochs. Granger causality: SSR F-test,</w:t>
      </w:r>
      <w:r>
        <w:t xml:space="preserve"> </w:t>
      </w:r>
      <w:r>
        <w:t xml:space="preserve">lags 1-5, statsmodels implementation, with Benjamini-Hochberg FDR control</w:t>
      </w:r>
      <w:r>
        <w:t xml:space="preserve"> </w:t>
      </w:r>
      <w:r>
        <w:t xml:space="preserve">across the tested dimensions. Split-conformal: least-ambiguous-set</w:t>
      </w:r>
      <w:r>
        <w:t xml:space="preserve"> </w:t>
      </w:r>
      <w:r>
        <w:t xml:space="preserve">classifier (LAC) [4], target coverage 90% (</w:t>
      </w:r>
      <m:oMath>
        <m:r>
          <m:t>α</m:t>
        </m:r>
        <m:r>
          <m:rPr>
            <m:sty m:val="p"/>
          </m:rPr>
          <m:t>=</m:t>
        </m:r>
        <m:r>
          <m:t>0.10</m:t>
        </m:r>
      </m:oMath>
      <w:r>
        <w:t xml:space="preserve">), calibrated on</w:t>
      </w:r>
      <w:r>
        <w:t xml:space="preserve"> </w:t>
      </w:r>
      <w:r>
        <w:t xml:space="preserve">the CALIB block. Personalized PageRank: networkx implementation on a</w:t>
      </w:r>
      <w:r>
        <w:t xml:space="preserve"> </w:t>
      </w:r>
      <w:r>
        <w:t xml:space="preserve">reversed, hand-specified illustrative topology graph (Section VI.8), not fit</w:t>
      </w:r>
      <w:r>
        <w:t xml:space="preserve"> </w:t>
      </w:r>
      <w:r>
        <w:t xml:space="preserve">to SMD, which has no topology.</w:t>
      </w:r>
    </w:p>
    <w:p>
      <w:pPr>
        <w:pStyle w:val="BodyText"/>
      </w:pPr>
      <w:r>
        <w:t xml:space="preserve">Hyperparameters were fixed by hand from the SMD leg and reused verbatim on</w:t>
      </w:r>
      <w:r>
        <w:t xml:space="preserve"> </w:t>
      </w:r>
      <w:r>
        <w:t xml:space="preserve">TelecomTS and RCAEval. This is deliberate — it keeps the three legs</w:t>
      </w:r>
      <w:r>
        <w:t xml:space="preserve"> </w:t>
      </w:r>
      <w:r>
        <w:t xml:space="preserve">comparable — but it means no leg is tuned, and the reported numbers are</w:t>
      </w:r>
      <w:r>
        <w:t xml:space="preserve"> </w:t>
      </w:r>
      <w:r>
        <w:t xml:space="preserve">therefore untuned-baseline numbers rather than best-achievable ones.</w:t>
      </w:r>
    </w:p>
    <w:bookmarkEnd w:id="43"/>
    <w:bookmarkStart w:id="44" w:name="f.-metrics"/>
    <w:p>
      <w:pPr>
        <w:pStyle w:val="Heading2"/>
      </w:pPr>
      <w:r>
        <w:t xml:space="preserve">F. Metrics</w:t>
      </w:r>
    </w:p>
    <w:p>
      <w:pPr>
        <w:pStyle w:val="FirstParagraph"/>
      </w:pPr>
      <w:r>
        <w:t xml:space="preserve">Prediction: AUROC, AUPRC, and Expected Calibration Error (ECE, 10</w:t>
      </w:r>
      <w:r>
        <w:t xml:space="preserve"> </w:t>
      </w:r>
      <w:r>
        <w:t xml:space="preserve">equal-width bins) on the held-out EVAL block, with AUPRC read against each</w:t>
      </w:r>
      <w:r>
        <w:t xml:space="preserve"> </w:t>
      </w:r>
      <w:r>
        <w:t xml:space="preserve">leg’s base rate since the base rates differ by a factor of three across</w:t>
      </w:r>
      <w:r>
        <w:t xml:space="preserve"> </w:t>
      </w:r>
      <w:r>
        <w:t xml:space="preserve">legs. Attribution: precision@k and recall@k of the top-k SHAP-ranked KPI</w:t>
      </w:r>
      <w:r>
        <w:t xml:space="preserve"> </w:t>
      </w:r>
      <w:r>
        <w:t xml:space="preserve">dimensions against the ground-truth label set, compared to the chance level</w:t>
      </w:r>
      <w:r>
        <w:t xml:space="preserve"> </w:t>
      </w:r>
      <m:oMath>
        <m:r>
          <m:t>k</m:t>
        </m:r>
        <m:r>
          <m:rPr>
            <m:sty m:val="p"/>
          </m:rPr>
          <m:t>/</m:t>
        </m:r>
        <m:r>
          <m:t>d</m:t>
        </m:r>
      </m:oMath>
      <w:r>
        <w:t xml:space="preserve">. Causal filtering: Granger SSR F-test p-value (minimum across lags</w:t>
      </w:r>
      <w:r>
        <w:t xml:space="preserve"> </w:t>
      </w:r>
      <m:oMath>
        <m:r>
          <m:t>1</m:t>
        </m:r>
      </m:oMath>
      <w:r>
        <w:t xml:space="preserve"> </w:t>
      </w:r>
      <w:r>
        <w:t xml:space="preserve">to</w:t>
      </w:r>
      <w:r>
        <w:t xml:space="preserve"> </w:t>
      </w:r>
      <m:oMath>
        <m:r>
          <m:t>5</m:t>
        </m:r>
      </m:oMath>
      <w:r>
        <w:t xml:space="preserve">,</w:t>
      </w:r>
      <w:r>
        <w:t xml:space="preserve"> </w:t>
      </w:r>
      <w:r>
        <w:t xml:space="preserve">BH-FDR corrected) and Pearson correlation, reported side by side.</w:t>
      </w:r>
      <w:r>
        <w:t xml:space="preserve"> </w:t>
      </w:r>
      <w:r>
        <w:t xml:space="preserve">Calibration: empirical coverage of the conformal prediction set against the</w:t>
      </w:r>
      <w:r>
        <w:t xml:space="preserve"> </w:t>
      </w:r>
      <w:r>
        <w:t xml:space="preserve">90% target. Explanation quality: deletion-test faithfulness margin and</w:t>
      </w:r>
      <w:r>
        <w:t xml:space="preserve"> </w:t>
      </w:r>
      <w:r>
        <w:t xml:space="preserve">Spearman rank stability under input perturbation, both defined in Section</w:t>
      </w:r>
      <w:r>
        <w:t xml:space="preserve"> </w:t>
      </w:r>
      <w:r>
        <w:t xml:space="preserve">6.5. Early-warning usefulness: lead time, the gap between the first</w:t>
      </w:r>
      <w:r>
        <w:t xml:space="preserve"> </w:t>
      </w:r>
      <w:r>
        <w:t xml:space="preserve">sustained (&gt;= 2 consecutive steps) crossing of a 0.5 risk threshold and the</w:t>
      </w:r>
      <w:r>
        <w:t xml:space="preserve"> </w:t>
      </w:r>
      <w:r>
        <w:t xml:space="preserve">official onset of each ground-truth segment.</w:t>
      </w:r>
    </w:p>
    <w:bookmarkEnd w:id="44"/>
    <w:bookmarkEnd w:id="45"/>
    <w:bookmarkStart w:id="84" w:name="vi.-results"/>
    <w:p>
      <w:pPr>
        <w:pStyle w:val="Heading1"/>
      </w:pPr>
      <w:r>
        <w:t xml:space="preserve">VI. Results</w:t>
      </w:r>
    </w:p>
    <w:bookmarkStart w:id="61" w:name="X8095c93becc2d8a3f3ff86ea63f8c2904bef2f7"/>
    <w:p>
      <w:pPr>
        <w:pStyle w:val="Heading2"/>
      </w:pPr>
      <w:r>
        <w:t xml:space="preserve">A. Component 1 — Early warning across three domains</w:t>
      </w:r>
    </w:p>
    <w:p>
      <w:pPr>
        <w:pStyle w:val="FirstParagraph"/>
      </w:pPr>
      <w:r>
        <w:t xml:space="preserve">Table 4 reports the full model hierarchy on the TelecomTS EVAL block at a</w:t>
      </w:r>
      <w:r>
        <w:t xml:space="preserve"> </w:t>
      </w:r>
      <w:r>
        <w:t xml:space="preserve">5 s horizon. This is the discriminative leg: a 0.160 AUPRC spread</w:t>
      </w:r>
      <w:r>
        <w:t xml:space="preserve"> </w:t>
      </w:r>
      <w:r>
        <w:t xml:space="preserve">separates the best model from the worst non-trivial one.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4. TelecomTS early warning, 5 s ahead (33 EVAL sessions, 26</w:t>
      </w:r>
      <w:r>
        <w:rPr>
          <w:bCs/>
          <w:b/>
        </w:rPr>
        <w:t xml:space="preserve"> </w:t>
      </w:r>
      <w:r>
        <w:rPr>
          <w:bCs/>
          <w:b/>
        </w:rPr>
        <w:t xml:space="preserve">segments, base rate 0.167).</w:t>
      </w:r>
    </w:p>
    <w:tbl>
      <w:tblPr>
        <w:tblStyle w:val="Table"/>
        <w:tblLook w:firstRow="1" w:lastRow="0" w:firstColumn="0" w:lastColumn="0" w:noHBand="0" w:noVBand="0" w:val="0020"/>
        <w:jc w:val="start"/>
        <w:tblLayout w:type="autofit"/>
        <w:tblW w:type="pct" w:w="5000"/>
      </w:tblPr>
      <w:tblGrid>
        <w:gridCol w:w="1131"/>
        <w:gridCol w:w="1131"/>
        <w:gridCol w:w="1131"/>
        <w:gridCol w:w="1131"/>
        <w:gridCol w:w="1131"/>
        <w:gridCol w:w="1131"/>
        <w:gridCol w:w="1131"/>
      </w:tblGrid>
      <w:tr>
        <w:trPr>
          <w:tblHeader w:val="true"/>
        </w:trPr>
        <w:tc>
          <w:tcPr/>
          <w:p>
            <w:pPr>
              <w:pStyle w:val="Compact"/>
              <w:jc w:val="left"/>
            </w:pPr>
            <w:r>
              <w:rPr>
                <w:bCs/>
                <w:rFonts w:ascii="Times New Roman" w:hAnsi="Times New Roman"/>
                <w:b/>
                <w:sz w:val="16"/>
              </w:rPr>
              <w:t xml:space="preserve">Model</w:t>
            </w:r>
          </w:p>
        </w:tc>
        <w:tc>
          <w:tcPr/>
          <w:p>
            <w:pPr>
              <w:pStyle w:val="Compact"/>
              <w:jc w:val="left"/>
            </w:pPr>
            <w:r>
              <w:rPr>
                <w:bCs/>
                <w:rFonts w:ascii="Times New Roman" w:hAnsi="Times New Roman"/>
                <w:b/>
                <w:sz w:val="16"/>
              </w:rPr>
              <w:t xml:space="preserve">Family</w:t>
            </w:r>
          </w:p>
        </w:tc>
        <w:tc>
          <w:tcPr/>
          <w:p>
            <w:pPr>
              <w:pStyle w:val="Compact"/>
              <w:jc w:val="left"/>
            </w:pPr>
            <w:r>
              <w:rPr>
                <w:bCs/>
                <w:rFonts w:ascii="Times New Roman" w:hAnsi="Times New Roman"/>
                <w:b/>
                <w:sz w:val="16"/>
              </w:rPr>
              <w:t xml:space="preserve">AUROC</w:t>
            </w:r>
          </w:p>
        </w:tc>
        <w:tc>
          <w:tcPr/>
          <w:p>
            <w:pPr>
              <w:pStyle w:val="Compact"/>
              <w:jc w:val="left"/>
            </w:pPr>
            <w:r>
              <w:rPr>
                <w:bCs/>
                <w:rFonts w:ascii="Times New Roman" w:hAnsi="Times New Roman"/>
                <w:b/>
                <w:sz w:val="16"/>
              </w:rPr>
              <w:t xml:space="preserve">AUPRC</w:t>
            </w:r>
          </w:p>
        </w:tc>
        <w:tc>
          <w:tcPr/>
          <w:p>
            <w:pPr>
              <w:pStyle w:val="Compact"/>
              <w:jc w:val="left"/>
            </w:pPr>
            <w:r>
              <w:rPr>
                <w:bCs/>
                <w:rFonts w:ascii="Times New Roman" w:hAnsi="Times New Roman"/>
                <w:b/>
                <w:sz w:val="16"/>
              </w:rPr>
              <w:t xml:space="preserve">ECE</w:t>
            </w:r>
          </w:p>
        </w:tc>
        <w:tc>
          <w:tcPr/>
          <w:p>
            <w:pPr>
              <w:pStyle w:val="Compact"/>
              <w:jc w:val="left"/>
            </w:pPr>
            <w:r>
              <w:rPr>
                <w:bCs/>
                <w:rFonts w:ascii="Times New Roman" w:hAnsi="Times New Roman"/>
                <w:b/>
                <w:sz w:val="16"/>
              </w:rPr>
              <w:t xml:space="preserve">F1</w:t>
            </w:r>
          </w:p>
        </w:tc>
        <w:tc>
          <w:tcPr/>
          <w:p>
            <w:pPr>
              <w:pStyle w:val="Compact"/>
              <w:jc w:val="left"/>
            </w:pPr>
            <w:r>
              <w:rPr>
                <w:bCs/>
                <w:rFonts w:ascii="Times New Roman" w:hAnsi="Times New Roman"/>
                <w:b/>
                <w:sz w:val="16"/>
              </w:rPr>
              <w:t xml:space="preserve">Fit (s)</w:t>
            </w:r>
          </w:p>
        </w:tc>
      </w:tr>
      <w:tr>
        <w:tc>
          <w:tcPr/>
          <w:p>
            <w:pPr>
              <w:pStyle w:val="Compact"/>
              <w:jc w:val="left"/>
            </w:pPr>
            <w:r>
              <w:rPr>
                <w:bCs/>
                <w:rFonts w:ascii="Times New Roman" w:hAnsi="Times New Roman"/>
                <w:b/>
                <w:sz w:val="16"/>
              </w:rPr>
              <w:t xml:space="preserve">XGBoost</w:t>
            </w:r>
          </w:p>
        </w:tc>
        <w:tc>
          <w:tcPr/>
          <w:p>
            <w:pPr>
              <w:pStyle w:val="Compact"/>
              <w:jc w:val="left"/>
            </w:pPr>
            <w:r>
              <w:rPr>
                <w:rFonts w:ascii="Times New Roman" w:hAnsi="Times New Roman"/>
                <w:sz w:val="16"/>
              </w:rPr>
              <w:t xml:space="preserve">Boosted tree</w:t>
            </w:r>
          </w:p>
        </w:tc>
        <w:tc>
          <w:tcPr/>
          <w:p>
            <w:pPr>
              <w:pStyle w:val="Compact"/>
              <w:jc w:val="left"/>
            </w:pPr>
            <w:r>
              <w:rPr>
                <w:bCs/>
                <w:rFonts w:ascii="Times New Roman" w:hAnsi="Times New Roman"/>
                <w:b/>
                <w:sz w:val="16"/>
              </w:rPr>
              <w:t xml:space="preserve">0.920</w:t>
            </w:r>
          </w:p>
        </w:tc>
        <w:tc>
          <w:tcPr/>
          <w:p>
            <w:pPr>
              <w:pStyle w:val="Compact"/>
              <w:jc w:val="left"/>
            </w:pPr>
            <w:r>
              <w:rPr>
                <w:bCs/>
                <w:rFonts w:ascii="Times New Roman" w:hAnsi="Times New Roman"/>
                <w:b/>
                <w:sz w:val="16"/>
              </w:rPr>
              <w:t xml:space="preserve">0.794</w:t>
            </w:r>
          </w:p>
        </w:tc>
        <w:tc>
          <w:tcPr/>
          <w:p>
            <w:pPr>
              <w:pStyle w:val="Compact"/>
              <w:jc w:val="left"/>
            </w:pPr>
            <w:r>
              <w:rPr>
                <w:rFonts w:ascii="Times New Roman" w:hAnsi="Times New Roman"/>
                <w:sz w:val="16"/>
              </w:rPr>
              <w:t xml:space="preserve">0.120</w:t>
            </w:r>
          </w:p>
        </w:tc>
        <w:tc>
          <w:tcPr/>
          <w:p>
            <w:pPr>
              <w:pStyle w:val="Compact"/>
              <w:jc w:val="left"/>
            </w:pPr>
            <w:r>
              <w:rPr>
                <w:rFonts w:ascii="Times New Roman" w:hAnsi="Times New Roman"/>
                <w:sz w:val="16"/>
              </w:rPr>
              <w:t xml:space="preserve">0.750</w:t>
            </w:r>
          </w:p>
        </w:tc>
        <w:tc>
          <w:tcPr/>
          <w:p>
            <w:pPr>
              <w:pStyle w:val="Compact"/>
              <w:jc w:val="left"/>
            </w:pPr>
            <w:r>
              <w:rPr>
                <w:rFonts w:ascii="Times New Roman" w:hAnsi="Times New Roman"/>
                <w:sz w:val="16"/>
              </w:rPr>
              <w:t xml:space="preserve">1.4</w:t>
            </w:r>
          </w:p>
        </w:tc>
      </w:tr>
      <w:tr>
        <w:tc>
          <w:tcPr/>
          <w:p>
            <w:pPr>
              <w:pStyle w:val="Compact"/>
              <w:jc w:val="left"/>
            </w:pPr>
            <w:r>
              <w:rPr>
                <w:rFonts w:ascii="Times New Roman" w:hAnsi="Times New Roman"/>
                <w:sz w:val="16"/>
              </w:rPr>
              <w:t xml:space="preserve">Random Forest</w:t>
            </w:r>
          </w:p>
        </w:tc>
        <w:tc>
          <w:tcPr/>
          <w:p>
            <w:pPr>
              <w:pStyle w:val="Compact"/>
              <w:jc w:val="left"/>
            </w:pPr>
            <w:r>
              <w:rPr>
                <w:rFonts w:ascii="Times New Roman" w:hAnsi="Times New Roman"/>
                <w:sz w:val="16"/>
              </w:rPr>
              <w:t xml:space="preserve">Bagged tree</w:t>
            </w:r>
          </w:p>
        </w:tc>
        <w:tc>
          <w:tcPr/>
          <w:p>
            <w:pPr>
              <w:pStyle w:val="Compact"/>
              <w:jc w:val="left"/>
            </w:pPr>
            <w:r>
              <w:rPr>
                <w:rFonts w:ascii="Times New Roman" w:hAnsi="Times New Roman"/>
                <w:sz w:val="16"/>
              </w:rPr>
              <w:t xml:space="preserve">0.885</w:t>
            </w:r>
          </w:p>
        </w:tc>
        <w:tc>
          <w:tcPr/>
          <w:p>
            <w:pPr>
              <w:pStyle w:val="Compact"/>
              <w:jc w:val="left"/>
            </w:pPr>
            <w:r>
              <w:rPr>
                <w:rFonts w:ascii="Times New Roman" w:hAnsi="Times New Roman"/>
                <w:sz w:val="16"/>
              </w:rPr>
              <w:t xml:space="preserve">0.762</w:t>
            </w:r>
          </w:p>
        </w:tc>
        <w:tc>
          <w:tcPr/>
          <w:p>
            <w:pPr>
              <w:pStyle w:val="Compact"/>
              <w:jc w:val="left"/>
            </w:pPr>
            <w:r>
              <w:rPr>
                <w:rFonts w:ascii="Times New Roman" w:hAnsi="Times New Roman"/>
                <w:sz w:val="16"/>
              </w:rPr>
              <w:t xml:space="preserve">0.120</w:t>
            </w:r>
          </w:p>
        </w:tc>
        <w:tc>
          <w:tcPr/>
          <w:p>
            <w:pPr>
              <w:pStyle w:val="Compact"/>
              <w:jc w:val="left"/>
            </w:pPr>
            <w:r>
              <w:rPr>
                <w:rFonts w:ascii="Times New Roman" w:hAnsi="Times New Roman"/>
                <w:sz w:val="16"/>
              </w:rPr>
              <w:t xml:space="preserve">0.801</w:t>
            </w:r>
          </w:p>
        </w:tc>
        <w:tc>
          <w:tcPr/>
          <w:p>
            <w:pPr>
              <w:pStyle w:val="Compact"/>
              <w:jc w:val="left"/>
            </w:pPr>
            <w:r>
              <w:rPr>
                <w:rFonts w:ascii="Times New Roman" w:hAnsi="Times New Roman"/>
                <w:sz w:val="16"/>
              </w:rPr>
              <w:t xml:space="preserve">4.4</w:t>
            </w:r>
          </w:p>
        </w:tc>
      </w:tr>
      <w:tr>
        <w:tc>
          <w:tcPr/>
          <w:p>
            <w:pPr>
              <w:pStyle w:val="Compact"/>
              <w:jc w:val="left"/>
            </w:pPr>
            <w:r>
              <w:rPr>
                <w:rFonts w:ascii="Times New Roman" w:hAnsi="Times New Roman"/>
                <w:sz w:val="16"/>
              </w:rPr>
              <w:t xml:space="preserve">Extra Trees</w:t>
            </w:r>
          </w:p>
        </w:tc>
        <w:tc>
          <w:tcPr/>
          <w:p>
            <w:pPr>
              <w:pStyle w:val="Compact"/>
              <w:jc w:val="left"/>
            </w:pPr>
            <w:r>
              <w:rPr>
                <w:rFonts w:ascii="Times New Roman" w:hAnsi="Times New Roman"/>
                <w:sz w:val="16"/>
              </w:rPr>
              <w:t xml:space="preserve">Bagged tree</w:t>
            </w:r>
          </w:p>
        </w:tc>
        <w:tc>
          <w:tcPr/>
          <w:p>
            <w:pPr>
              <w:pStyle w:val="Compact"/>
              <w:jc w:val="left"/>
            </w:pPr>
            <w:r>
              <w:rPr>
                <w:rFonts w:ascii="Times New Roman" w:hAnsi="Times New Roman"/>
                <w:sz w:val="16"/>
              </w:rPr>
              <w:t xml:space="preserve">0.880</w:t>
            </w:r>
          </w:p>
        </w:tc>
        <w:tc>
          <w:tcPr/>
          <w:p>
            <w:pPr>
              <w:pStyle w:val="Compact"/>
              <w:jc w:val="left"/>
            </w:pPr>
            <w:r>
              <w:rPr>
                <w:rFonts w:ascii="Times New Roman" w:hAnsi="Times New Roman"/>
                <w:sz w:val="16"/>
              </w:rPr>
              <w:t xml:space="preserve">0.759</w:t>
            </w:r>
          </w:p>
        </w:tc>
        <w:tc>
          <w:tcPr/>
          <w:p>
            <w:pPr>
              <w:pStyle w:val="Compact"/>
              <w:jc w:val="left"/>
            </w:pPr>
            <w:r>
              <w:rPr>
                <w:rFonts w:ascii="Times New Roman" w:hAnsi="Times New Roman"/>
                <w:sz w:val="16"/>
              </w:rPr>
              <w:t xml:space="preserve">0.119</w:t>
            </w:r>
          </w:p>
        </w:tc>
        <w:tc>
          <w:tcPr/>
          <w:p>
            <w:pPr>
              <w:pStyle w:val="Compact"/>
              <w:jc w:val="left"/>
            </w:pPr>
            <w:r>
              <w:rPr>
                <w:rFonts w:ascii="Times New Roman" w:hAnsi="Times New Roman"/>
                <w:sz w:val="16"/>
              </w:rPr>
              <w:t xml:space="preserve">0.757</w:t>
            </w:r>
          </w:p>
        </w:tc>
        <w:tc>
          <w:tcPr/>
          <w:p>
            <w:pPr>
              <w:pStyle w:val="Compact"/>
              <w:jc w:val="left"/>
            </w:pPr>
            <w:r>
              <w:rPr>
                <w:rFonts w:ascii="Times New Roman" w:hAnsi="Times New Roman"/>
                <w:sz w:val="16"/>
              </w:rPr>
              <w:t xml:space="preserve">1.1</w:t>
            </w:r>
          </w:p>
        </w:tc>
      </w:tr>
      <w:tr>
        <w:tc>
          <w:tcPr/>
          <w:p>
            <w:pPr>
              <w:pStyle w:val="Compact"/>
              <w:jc w:val="left"/>
            </w:pPr>
            <w:r>
              <w:rPr>
                <w:rFonts w:ascii="Times New Roman" w:hAnsi="Times New Roman"/>
                <w:sz w:val="16"/>
              </w:rPr>
              <w:t xml:space="preserve">1D ResNet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0.900</w:t>
            </w:r>
          </w:p>
        </w:tc>
        <w:tc>
          <w:tcPr/>
          <w:p>
            <w:pPr>
              <w:pStyle w:val="Compact"/>
              <w:jc w:val="left"/>
            </w:pPr>
            <w:r>
              <w:rPr>
                <w:rFonts w:ascii="Times New Roman" w:hAnsi="Times New Roman"/>
                <w:sz w:val="16"/>
              </w:rPr>
              <w:t xml:space="preserve">0.743</w:t>
            </w:r>
          </w:p>
        </w:tc>
        <w:tc>
          <w:tcPr/>
          <w:p>
            <w:pPr>
              <w:pStyle w:val="Compact"/>
              <w:jc w:val="left"/>
            </w:pPr>
            <w:r>
              <w:rPr>
                <w:rFonts w:ascii="Times New Roman" w:hAnsi="Times New Roman"/>
                <w:sz w:val="16"/>
              </w:rPr>
              <w:t xml:space="preserve">0.079</w:t>
            </w:r>
          </w:p>
        </w:tc>
        <w:tc>
          <w:tcPr/>
          <w:p>
            <w:pPr>
              <w:pStyle w:val="Compact"/>
              <w:jc w:val="left"/>
            </w:pPr>
            <w:r>
              <w:rPr>
                <w:rFonts w:ascii="Times New Roman" w:hAnsi="Times New Roman"/>
                <w:sz w:val="16"/>
              </w:rPr>
              <w:t xml:space="preserve">0.746</w:t>
            </w:r>
          </w:p>
        </w:tc>
        <w:tc>
          <w:tcPr/>
          <w:p>
            <w:pPr>
              <w:pStyle w:val="Compact"/>
              <w:jc w:val="left"/>
            </w:pPr>
            <w:r>
              <w:rPr>
                <w:rFonts w:ascii="Times New Roman" w:hAnsi="Times New Roman"/>
                <w:sz w:val="16"/>
              </w:rPr>
              <w:t xml:space="preserve">102.1</w:t>
            </w:r>
          </w:p>
        </w:tc>
      </w:tr>
      <w:tr>
        <w:tc>
          <w:tcPr/>
          <w:p>
            <w:pPr>
              <w:pStyle w:val="Compact"/>
              <w:jc w:val="left"/>
            </w:pPr>
            <w:r>
              <w:rPr>
                <w:rFonts w:ascii="Times New Roman" w:hAnsi="Times New Roman"/>
                <w:sz w:val="16"/>
              </w:rPr>
              <w:t xml:space="preserve">Soft vote</w:t>
            </w:r>
          </w:p>
        </w:tc>
        <w:tc>
          <w:tcPr/>
          <w:p>
            <w:pPr>
              <w:pStyle w:val="Compact"/>
              <w:jc w:val="left"/>
            </w:pPr>
            <w:r>
              <w:rPr>
                <w:rFonts w:ascii="Times New Roman" w:hAnsi="Times New Roman"/>
                <w:sz w:val="16"/>
              </w:rPr>
              <w:t xml:space="preserve">Ensemble</w:t>
            </w:r>
          </w:p>
        </w:tc>
        <w:tc>
          <w:tcPr/>
          <w:p>
            <w:pPr>
              <w:pStyle w:val="Compact"/>
              <w:jc w:val="left"/>
            </w:pPr>
            <w:r>
              <w:rPr>
                <w:rFonts w:ascii="Times New Roman" w:hAnsi="Times New Roman"/>
                <w:sz w:val="16"/>
              </w:rPr>
              <w:t xml:space="preserve">0.872</w:t>
            </w:r>
          </w:p>
        </w:tc>
        <w:tc>
          <w:tcPr/>
          <w:p>
            <w:pPr>
              <w:pStyle w:val="Compact"/>
              <w:jc w:val="left"/>
            </w:pPr>
            <w:r>
              <w:rPr>
                <w:rFonts w:ascii="Times New Roman" w:hAnsi="Times New Roman"/>
                <w:sz w:val="16"/>
              </w:rPr>
              <w:t xml:space="preserve">0.741</w:t>
            </w:r>
          </w:p>
        </w:tc>
        <w:tc>
          <w:tcPr/>
          <w:p>
            <w:pPr>
              <w:pStyle w:val="Compact"/>
              <w:jc w:val="left"/>
            </w:pPr>
            <w:r>
              <w:rPr>
                <w:rFonts w:ascii="Times New Roman" w:hAnsi="Times New Roman"/>
                <w:sz w:val="16"/>
              </w:rPr>
              <w:t xml:space="preserve">0.333</w:t>
            </w:r>
          </w:p>
        </w:tc>
        <w:tc>
          <w:tcPr/>
          <w:p>
            <w:pPr>
              <w:pStyle w:val="Compact"/>
              <w:jc w:val="left"/>
            </w:pPr>
            <w:r>
              <w:rPr>
                <w:rFonts w:ascii="Times New Roman" w:hAnsi="Times New Roman"/>
                <w:sz w:val="16"/>
              </w:rPr>
              <w:t xml:space="preserve">0.758</w:t>
            </w:r>
          </w:p>
        </w:tc>
        <w:tc>
          <w:tcPr/>
          <w:p>
            <w:pPr>
              <w:pStyle w:val="Compact"/>
              <w:jc w:val="left"/>
            </w:pPr>
            <w:r>
              <w:rPr>
                <w:rFonts w:ascii="Times New Roman" w:hAnsi="Times New Roman"/>
                <w:sz w:val="16"/>
              </w:rPr>
              <w:t xml:space="preserve">1227.7</w:t>
            </w:r>
          </w:p>
        </w:tc>
      </w:tr>
      <w:tr>
        <w:tc>
          <w:tcPr/>
          <w:p>
            <w:pPr>
              <w:pStyle w:val="Compact"/>
              <w:jc w:val="left"/>
            </w:pPr>
            <w:r>
              <w:rPr>
                <w:rFonts w:ascii="Times New Roman" w:hAnsi="Times New Roman"/>
                <w:sz w:val="16"/>
              </w:rPr>
              <w:t xml:space="preserve">Heterogeneous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0.887</w:t>
            </w:r>
          </w:p>
        </w:tc>
        <w:tc>
          <w:tcPr/>
          <w:p>
            <w:pPr>
              <w:pStyle w:val="Compact"/>
              <w:jc w:val="left"/>
            </w:pPr>
            <w:r>
              <w:rPr>
                <w:rFonts w:ascii="Times New Roman" w:hAnsi="Times New Roman"/>
                <w:sz w:val="16"/>
              </w:rPr>
              <w:t xml:space="preserve">0.735</w:t>
            </w:r>
          </w:p>
        </w:tc>
        <w:tc>
          <w:tcPr/>
          <w:p>
            <w:pPr>
              <w:pStyle w:val="Compact"/>
              <w:jc w:val="left"/>
            </w:pPr>
            <w:r>
              <w:rPr>
                <w:rFonts w:ascii="Times New Roman" w:hAnsi="Times New Roman"/>
                <w:sz w:val="16"/>
              </w:rPr>
              <w:t xml:space="preserve">0.080</w:t>
            </w:r>
          </w:p>
        </w:tc>
        <w:tc>
          <w:tcPr/>
          <w:p>
            <w:pPr>
              <w:pStyle w:val="Compact"/>
              <w:jc w:val="left"/>
            </w:pPr>
            <w:r>
              <w:rPr>
                <w:rFonts w:ascii="Times New Roman" w:hAnsi="Times New Roman"/>
                <w:sz w:val="16"/>
              </w:rPr>
              <w:t xml:space="preserve">0.724</w:t>
            </w:r>
          </w:p>
        </w:tc>
        <w:tc>
          <w:tcPr/>
          <w:p>
            <w:pPr>
              <w:pStyle w:val="Compact"/>
              <w:jc w:val="left"/>
            </w:pPr>
            <w:r>
              <w:rPr>
                <w:rFonts w:ascii="Times New Roman" w:hAnsi="Times New Roman"/>
                <w:sz w:val="16"/>
              </w:rPr>
              <w:t xml:space="preserve">554.5</w:t>
            </w:r>
          </w:p>
        </w:tc>
      </w:tr>
      <w:tr>
        <w:tc>
          <w:tcPr/>
          <w:p>
            <w:pPr>
              <w:pStyle w:val="Compact"/>
              <w:jc w:val="left"/>
            </w:pPr>
            <w:r>
              <w:rPr>
                <w:rFonts w:ascii="Times New Roman" w:hAnsi="Times New Roman"/>
                <w:sz w:val="16"/>
              </w:rPr>
              <w:t xml:space="preserve">MLP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0.846</w:t>
            </w:r>
          </w:p>
        </w:tc>
        <w:tc>
          <w:tcPr/>
          <w:p>
            <w:pPr>
              <w:pStyle w:val="Compact"/>
              <w:jc w:val="left"/>
            </w:pPr>
            <w:r>
              <w:rPr>
                <w:rFonts w:ascii="Times New Roman" w:hAnsi="Times New Roman"/>
                <w:sz w:val="16"/>
              </w:rPr>
              <w:t xml:space="preserve">0.706</w:t>
            </w:r>
          </w:p>
        </w:tc>
        <w:tc>
          <w:tcPr/>
          <w:p>
            <w:pPr>
              <w:pStyle w:val="Compact"/>
              <w:jc w:val="left"/>
            </w:pPr>
            <w:r>
              <w:rPr>
                <w:rFonts w:ascii="Times New Roman" w:hAnsi="Times New Roman"/>
                <w:sz w:val="16"/>
              </w:rPr>
              <w:t xml:space="preserve">0.090</w:t>
            </w:r>
          </w:p>
        </w:tc>
        <w:tc>
          <w:tcPr/>
          <w:p>
            <w:pPr>
              <w:pStyle w:val="Compact"/>
              <w:jc w:val="left"/>
            </w:pPr>
            <w:r>
              <w:rPr>
                <w:rFonts w:ascii="Times New Roman" w:hAnsi="Times New Roman"/>
                <w:sz w:val="16"/>
              </w:rPr>
              <w:t xml:space="preserve">0.730</w:t>
            </w:r>
          </w:p>
        </w:tc>
        <w:tc>
          <w:tcPr/>
          <w:p>
            <w:pPr>
              <w:pStyle w:val="Compact"/>
              <w:jc w:val="left"/>
            </w:pPr>
            <w:r>
              <w:rPr>
                <w:rFonts w:ascii="Times New Roman" w:hAnsi="Times New Roman"/>
                <w:sz w:val="16"/>
              </w:rPr>
              <w:t xml:space="preserve">8.8</w:t>
            </w:r>
          </w:p>
        </w:tc>
      </w:tr>
      <w:tr>
        <w:tc>
          <w:tcPr/>
          <w:p>
            <w:pPr>
              <w:pStyle w:val="Compact"/>
              <w:jc w:val="left"/>
            </w:pPr>
            <w:r>
              <w:rPr>
                <w:rFonts w:ascii="Times New Roman" w:hAnsi="Times New Roman"/>
                <w:sz w:val="16"/>
              </w:rPr>
              <w:t xml:space="preserve">Transformer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0.836</w:t>
            </w:r>
          </w:p>
        </w:tc>
        <w:tc>
          <w:tcPr/>
          <w:p>
            <w:pPr>
              <w:pStyle w:val="Compact"/>
              <w:jc w:val="left"/>
            </w:pPr>
            <w:r>
              <w:rPr>
                <w:rFonts w:ascii="Times New Roman" w:hAnsi="Times New Roman"/>
                <w:sz w:val="16"/>
              </w:rPr>
              <w:t xml:space="preserve">0.704</w:t>
            </w:r>
          </w:p>
        </w:tc>
        <w:tc>
          <w:tcPr/>
          <w:p>
            <w:pPr>
              <w:pStyle w:val="Compact"/>
              <w:jc w:val="left"/>
            </w:pPr>
            <w:r>
              <w:rPr>
                <w:bCs/>
                <w:rFonts w:ascii="Times New Roman" w:hAnsi="Times New Roman"/>
                <w:b/>
                <w:sz w:val="16"/>
              </w:rPr>
              <w:t xml:space="preserve">0.063</w:t>
            </w:r>
          </w:p>
        </w:tc>
        <w:tc>
          <w:tcPr/>
          <w:p>
            <w:pPr>
              <w:pStyle w:val="Compact"/>
              <w:jc w:val="left"/>
            </w:pPr>
            <w:r>
              <w:rPr>
                <w:rFonts w:ascii="Times New Roman" w:hAnsi="Times New Roman"/>
                <w:sz w:val="16"/>
              </w:rPr>
              <w:t xml:space="preserve">0.741</w:t>
            </w:r>
          </w:p>
        </w:tc>
        <w:tc>
          <w:tcPr/>
          <w:p>
            <w:pPr>
              <w:pStyle w:val="Compact"/>
              <w:jc w:val="left"/>
            </w:pPr>
            <w:r>
              <w:rPr>
                <w:rFonts w:ascii="Times New Roman" w:hAnsi="Times New Roman"/>
                <w:sz w:val="16"/>
              </w:rPr>
              <w:t xml:space="preserve">301.5</w:t>
            </w:r>
          </w:p>
        </w:tc>
      </w:tr>
      <w:tr>
        <w:tc>
          <w:tcPr/>
          <w:p>
            <w:pPr>
              <w:pStyle w:val="Compact"/>
              <w:jc w:val="left"/>
            </w:pPr>
            <w:r>
              <w:rPr>
                <w:rFonts w:ascii="Times New Roman" w:hAnsi="Times New Roman"/>
                <w:sz w:val="16"/>
              </w:rPr>
              <w:t xml:space="preserve">Transformer</w:t>
            </w:r>
          </w:p>
        </w:tc>
        <w:tc>
          <w:tcPr/>
          <w:p>
            <w:pPr>
              <w:pStyle w:val="Compact"/>
              <w:jc w:val="left"/>
            </w:pPr>
            <w:r>
              <w:rPr>
                <w:rFonts w:ascii="Times New Roman" w:hAnsi="Times New Roman"/>
                <w:sz w:val="16"/>
              </w:rPr>
              <w:t xml:space="preserve">Attention</w:t>
            </w:r>
          </w:p>
        </w:tc>
        <w:tc>
          <w:tcPr/>
          <w:p>
            <w:pPr>
              <w:pStyle w:val="Compact"/>
              <w:jc w:val="left"/>
            </w:pPr>
            <w:r>
              <w:rPr>
                <w:rFonts w:ascii="Times New Roman" w:hAnsi="Times New Roman"/>
                <w:sz w:val="16"/>
              </w:rPr>
              <w:t xml:space="preserve">0.845</w:t>
            </w:r>
          </w:p>
        </w:tc>
        <w:tc>
          <w:tcPr/>
          <w:p>
            <w:pPr>
              <w:pStyle w:val="Compact"/>
              <w:jc w:val="left"/>
            </w:pPr>
            <w:r>
              <w:rPr>
                <w:rFonts w:ascii="Times New Roman" w:hAnsi="Times New Roman"/>
                <w:sz w:val="16"/>
              </w:rPr>
              <w:t xml:space="preserve">0.702</w:t>
            </w:r>
          </w:p>
        </w:tc>
        <w:tc>
          <w:tcPr/>
          <w:p>
            <w:pPr>
              <w:pStyle w:val="Compact"/>
              <w:jc w:val="left"/>
            </w:pPr>
            <w:r>
              <w:rPr>
                <w:bCs/>
                <w:rFonts w:ascii="Times New Roman" w:hAnsi="Times New Roman"/>
                <w:b/>
                <w:sz w:val="16"/>
              </w:rPr>
              <w:t xml:space="preserve">0.063</w:t>
            </w:r>
          </w:p>
        </w:tc>
        <w:tc>
          <w:tcPr/>
          <w:p>
            <w:pPr>
              <w:pStyle w:val="Compact"/>
              <w:jc w:val="left"/>
            </w:pPr>
            <w:r>
              <w:rPr>
                <w:rFonts w:ascii="Times New Roman" w:hAnsi="Times New Roman"/>
                <w:sz w:val="16"/>
              </w:rPr>
              <w:t xml:space="preserve">0.751</w:t>
            </w:r>
          </w:p>
        </w:tc>
        <w:tc>
          <w:tcPr/>
          <w:p>
            <w:pPr>
              <w:pStyle w:val="Compact"/>
              <w:jc w:val="left"/>
            </w:pPr>
            <w:r>
              <w:rPr>
                <w:rFonts w:ascii="Times New Roman" w:hAnsi="Times New Roman"/>
                <w:sz w:val="16"/>
              </w:rPr>
              <w:t xml:space="preserve">60.1</w:t>
            </w:r>
          </w:p>
        </w:tc>
      </w:tr>
      <w:tr>
        <w:tc>
          <w:tcPr/>
          <w:p>
            <w:pPr>
              <w:pStyle w:val="Compact"/>
              <w:jc w:val="left"/>
            </w:pPr>
            <w:r>
              <w:rPr>
                <w:rFonts w:ascii="Times New Roman" w:hAnsi="Times New Roman"/>
                <w:sz w:val="16"/>
              </w:rPr>
              <w:t xml:space="preserve">LightGBM</w:t>
            </w:r>
          </w:p>
        </w:tc>
        <w:tc>
          <w:tcPr/>
          <w:p>
            <w:pPr>
              <w:pStyle w:val="Compact"/>
              <w:jc w:val="left"/>
            </w:pPr>
            <w:r>
              <w:rPr>
                <w:rFonts w:ascii="Times New Roman" w:hAnsi="Times New Roman"/>
                <w:sz w:val="16"/>
              </w:rPr>
              <w:t xml:space="preserve">Boosted tree</w:t>
            </w:r>
          </w:p>
        </w:tc>
        <w:tc>
          <w:tcPr/>
          <w:p>
            <w:pPr>
              <w:pStyle w:val="Compact"/>
              <w:jc w:val="left"/>
            </w:pPr>
            <w:r>
              <w:rPr>
                <w:rFonts w:ascii="Times New Roman" w:hAnsi="Times New Roman"/>
                <w:sz w:val="16"/>
              </w:rPr>
              <w:t xml:space="preserve">0.859</w:t>
            </w:r>
          </w:p>
        </w:tc>
        <w:tc>
          <w:tcPr/>
          <w:p>
            <w:pPr>
              <w:pStyle w:val="Compact"/>
              <w:jc w:val="left"/>
            </w:pPr>
            <w:r>
              <w:rPr>
                <w:rFonts w:ascii="Times New Roman" w:hAnsi="Times New Roman"/>
                <w:sz w:val="16"/>
              </w:rPr>
              <w:t xml:space="preserve">0.698</w:t>
            </w:r>
          </w:p>
        </w:tc>
        <w:tc>
          <w:tcPr/>
          <w:p>
            <w:pPr>
              <w:pStyle w:val="Compact"/>
              <w:jc w:val="left"/>
            </w:pPr>
            <w:r>
              <w:rPr>
                <w:rFonts w:ascii="Times New Roman" w:hAnsi="Times New Roman"/>
                <w:sz w:val="16"/>
              </w:rPr>
              <w:t xml:space="preserve">0.121</w:t>
            </w:r>
          </w:p>
        </w:tc>
        <w:tc>
          <w:tcPr/>
          <w:p>
            <w:pPr>
              <w:pStyle w:val="Compact"/>
              <w:jc w:val="left"/>
            </w:pPr>
            <w:r>
              <w:rPr>
                <w:rFonts w:ascii="Times New Roman" w:hAnsi="Times New Roman"/>
                <w:sz w:val="16"/>
              </w:rPr>
              <w:t xml:space="preserve">0.678</w:t>
            </w:r>
          </w:p>
        </w:tc>
        <w:tc>
          <w:tcPr/>
          <w:p>
            <w:pPr>
              <w:pStyle w:val="Compact"/>
              <w:jc w:val="left"/>
            </w:pPr>
            <w:r>
              <w:rPr>
                <w:rFonts w:ascii="Times New Roman" w:hAnsi="Times New Roman"/>
                <w:sz w:val="16"/>
              </w:rPr>
              <w:t xml:space="preserve">2.3</w:t>
            </w:r>
          </w:p>
        </w:tc>
      </w:tr>
      <w:tr>
        <w:tc>
          <w:tcPr/>
          <w:p>
            <w:pPr>
              <w:pStyle w:val="Compact"/>
              <w:jc w:val="left"/>
            </w:pPr>
            <w:r>
              <w:rPr>
                <w:rFonts w:ascii="Times New Roman" w:hAnsi="Times New Roman"/>
                <w:sz w:val="16"/>
              </w:rPr>
              <w:t xml:space="preserve">MLP</w:t>
            </w:r>
          </w:p>
        </w:tc>
        <w:tc>
          <w:tcPr/>
          <w:p>
            <w:pPr>
              <w:pStyle w:val="Compact"/>
              <w:jc w:val="left"/>
            </w:pPr>
            <w:r>
              <w:rPr>
                <w:rFonts w:ascii="Times New Roman" w:hAnsi="Times New Roman"/>
                <w:sz w:val="16"/>
              </w:rPr>
              <w:t xml:space="preserve">Feedforward</w:t>
            </w:r>
          </w:p>
        </w:tc>
        <w:tc>
          <w:tcPr/>
          <w:p>
            <w:pPr>
              <w:pStyle w:val="Compact"/>
              <w:jc w:val="left"/>
            </w:pPr>
            <w:r>
              <w:rPr>
                <w:rFonts w:ascii="Times New Roman" w:hAnsi="Times New Roman"/>
                <w:sz w:val="16"/>
              </w:rPr>
              <w:t xml:space="preserve">0.848</w:t>
            </w:r>
          </w:p>
        </w:tc>
        <w:tc>
          <w:tcPr/>
          <w:p>
            <w:pPr>
              <w:pStyle w:val="Compact"/>
              <w:jc w:val="left"/>
            </w:pPr>
            <w:r>
              <w:rPr>
                <w:rFonts w:ascii="Times New Roman" w:hAnsi="Times New Roman"/>
                <w:sz w:val="16"/>
              </w:rPr>
              <w:t xml:space="preserve">0.680</w:t>
            </w:r>
          </w:p>
        </w:tc>
        <w:tc>
          <w:tcPr/>
          <w:p>
            <w:pPr>
              <w:pStyle w:val="Compact"/>
              <w:jc w:val="left"/>
            </w:pPr>
            <w:r>
              <w:rPr>
                <w:rFonts w:ascii="Times New Roman" w:hAnsi="Times New Roman"/>
                <w:sz w:val="16"/>
              </w:rPr>
              <w:t xml:space="preserve">0.102</w:t>
            </w:r>
          </w:p>
        </w:tc>
        <w:tc>
          <w:tcPr/>
          <w:p>
            <w:pPr>
              <w:pStyle w:val="Compact"/>
              <w:jc w:val="left"/>
            </w:pPr>
            <w:r>
              <w:rPr>
                <w:rFonts w:ascii="Times New Roman" w:hAnsi="Times New Roman"/>
                <w:sz w:val="16"/>
              </w:rPr>
              <w:t xml:space="preserve">0.714</w:t>
            </w:r>
          </w:p>
        </w:tc>
        <w:tc>
          <w:tcPr/>
          <w:p>
            <w:pPr>
              <w:pStyle w:val="Compact"/>
              <w:jc w:val="left"/>
            </w:pPr>
            <w:r>
              <w:rPr>
                <w:rFonts w:ascii="Times New Roman" w:hAnsi="Times New Roman"/>
                <w:sz w:val="16"/>
              </w:rPr>
              <w:t xml:space="preserve">1.5</w:t>
            </w:r>
          </w:p>
        </w:tc>
      </w:tr>
      <w:tr>
        <w:tc>
          <w:tcPr/>
          <w:p>
            <w:pPr>
              <w:pStyle w:val="Compact"/>
              <w:jc w:val="left"/>
            </w:pPr>
            <w:r>
              <w:rPr>
                <w:rFonts w:ascii="Times New Roman" w:hAnsi="Times New Roman"/>
                <w:sz w:val="16"/>
              </w:rPr>
              <w:t xml:space="preserve">GRU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0.853</w:t>
            </w:r>
          </w:p>
        </w:tc>
        <w:tc>
          <w:tcPr/>
          <w:p>
            <w:pPr>
              <w:pStyle w:val="Compact"/>
              <w:jc w:val="left"/>
            </w:pPr>
            <w:r>
              <w:rPr>
                <w:rFonts w:ascii="Times New Roman" w:hAnsi="Times New Roman"/>
                <w:sz w:val="16"/>
              </w:rPr>
              <w:t xml:space="preserve">0.678</w:t>
            </w:r>
          </w:p>
        </w:tc>
        <w:tc>
          <w:tcPr/>
          <w:p>
            <w:pPr>
              <w:pStyle w:val="Compact"/>
              <w:jc w:val="left"/>
            </w:pPr>
            <w:r>
              <w:rPr>
                <w:rFonts w:ascii="Times New Roman" w:hAnsi="Times New Roman"/>
                <w:sz w:val="16"/>
              </w:rPr>
              <w:t xml:space="preserve">0.080</w:t>
            </w:r>
          </w:p>
        </w:tc>
        <w:tc>
          <w:tcPr/>
          <w:p>
            <w:pPr>
              <w:pStyle w:val="Compact"/>
              <w:jc w:val="left"/>
            </w:pPr>
            <w:r>
              <w:rPr>
                <w:rFonts w:ascii="Times New Roman" w:hAnsi="Times New Roman"/>
                <w:sz w:val="16"/>
              </w:rPr>
              <w:t xml:space="preserve">0.673</w:t>
            </w:r>
          </w:p>
        </w:tc>
        <w:tc>
          <w:tcPr/>
          <w:p>
            <w:pPr>
              <w:pStyle w:val="Compact"/>
              <w:jc w:val="left"/>
            </w:pPr>
            <w:r>
              <w:rPr>
                <w:rFonts w:ascii="Times New Roman" w:hAnsi="Times New Roman"/>
                <w:sz w:val="16"/>
              </w:rPr>
              <w:t xml:space="preserve">76.4</w:t>
            </w:r>
          </w:p>
        </w:tc>
      </w:tr>
      <w:tr>
        <w:tc>
          <w:tcPr/>
          <w:p>
            <w:pPr>
              <w:pStyle w:val="Compact"/>
              <w:jc w:val="left"/>
            </w:pPr>
            <w:r>
              <w:rPr>
                <w:rFonts w:ascii="Times New Roman" w:hAnsi="Times New Roman"/>
                <w:sz w:val="16"/>
              </w:rPr>
              <w:t xml:space="preserve">LSTM</w:t>
            </w:r>
          </w:p>
        </w:tc>
        <w:tc>
          <w:tcPr/>
          <w:p>
            <w:pPr>
              <w:pStyle w:val="Compact"/>
              <w:jc w:val="left"/>
            </w:pPr>
            <w:r>
              <w:rPr>
                <w:rFonts w:ascii="Times New Roman" w:hAnsi="Times New Roman"/>
                <w:sz w:val="16"/>
              </w:rPr>
              <w:t xml:space="preserve">Recurrent</w:t>
            </w:r>
          </w:p>
        </w:tc>
        <w:tc>
          <w:tcPr/>
          <w:p>
            <w:pPr>
              <w:pStyle w:val="Compact"/>
              <w:jc w:val="left"/>
            </w:pPr>
            <w:r>
              <w:rPr>
                <w:rFonts w:ascii="Times New Roman" w:hAnsi="Times New Roman"/>
                <w:sz w:val="16"/>
              </w:rPr>
              <w:t xml:space="preserve">0.822</w:t>
            </w:r>
          </w:p>
        </w:tc>
        <w:tc>
          <w:tcPr/>
          <w:p>
            <w:pPr>
              <w:pStyle w:val="Compact"/>
              <w:jc w:val="left"/>
            </w:pPr>
            <w:r>
              <w:rPr>
                <w:rFonts w:ascii="Times New Roman" w:hAnsi="Times New Roman"/>
                <w:sz w:val="16"/>
              </w:rPr>
              <w:t xml:space="preserve">0.667</w:t>
            </w:r>
          </w:p>
        </w:tc>
        <w:tc>
          <w:tcPr/>
          <w:p>
            <w:pPr>
              <w:pStyle w:val="Compact"/>
              <w:jc w:val="left"/>
            </w:pPr>
            <w:r>
              <w:rPr>
                <w:rFonts w:ascii="Times New Roman" w:hAnsi="Times New Roman"/>
                <w:sz w:val="16"/>
              </w:rPr>
              <w:t xml:space="preserve">0.103</w:t>
            </w:r>
          </w:p>
        </w:tc>
        <w:tc>
          <w:tcPr/>
          <w:p>
            <w:pPr>
              <w:pStyle w:val="Compact"/>
              <w:jc w:val="left"/>
            </w:pPr>
            <w:r>
              <w:rPr>
                <w:rFonts w:ascii="Times New Roman" w:hAnsi="Times New Roman"/>
                <w:sz w:val="16"/>
              </w:rPr>
              <w:t xml:space="preserve">0.664</w:t>
            </w:r>
          </w:p>
        </w:tc>
        <w:tc>
          <w:tcPr/>
          <w:p>
            <w:pPr>
              <w:pStyle w:val="Compact"/>
              <w:jc w:val="left"/>
            </w:pPr>
            <w:r>
              <w:rPr>
                <w:rFonts w:ascii="Times New Roman" w:hAnsi="Times New Roman"/>
                <w:sz w:val="16"/>
              </w:rPr>
              <w:t xml:space="preserve">12.6</w:t>
            </w:r>
          </w:p>
        </w:tc>
      </w:tr>
      <w:tr>
        <w:tc>
          <w:tcPr/>
          <w:p>
            <w:pPr>
              <w:pStyle w:val="Compact"/>
              <w:jc w:val="left"/>
            </w:pPr>
            <w:r>
              <w:rPr>
                <w:rFonts w:ascii="Times New Roman" w:hAnsi="Times New Roman"/>
                <w:sz w:val="16"/>
              </w:rPr>
              <w:t xml:space="preserve">Logistic Reg.</w:t>
            </w:r>
          </w:p>
        </w:tc>
        <w:tc>
          <w:tcPr/>
          <w:p>
            <w:pPr>
              <w:pStyle w:val="Compact"/>
              <w:jc w:val="left"/>
            </w:pPr>
            <w:r>
              <w:rPr>
                <w:rFonts w:ascii="Times New Roman" w:hAnsi="Times New Roman"/>
                <w:sz w:val="16"/>
              </w:rPr>
              <w:t xml:space="preserve">Linear</w:t>
            </w:r>
          </w:p>
        </w:tc>
        <w:tc>
          <w:tcPr/>
          <w:p>
            <w:pPr>
              <w:pStyle w:val="Compact"/>
              <w:jc w:val="left"/>
            </w:pPr>
            <w:r>
              <w:rPr>
                <w:rFonts w:ascii="Times New Roman" w:hAnsi="Times New Roman"/>
                <w:sz w:val="16"/>
              </w:rPr>
              <w:t xml:space="preserve">0.826</w:t>
            </w:r>
          </w:p>
        </w:tc>
        <w:tc>
          <w:tcPr/>
          <w:p>
            <w:pPr>
              <w:pStyle w:val="Compact"/>
              <w:jc w:val="left"/>
            </w:pPr>
            <w:r>
              <w:rPr>
                <w:rFonts w:ascii="Times New Roman" w:hAnsi="Times New Roman"/>
                <w:sz w:val="16"/>
              </w:rPr>
              <w:t xml:space="preserve">0.663</w:t>
            </w:r>
          </w:p>
        </w:tc>
        <w:tc>
          <w:tcPr/>
          <w:p>
            <w:pPr>
              <w:pStyle w:val="Compact"/>
              <w:jc w:val="left"/>
            </w:pPr>
            <w:r>
              <w:rPr>
                <w:rFonts w:ascii="Times New Roman" w:hAnsi="Times New Roman"/>
                <w:sz w:val="16"/>
              </w:rPr>
              <w:t xml:space="preserve">0.054</w:t>
            </w:r>
          </w:p>
        </w:tc>
        <w:tc>
          <w:tcPr/>
          <w:p>
            <w:pPr>
              <w:pStyle w:val="Compact"/>
              <w:jc w:val="left"/>
            </w:pPr>
            <w:r>
              <w:rPr>
                <w:rFonts w:ascii="Times New Roman" w:hAnsi="Times New Roman"/>
                <w:sz w:val="16"/>
              </w:rPr>
              <w:t xml:space="preserve">0.672</w:t>
            </w:r>
          </w:p>
        </w:tc>
        <w:tc>
          <w:tcPr/>
          <w:p>
            <w:pPr>
              <w:pStyle w:val="Compact"/>
              <w:jc w:val="left"/>
            </w:pPr>
            <w:r>
              <w:rPr>
                <w:rFonts w:ascii="Times New Roman" w:hAnsi="Times New Roman"/>
                <w:sz w:val="16"/>
              </w:rPr>
              <w:t xml:space="preserve">0.6</w:t>
            </w:r>
          </w:p>
        </w:tc>
      </w:tr>
      <w:tr>
        <w:tc>
          <w:tcPr/>
          <w:p>
            <w:pPr>
              <w:pStyle w:val="Compact"/>
              <w:jc w:val="left"/>
            </w:pPr>
            <w:r>
              <w:rPr>
                <w:rFonts w:ascii="Times New Roman" w:hAnsi="Times New Roman"/>
                <w:sz w:val="16"/>
              </w:rPr>
              <w:t xml:space="preserve">GRU</w:t>
            </w:r>
          </w:p>
        </w:tc>
        <w:tc>
          <w:tcPr/>
          <w:p>
            <w:pPr>
              <w:pStyle w:val="Compact"/>
              <w:jc w:val="left"/>
            </w:pPr>
            <w:r>
              <w:rPr>
                <w:rFonts w:ascii="Times New Roman" w:hAnsi="Times New Roman"/>
                <w:sz w:val="16"/>
              </w:rPr>
              <w:t xml:space="preserve">Recurrent</w:t>
            </w:r>
          </w:p>
        </w:tc>
        <w:tc>
          <w:tcPr/>
          <w:p>
            <w:pPr>
              <w:pStyle w:val="Compact"/>
              <w:jc w:val="left"/>
            </w:pPr>
            <w:r>
              <w:rPr>
                <w:rFonts w:ascii="Times New Roman" w:hAnsi="Times New Roman"/>
                <w:sz w:val="16"/>
              </w:rPr>
              <w:t xml:space="preserve">0.856</w:t>
            </w:r>
          </w:p>
        </w:tc>
        <w:tc>
          <w:tcPr/>
          <w:p>
            <w:pPr>
              <w:pStyle w:val="Compact"/>
              <w:jc w:val="left"/>
            </w:pPr>
            <w:r>
              <w:rPr>
                <w:rFonts w:ascii="Times New Roman" w:hAnsi="Times New Roman"/>
                <w:sz w:val="16"/>
              </w:rPr>
              <w:t xml:space="preserve">0.651</w:t>
            </w:r>
          </w:p>
        </w:tc>
        <w:tc>
          <w:tcPr/>
          <w:p>
            <w:pPr>
              <w:pStyle w:val="Compact"/>
              <w:jc w:val="left"/>
            </w:pPr>
            <w:r>
              <w:rPr>
                <w:rFonts w:ascii="Times New Roman" w:hAnsi="Times New Roman"/>
                <w:sz w:val="16"/>
              </w:rPr>
              <w:t xml:space="preserve">0.087</w:t>
            </w:r>
          </w:p>
        </w:tc>
        <w:tc>
          <w:tcPr/>
          <w:p>
            <w:pPr>
              <w:pStyle w:val="Compact"/>
              <w:jc w:val="left"/>
            </w:pPr>
            <w:r>
              <w:rPr>
                <w:rFonts w:ascii="Times New Roman" w:hAnsi="Times New Roman"/>
                <w:sz w:val="16"/>
              </w:rPr>
              <w:t xml:space="preserve">0.645</w:t>
            </w:r>
          </w:p>
        </w:tc>
        <w:tc>
          <w:tcPr/>
          <w:p>
            <w:pPr>
              <w:pStyle w:val="Compact"/>
              <w:jc w:val="left"/>
            </w:pPr>
            <w:r>
              <w:rPr>
                <w:rFonts w:ascii="Times New Roman" w:hAnsi="Times New Roman"/>
                <w:sz w:val="16"/>
              </w:rPr>
              <w:t xml:space="preserve">13.7</w:t>
            </w:r>
          </w:p>
        </w:tc>
      </w:tr>
      <w:tr>
        <w:tc>
          <w:tcPr/>
          <w:p>
            <w:pPr>
              <w:pStyle w:val="Compact"/>
              <w:jc w:val="left"/>
            </w:pPr>
            <w:r>
              <w:rPr>
                <w:rFonts w:ascii="Times New Roman" w:hAnsi="Times New Roman"/>
                <w:sz w:val="16"/>
              </w:rPr>
              <w:t xml:space="preserve">LSTM (M=5)</w:t>
            </w:r>
          </w:p>
        </w:tc>
        <w:tc>
          <w:tcPr/>
          <w:p>
            <w:pPr>
              <w:pStyle w:val="Compact"/>
              <w:jc w:val="left"/>
            </w:pPr>
            <w:r>
              <w:rPr>
                <w:rFonts w:ascii="Times New Roman" w:hAnsi="Times New Roman"/>
                <w:sz w:val="16"/>
              </w:rPr>
              <w:t xml:space="preserve">Deep ensemble</w:t>
            </w:r>
          </w:p>
        </w:tc>
        <w:tc>
          <w:tcPr/>
          <w:p>
            <w:pPr>
              <w:pStyle w:val="Compact"/>
              <w:jc w:val="left"/>
            </w:pPr>
            <w:r>
              <w:rPr>
                <w:rFonts w:ascii="Times New Roman" w:hAnsi="Times New Roman"/>
                <w:sz w:val="16"/>
              </w:rPr>
              <w:t xml:space="preserve">0.821</w:t>
            </w:r>
          </w:p>
        </w:tc>
        <w:tc>
          <w:tcPr/>
          <w:p>
            <w:pPr>
              <w:pStyle w:val="Compact"/>
              <w:jc w:val="left"/>
            </w:pPr>
            <w:r>
              <w:rPr>
                <w:rFonts w:ascii="Times New Roman" w:hAnsi="Times New Roman"/>
                <w:sz w:val="16"/>
              </w:rPr>
              <w:t xml:space="preserve">0.646</w:t>
            </w:r>
          </w:p>
        </w:tc>
        <w:tc>
          <w:tcPr/>
          <w:p>
            <w:pPr>
              <w:pStyle w:val="Compact"/>
              <w:jc w:val="left"/>
            </w:pPr>
            <w:r>
              <w:rPr>
                <w:rFonts w:ascii="Times New Roman" w:hAnsi="Times New Roman"/>
                <w:sz w:val="16"/>
              </w:rPr>
              <w:t xml:space="preserve">0.101</w:t>
            </w:r>
          </w:p>
        </w:tc>
        <w:tc>
          <w:tcPr/>
          <w:p>
            <w:pPr>
              <w:pStyle w:val="Compact"/>
              <w:jc w:val="left"/>
            </w:pPr>
            <w:r>
              <w:rPr>
                <w:rFonts w:ascii="Times New Roman" w:hAnsi="Times New Roman"/>
                <w:sz w:val="16"/>
              </w:rPr>
              <w:t xml:space="preserve">0.660</w:t>
            </w:r>
          </w:p>
        </w:tc>
        <w:tc>
          <w:tcPr/>
          <w:p>
            <w:pPr>
              <w:pStyle w:val="Compact"/>
              <w:jc w:val="left"/>
            </w:pPr>
            <w:r>
              <w:rPr>
                <w:rFonts w:ascii="Times New Roman" w:hAnsi="Times New Roman"/>
                <w:sz w:val="16"/>
              </w:rPr>
              <w:t xml:space="preserve">65.8</w:t>
            </w:r>
          </w:p>
        </w:tc>
      </w:tr>
      <w:tr>
        <w:tc>
          <w:tcPr/>
          <w:p>
            <w:pPr>
              <w:pStyle w:val="Compact"/>
              <w:jc w:val="left"/>
            </w:pPr>
            <w:r>
              <w:rPr>
                <w:rFonts w:ascii="Times New Roman" w:hAnsi="Times New Roman"/>
                <w:sz w:val="16"/>
              </w:rPr>
              <w:t xml:space="preserve">1D ResNet</w:t>
            </w:r>
          </w:p>
        </w:tc>
        <w:tc>
          <w:tcPr/>
          <w:p>
            <w:pPr>
              <w:pStyle w:val="Compact"/>
              <w:jc w:val="left"/>
            </w:pPr>
            <w:r>
              <w:rPr>
                <w:rFonts w:ascii="Times New Roman" w:hAnsi="Times New Roman"/>
                <w:sz w:val="16"/>
              </w:rPr>
              <w:t xml:space="preserve">Convolutional</w:t>
            </w:r>
          </w:p>
        </w:tc>
        <w:tc>
          <w:tcPr/>
          <w:p>
            <w:pPr>
              <w:pStyle w:val="Compact"/>
              <w:jc w:val="left"/>
            </w:pPr>
            <w:r>
              <w:rPr>
                <w:rFonts w:ascii="Times New Roman" w:hAnsi="Times New Roman"/>
                <w:sz w:val="16"/>
              </w:rPr>
              <w:t xml:space="preserve">0.813</w:t>
            </w:r>
          </w:p>
        </w:tc>
        <w:tc>
          <w:tcPr/>
          <w:p>
            <w:pPr>
              <w:pStyle w:val="Compact"/>
              <w:jc w:val="left"/>
            </w:pPr>
            <w:r>
              <w:rPr>
                <w:rFonts w:ascii="Times New Roman" w:hAnsi="Times New Roman"/>
                <w:sz w:val="16"/>
              </w:rPr>
              <w:t xml:space="preserve">0.634</w:t>
            </w:r>
          </w:p>
        </w:tc>
        <w:tc>
          <w:tcPr/>
          <w:p>
            <w:pPr>
              <w:pStyle w:val="Compact"/>
              <w:jc w:val="left"/>
            </w:pPr>
            <w:r>
              <w:rPr>
                <w:rFonts w:ascii="Times New Roman" w:hAnsi="Times New Roman"/>
                <w:sz w:val="16"/>
              </w:rPr>
              <w:t xml:space="preserve">0.080</w:t>
            </w:r>
          </w:p>
        </w:tc>
        <w:tc>
          <w:tcPr/>
          <w:p>
            <w:pPr>
              <w:pStyle w:val="Compact"/>
              <w:jc w:val="left"/>
            </w:pPr>
            <w:r>
              <w:rPr>
                <w:rFonts w:ascii="Times New Roman" w:hAnsi="Times New Roman"/>
                <w:sz w:val="16"/>
              </w:rPr>
              <w:t xml:space="preserve">0.637</w:t>
            </w:r>
          </w:p>
        </w:tc>
        <w:tc>
          <w:tcPr/>
          <w:p>
            <w:pPr>
              <w:pStyle w:val="Compact"/>
              <w:jc w:val="left"/>
            </w:pPr>
            <w:r>
              <w:rPr>
                <w:rFonts w:ascii="Times New Roman" w:hAnsi="Times New Roman"/>
                <w:sz w:val="16"/>
              </w:rPr>
              <w:t xml:space="preserve">21.1</w:t>
            </w:r>
          </w:p>
        </w:tc>
      </w:tr>
      <w:tr>
        <w:tc>
          <w:tcPr/>
          <w:p>
            <w:pPr>
              <w:pStyle w:val="Compact"/>
              <w:jc w:val="left"/>
            </w:pPr>
            <w:r>
              <w:rPr>
                <w:rFonts w:ascii="Times New Roman" w:hAnsi="Times New Roman"/>
                <w:sz w:val="16"/>
              </w:rPr>
              <w:t xml:space="preserve">Dummy prior</w:t>
            </w:r>
          </w:p>
        </w:tc>
        <w:tc>
          <w:tcPr/>
          <w:p>
            <w:pPr>
              <w:pStyle w:val="Compact"/>
              <w:jc w:val="left"/>
            </w:pPr>
            <w:r>
              <w:rPr>
                <w:rFonts w:ascii="Times New Roman" w:hAnsi="Times New Roman"/>
                <w:sz w:val="16"/>
              </w:rPr>
              <w:t xml:space="preserve">Naive</w:t>
            </w:r>
          </w:p>
        </w:tc>
        <w:tc>
          <w:tcPr/>
          <w:p>
            <w:pPr>
              <w:pStyle w:val="Compact"/>
              <w:jc w:val="left"/>
            </w:pPr>
            <w:r>
              <w:rPr>
                <w:rFonts w:ascii="Times New Roman" w:hAnsi="Times New Roman"/>
                <w:sz w:val="16"/>
              </w:rPr>
              <w:t xml:space="preserve">0.500</w:t>
            </w:r>
          </w:p>
        </w:tc>
        <w:tc>
          <w:tcPr/>
          <w:p>
            <w:pPr>
              <w:pStyle w:val="Compact"/>
              <w:jc w:val="left"/>
            </w:pPr>
            <w:r>
              <w:rPr>
                <w:rFonts w:ascii="Times New Roman" w:hAnsi="Times New Roman"/>
                <w:sz w:val="16"/>
              </w:rPr>
              <w:t xml:space="preserve">0.167</w:t>
            </w:r>
          </w:p>
        </w:tc>
        <w:tc>
          <w:tcPr/>
          <w:p>
            <w:pPr>
              <w:pStyle w:val="Compact"/>
              <w:jc w:val="left"/>
            </w:pPr>
            <w:r>
              <w:rPr>
                <w:rFonts w:ascii="Times New Roman" w:hAnsi="Times New Roman"/>
                <w:sz w:val="16"/>
              </w:rPr>
              <w:t xml:space="preserve">0.082</w:t>
            </w:r>
          </w:p>
        </w:tc>
        <w:tc>
          <w:tcPr/>
          <w:p>
            <w:pPr>
              <w:pStyle w:val="Compact"/>
              <w:jc w:val="left"/>
            </w:pPr>
            <w:r>
              <w:rPr>
                <w:rFonts w:ascii="Times New Roman" w:hAnsi="Times New Roman"/>
                <w:sz w:val="16"/>
              </w:rPr>
              <w:t xml:space="preserve">0.287</w:t>
            </w:r>
          </w:p>
        </w:tc>
        <w:tc>
          <w:tcPr/>
          <w:p>
            <w:pPr>
              <w:pStyle w:val="Compact"/>
              <w:jc w:val="left"/>
            </w:pPr>
            <w:r>
              <w:rPr>
                <w:rFonts w:ascii="Times New Roman" w:hAnsi="Times New Roman"/>
                <w:sz w:val="16"/>
              </w:rPr>
              <w:t xml:space="preserve">—</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On RCAEval the same hierarchy is applied to a detection target. The leg is</w:t>
      </w:r>
      <w:r>
        <w:t xml:space="preserve"> </w:t>
      </w:r>
      <w:r>
        <w:t xml:space="preserve">saturated: every non-naive model reaches at least 0.990 AUROC, with</w:t>
      </w:r>
      <w:r>
        <w:t xml:space="preserve"> </w:t>
      </w:r>
      <w:r>
        <w:t xml:space="preserve">XGBoost at 0.996 AUROC / 0.997 AUPRC / 0.012 ECE and even Logistic</w:t>
      </w:r>
      <w:r>
        <w:t xml:space="preserve"> </w:t>
      </w:r>
      <w:r>
        <w:t xml:space="preserve">Regression at 0.993 / 0.994. Post-injection CPU, memory, and latency</w:t>
      </w:r>
      <w:r>
        <w:t xml:space="preserve"> </w:t>
      </w:r>
      <w:r>
        <w:t xml:space="preserve">shifts in a microservice mesh are large and immediate, so this leg</w:t>
      </w:r>
      <w:r>
        <w:t xml:space="preserve"> </w:t>
      </w:r>
      <w:r>
        <w:t xml:space="preserve">discriminates poorly between methods. We therefore use RCAEval for its</w:t>
      </w:r>
      <w:r>
        <w:t xml:space="preserve"> </w:t>
      </w:r>
      <w:r>
        <w:t xml:space="preserve">assigned job — RCA quality and baseline comparison — rather than as a</w:t>
      </w:r>
      <w:r>
        <w:t xml:space="preserve"> </w:t>
      </w:r>
      <w:r>
        <w:t xml:space="preserve">detection benchmark, and do not report its full table here.</w:t>
      </w:r>
    </w:p>
    <w:p>
      <w:pPr>
        <w:pStyle w:val="BodyText"/>
      </w:pPr>
      <w:r>
        <w:t xml:space="preserve">On SMD, the out-of-domain leg at a 30-minute horizon, Extra Trees reaches</w:t>
      </w:r>
      <w:r>
        <w:t xml:space="preserve"> </w:t>
      </w:r>
      <w:r>
        <w:t xml:space="preserve">0.953 AUROC / 0.905 AUPRC and the Transformer 0.924 / 0.886 against a</w:t>
      </w:r>
      <w:r>
        <w:t xml:space="preserve"> </w:t>
      </w:r>
      <w:r>
        <w:t xml:space="preserve">0.286 base rate.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5. Cross-dataset synthesis, held-out EVAL block per leg.</w:t>
      </w:r>
    </w:p>
    <w:tbl>
      <w:tblPr>
        <w:tblStyle w:val="Table"/>
        <w:tblLook w:firstRow="1" w:lastRow="0" w:firstColumn="0" w:lastColumn="0" w:noHBand="0" w:noVBand="0" w:val="0020"/>
        <w:jc w:val="start"/>
        <w:tblLayout w:type="autofit"/>
        <w:tblW w:type="pct" w:w="5000"/>
      </w:tblPr>
      <w:tblGrid>
        <w:gridCol w:w="1131"/>
        <w:gridCol w:w="1131"/>
        <w:gridCol w:w="1131"/>
        <w:gridCol w:w="1131"/>
        <w:gridCol w:w="1131"/>
        <w:gridCol w:w="1131"/>
        <w:gridCol w:w="1131"/>
      </w:tblGrid>
      <w:tr>
        <w:trPr>
          <w:tblHeader w:val="true"/>
        </w:trPr>
        <w:tc>
          <w:tcPr/>
          <w:p>
            <w:pPr>
              <w:pStyle w:val="Compact"/>
              <w:jc w:val="left"/>
            </w:pPr>
            <w:r>
              <w:rPr>
                <w:bCs/>
                <w:rFonts w:ascii="Times New Roman" w:hAnsi="Times New Roman"/>
                <w:b/>
                <w:sz w:val="16"/>
              </w:rPr>
              <w:t xml:space="preserve">Leg</w:t>
            </w:r>
          </w:p>
        </w:tc>
        <w:tc>
          <w:tcPr/>
          <w:p>
            <w:pPr>
              <w:pStyle w:val="Compact"/>
              <w:jc w:val="left"/>
            </w:pPr>
            <w:r>
              <w:rPr>
                <w:bCs/>
                <w:rFonts w:ascii="Times New Roman" w:hAnsi="Times New Roman"/>
                <w:b/>
                <w:sz w:val="16"/>
              </w:rPr>
              <w:t xml:space="preserve">Task</w:t>
            </w:r>
          </w:p>
        </w:tc>
        <w:tc>
          <w:tcPr/>
          <w:p>
            <w:pPr>
              <w:pStyle w:val="Compact"/>
              <w:jc w:val="left"/>
            </w:pPr>
            <w:r>
              <w:rPr>
                <w:bCs/>
                <w:rFonts w:ascii="Times New Roman" w:hAnsi="Times New Roman"/>
                <w:b/>
                <w:sz w:val="16"/>
              </w:rPr>
              <w:t xml:space="preserve">Best model</w:t>
            </w:r>
          </w:p>
        </w:tc>
        <w:tc>
          <w:tcPr/>
          <w:p>
            <w:pPr>
              <w:pStyle w:val="Compact"/>
              <w:jc w:val="left"/>
            </w:pPr>
            <w:r>
              <w:rPr>
                <w:bCs/>
                <w:rFonts w:ascii="Times New Roman" w:hAnsi="Times New Roman"/>
                <w:b/>
                <w:sz w:val="16"/>
              </w:rPr>
              <w:t xml:space="preserve">AUROC</w:t>
            </w:r>
          </w:p>
        </w:tc>
        <w:tc>
          <w:tcPr/>
          <w:p>
            <w:pPr>
              <w:pStyle w:val="Compact"/>
              <w:jc w:val="left"/>
            </w:pPr>
            <w:r>
              <w:rPr>
                <w:bCs/>
                <w:rFonts w:ascii="Times New Roman" w:hAnsi="Times New Roman"/>
                <w:b/>
                <w:sz w:val="16"/>
              </w:rPr>
              <w:t xml:space="preserve">AUPRC</w:t>
            </w:r>
          </w:p>
        </w:tc>
        <w:tc>
          <w:tcPr/>
          <w:p>
            <w:pPr>
              <w:pStyle w:val="Compact"/>
              <w:jc w:val="left"/>
            </w:pPr>
            <w:r>
              <w:rPr>
                <w:bCs/>
                <w:rFonts w:ascii="Times New Roman" w:hAnsi="Times New Roman"/>
                <w:b/>
                <w:sz w:val="16"/>
              </w:rPr>
              <w:t xml:space="preserve">Base rate</w:t>
            </w:r>
          </w:p>
        </w:tc>
        <w:tc>
          <w:tcPr/>
          <w:p>
            <w:pPr>
              <w:pStyle w:val="Compact"/>
              <w:jc w:val="left"/>
            </w:pPr>
            <w:r>
              <w:rPr>
                <w:bCs/>
                <w:rFonts w:ascii="Times New Roman" w:hAnsi="Times New Roman"/>
                <w:b/>
                <w:sz w:val="16"/>
              </w:rPr>
              <w:t xml:space="preserve">AUPRC lift</w:t>
            </w:r>
          </w:p>
        </w:tc>
      </w:tr>
      <w:tr>
        <w:tc>
          <w:tcPr/>
          <w:p>
            <w:pPr>
              <w:pStyle w:val="Compact"/>
              <w:jc w:val="left"/>
            </w:pPr>
            <w:r>
              <w:rPr>
                <w:rFonts w:ascii="Times New Roman" w:hAnsi="Times New Roman"/>
                <w:sz w:val="16"/>
              </w:rPr>
              <w:t xml:space="preserve">TelecomTS</w:t>
            </w:r>
          </w:p>
        </w:tc>
        <w:tc>
          <w:tcPr/>
          <w:p>
            <w:pPr>
              <w:pStyle w:val="Compact"/>
              <w:jc w:val="left"/>
            </w:pPr>
            <w:r>
              <w:rPr>
                <w:rFonts w:ascii="Times New Roman" w:hAnsi="Times New Roman"/>
                <w:sz w:val="16"/>
              </w:rPr>
              <w:t xml:space="preserve">early warning, 5 s</w:t>
            </w:r>
          </w:p>
        </w:tc>
        <w:tc>
          <w:tcPr/>
          <w:p>
            <w:pPr>
              <w:pStyle w:val="Compact"/>
              <w:jc w:val="left"/>
            </w:pPr>
            <w:r>
              <w:rPr>
                <w:rFonts w:ascii="Times New Roman" w:hAnsi="Times New Roman"/>
                <w:sz w:val="16"/>
              </w:rPr>
              <w:t xml:space="preserve">XGBoost</w:t>
            </w:r>
          </w:p>
        </w:tc>
        <w:tc>
          <w:tcPr/>
          <w:p>
            <w:pPr>
              <w:pStyle w:val="Compact"/>
              <w:jc w:val="left"/>
            </w:pPr>
            <w:r>
              <w:rPr>
                <w:rFonts w:ascii="Times New Roman" w:hAnsi="Times New Roman"/>
                <w:sz w:val="16"/>
              </w:rPr>
              <w:t xml:space="preserve">0.920</w:t>
            </w:r>
          </w:p>
        </w:tc>
        <w:tc>
          <w:tcPr/>
          <w:p>
            <w:pPr>
              <w:pStyle w:val="Compact"/>
              <w:jc w:val="left"/>
            </w:pPr>
            <w:r>
              <w:rPr>
                <w:rFonts w:ascii="Times New Roman" w:hAnsi="Times New Roman"/>
                <w:sz w:val="16"/>
              </w:rPr>
              <w:t xml:space="preserve">0.794</w:t>
            </w:r>
          </w:p>
        </w:tc>
        <w:tc>
          <w:tcPr/>
          <w:p>
            <w:pPr>
              <w:pStyle w:val="Compact"/>
              <w:jc w:val="left"/>
            </w:pPr>
            <w:r>
              <w:rPr>
                <w:rFonts w:ascii="Times New Roman" w:hAnsi="Times New Roman"/>
                <w:sz w:val="16"/>
              </w:rPr>
              <w:t xml:space="preserve">0.167</w:t>
            </w:r>
          </w:p>
        </w:tc>
        <w:tc>
          <w:tcPr/>
          <w:p>
            <w:pPr>
              <w:pStyle w:val="Compact"/>
              <w:jc w:val="left"/>
            </w:pPr>
            <w:r>
              <w:rPr>
                <w:bCs/>
                <w:rFonts w:ascii="Times New Roman" w:hAnsi="Times New Roman"/>
                <w:b/>
                <w:sz w:val="16"/>
              </w:rPr>
              <w:t xml:space="preserve">4.7x</w:t>
            </w:r>
          </w:p>
        </w:tc>
      </w:tr>
      <w:tr>
        <w:tc>
          <w:tcPr/>
          <w:p>
            <w:pPr>
              <w:pStyle w:val="Compact"/>
              <w:jc w:val="left"/>
            </w:pPr>
            <w:r>
              <w:rPr>
                <w:rFonts w:ascii="Times New Roman" w:hAnsi="Times New Roman"/>
                <w:sz w:val="16"/>
              </w:rPr>
              <w:t xml:space="preserve">RCAEval</w:t>
            </w:r>
          </w:p>
        </w:tc>
        <w:tc>
          <w:tcPr/>
          <w:p>
            <w:pPr>
              <w:pStyle w:val="Compact"/>
              <w:jc w:val="left"/>
            </w:pPr>
            <w:r>
              <w:rPr>
                <w:rFonts w:ascii="Times New Roman" w:hAnsi="Times New Roman"/>
                <w:sz w:val="16"/>
              </w:rPr>
              <w:t xml:space="preserve">detection</w:t>
            </w:r>
          </w:p>
        </w:tc>
        <w:tc>
          <w:tcPr/>
          <w:p>
            <w:pPr>
              <w:pStyle w:val="Compact"/>
              <w:jc w:val="left"/>
            </w:pPr>
            <w:r>
              <w:rPr>
                <w:rFonts w:ascii="Times New Roman" w:hAnsi="Times New Roman"/>
                <w:sz w:val="16"/>
              </w:rPr>
              <w:t xml:space="preserve">XGBoost</w:t>
            </w:r>
          </w:p>
        </w:tc>
        <w:tc>
          <w:tcPr/>
          <w:p>
            <w:pPr>
              <w:pStyle w:val="Compact"/>
              <w:jc w:val="left"/>
            </w:pPr>
            <w:r>
              <w:rPr>
                <w:rFonts w:ascii="Times New Roman" w:hAnsi="Times New Roman"/>
                <w:sz w:val="16"/>
              </w:rPr>
              <w:t xml:space="preserve">0.996</w:t>
            </w:r>
          </w:p>
        </w:tc>
        <w:tc>
          <w:tcPr/>
          <w:p>
            <w:pPr>
              <w:pStyle w:val="Compact"/>
              <w:jc w:val="left"/>
            </w:pPr>
            <w:r>
              <w:rPr>
                <w:rFonts w:ascii="Times New Roman" w:hAnsi="Times New Roman"/>
                <w:sz w:val="16"/>
              </w:rPr>
              <w:t xml:space="preserve">0.997</w:t>
            </w:r>
          </w:p>
        </w:tc>
        <w:tc>
          <w:tcPr/>
          <w:p>
            <w:pPr>
              <w:pStyle w:val="Compact"/>
              <w:jc w:val="left"/>
            </w:pPr>
            <w:r>
              <w:rPr>
                <w:rFonts w:ascii="Times New Roman" w:hAnsi="Times New Roman"/>
                <w:sz w:val="16"/>
              </w:rPr>
              <w:t xml:space="preserve">0.498</w:t>
            </w:r>
          </w:p>
        </w:tc>
        <w:tc>
          <w:tcPr/>
          <w:p>
            <w:pPr>
              <w:pStyle w:val="Compact"/>
              <w:jc w:val="left"/>
            </w:pPr>
            <w:r>
              <w:rPr>
                <w:rFonts w:ascii="Times New Roman" w:hAnsi="Times New Roman"/>
                <w:sz w:val="16"/>
              </w:rPr>
              <w:t xml:space="preserve">2.0x</w:t>
            </w:r>
          </w:p>
        </w:tc>
      </w:tr>
      <w:tr>
        <w:tc>
          <w:tcPr/>
          <w:p>
            <w:pPr>
              <w:pStyle w:val="Compact"/>
              <w:jc w:val="left"/>
            </w:pPr>
            <w:r>
              <w:rPr>
                <w:rFonts w:ascii="Times New Roman" w:hAnsi="Times New Roman"/>
                <w:sz w:val="16"/>
              </w:rPr>
              <w:t xml:space="preserve">SMD</w:t>
            </w:r>
          </w:p>
        </w:tc>
        <w:tc>
          <w:tcPr/>
          <w:p>
            <w:pPr>
              <w:pStyle w:val="Compact"/>
              <w:jc w:val="left"/>
            </w:pPr>
            <w:r>
              <w:rPr>
                <w:rFonts w:ascii="Times New Roman" w:hAnsi="Times New Roman"/>
                <w:sz w:val="16"/>
              </w:rPr>
              <w:t xml:space="preserve">early warning, 30 min</w:t>
            </w:r>
          </w:p>
        </w:tc>
        <w:tc>
          <w:tcPr/>
          <w:p>
            <w:pPr>
              <w:pStyle w:val="Compact"/>
              <w:jc w:val="left"/>
            </w:pPr>
            <w:r>
              <w:rPr>
                <w:rFonts w:ascii="Times New Roman" w:hAnsi="Times New Roman"/>
                <w:sz w:val="16"/>
              </w:rPr>
              <w:t xml:space="preserve">Extra Trees</w:t>
            </w:r>
          </w:p>
        </w:tc>
        <w:tc>
          <w:tcPr/>
          <w:p>
            <w:pPr>
              <w:pStyle w:val="Compact"/>
              <w:jc w:val="left"/>
            </w:pPr>
            <w:r>
              <w:rPr>
                <w:rFonts w:ascii="Times New Roman" w:hAnsi="Times New Roman"/>
                <w:sz w:val="16"/>
              </w:rPr>
              <w:t xml:space="preserve">0.953</w:t>
            </w:r>
          </w:p>
        </w:tc>
        <w:tc>
          <w:tcPr/>
          <w:p>
            <w:pPr>
              <w:pStyle w:val="Compact"/>
              <w:jc w:val="left"/>
            </w:pPr>
            <w:r>
              <w:rPr>
                <w:rFonts w:ascii="Times New Roman" w:hAnsi="Times New Roman"/>
                <w:sz w:val="16"/>
              </w:rPr>
              <w:t xml:space="preserve">0.905</w:t>
            </w:r>
          </w:p>
        </w:tc>
        <w:tc>
          <w:tcPr/>
          <w:p>
            <w:pPr>
              <w:pStyle w:val="Compact"/>
              <w:jc w:val="left"/>
            </w:pPr>
            <w:r>
              <w:rPr>
                <w:rFonts w:ascii="Times New Roman" w:hAnsi="Times New Roman"/>
                <w:sz w:val="16"/>
              </w:rPr>
              <w:t xml:space="preserve">0.286</w:t>
            </w:r>
          </w:p>
        </w:tc>
        <w:tc>
          <w:tcPr/>
          <w:p>
            <w:pPr>
              <w:pStyle w:val="Compact"/>
              <w:jc w:val="left"/>
            </w:pPr>
            <w:r>
              <w:rPr>
                <w:rFonts w:ascii="Times New Roman" w:hAnsi="Times New Roman"/>
                <w:sz w:val="16"/>
              </w:rPr>
              <w:t xml:space="preserve">3.2x</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3179720"/>
            <wp:effectExtent b="0" l="0" r="0" t="0"/>
            <wp:docPr descr="" title="" id="47" name="Picture"/>
            <a:graphic>
              <a:graphicData uri="http://schemas.openxmlformats.org/drawingml/2006/picture">
                <pic:pic>
                  <pic:nvPicPr>
                    <pic:cNvPr descr="figures/fig3_model_comparison.png" id="48" name="Picture"/>
                    <pic:cNvPicPr>
                      <a:picLocks noChangeArrowheads="1" noChangeAspect="1"/>
                    </pic:cNvPicPr>
                  </pic:nvPicPr>
                  <pic:blipFill>
                    <a:blip r:embed="rId46"/>
                    <a:stretch>
                      <a:fillRect/>
                    </a:stretch>
                  </pic:blipFill>
                  <pic:spPr bwMode="auto">
                    <a:xfrm>
                      <a:off x="0" y="0"/>
                      <a:ext cx="6400800" cy="3179720"/>
                    </a:xfrm>
                    <a:prstGeom prst="rect">
                      <a:avLst/>
                    </a:prstGeom>
                    <a:noFill/>
                    <a:ln w="9525">
                      <a:noFill/>
                      <a:headEnd/>
                      <a:tailEnd/>
                    </a:ln>
                  </pic:spPr>
                </pic:pic>
              </a:graphicData>
            </a:graphic>
          </wp:inline>
        </w:drawing>
      </w:r>
    </w:p>
    <w:p>
      <w:pPr>
        <w:pStyle w:val="BodyText"/>
      </w:pPr>
      <w:r>
        <w:rPr>
          <w:iCs/>
          <w:i/>
        </w:rPr>
        <w:t xml:space="preserve">Figure 3. AUPRC across the full model hierarchy on both primary legs,</w:t>
      </w:r>
      <w:r>
        <w:rPr>
          <w:iCs/>
          <w:i/>
        </w:rPr>
        <w:t xml:space="preserve"> </w:t>
      </w:r>
      <w:r>
        <w:rPr>
          <w:iCs/>
          <w:i/>
        </w:rPr>
        <w:t xml:space="preserve">colored by model family.</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drawing>
          <wp:inline>
            <wp:extent cx="3108960" cy="2538936"/>
            <wp:effectExtent b="0" l="0" r="0" t="0"/>
            <wp:docPr descr="" title="" id="50" name="Picture"/>
            <a:graphic>
              <a:graphicData uri="http://schemas.openxmlformats.org/drawingml/2006/picture">
                <pic:pic>
                  <pic:nvPicPr>
                    <pic:cNvPr descr="figures/fig6_roc_pr_curves.png" id="51" name="Picture"/>
                    <pic:cNvPicPr>
                      <a:picLocks noChangeArrowheads="1" noChangeAspect="1"/>
                    </pic:cNvPicPr>
                  </pic:nvPicPr>
                  <pic:blipFill>
                    <a:blip r:embed="rId49"/>
                    <a:stretch>
                      <a:fillRect/>
                    </a:stretch>
                  </pic:blipFill>
                  <pic:spPr bwMode="auto">
                    <a:xfrm>
                      <a:off x="0" y="0"/>
                      <a:ext cx="3108960" cy="2538936"/>
                    </a:xfrm>
                    <a:prstGeom prst="rect">
                      <a:avLst/>
                    </a:prstGeom>
                    <a:noFill/>
                    <a:ln w="9525">
                      <a:noFill/>
                      <a:headEnd/>
                      <a:tailEnd/>
                    </a:ln>
                  </pic:spPr>
                </pic:pic>
              </a:graphicData>
            </a:graphic>
          </wp:inline>
        </w:drawing>
      </w:r>
    </w:p>
    <w:p>
      <w:pPr>
        <w:pStyle w:val="BodyText"/>
      </w:pPr>
      <w:r>
        <w:rPr>
          <w:iCs/>
          <w:i/>
        </w:rPr>
        <w:t xml:space="preserve">Figure 6. ROC and precision-recall curves for the leading models.</w:t>
      </w:r>
    </w:p>
    <w:p>
      <w:pPr>
        <w:pStyle w:val="BodyText"/>
      </w:pPr>
      <w:r>
        <w:rPr>
          <w:bCs/>
          <w:b/>
        </w:rPr>
        <w:t xml:space="preserve">Finding 1 — tree ensembles win accuracy on every leg, and attention</w:t>
      </w:r>
      <w:r>
        <w:rPr>
          <w:bCs/>
          <w:b/>
        </w:rPr>
        <w:t xml:space="preserve"> </w:t>
      </w:r>
      <w:r>
        <w:rPr>
          <w:bCs/>
          <w:b/>
        </w:rPr>
        <w:t xml:space="preserve">does not pay for itself.</w:t>
      </w:r>
      <w:r>
        <w:t xml:space="preserve"> </w:t>
      </w:r>
      <w:r>
        <w:t xml:space="preserve">The ordering is stable across three sampling</w:t>
      </w:r>
      <w:r>
        <w:t xml:space="preserve"> </w:t>
      </w:r>
      <w:r>
        <w:t xml:space="preserve">rates (10 Hz / 1 Hz / one per minute), three channel counts (18 / 24 / 38),</w:t>
      </w:r>
      <w:r>
        <w:t xml:space="preserve"> </w:t>
      </w:r>
      <w:r>
        <w:t xml:space="preserve">and three domains.</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6. Best tree model vs. Transformer, per leg.</w:t>
      </w:r>
    </w:p>
    <w:tbl>
      <w:tblPr>
        <w:tblStyle w:val="Table"/>
        <w:tblLook w:firstRow="1" w:lastRow="0" w:firstColumn="0" w:lastColumn="0" w:noHBand="0" w:noVBand="0" w:val="0020"/>
        <w:jc w:val="start"/>
        <w:tblLayout w:type="autofit"/>
        <w:tblW w:type="pct" w:w="5000"/>
      </w:tblPr>
      <w:tblGrid>
        <w:gridCol w:w="1584"/>
        <w:gridCol w:w="1584"/>
        <w:gridCol w:w="1584"/>
        <w:gridCol w:w="1584"/>
        <w:gridCol w:w="1584"/>
      </w:tblGrid>
      <w:tr>
        <w:trPr>
          <w:tblHeader w:val="true"/>
        </w:trPr>
        <w:tc>
          <w:tcPr/>
          <w:p>
            <w:pPr>
              <w:pStyle w:val="Compact"/>
              <w:jc w:val="left"/>
            </w:pPr>
            <w:r>
              <w:rPr>
                <w:bCs/>
                <w:rFonts w:ascii="Times New Roman" w:hAnsi="Times New Roman"/>
                <w:b/>
                <w:sz w:val="16"/>
              </w:rPr>
              <w:t xml:space="preserve">Leg</w:t>
            </w:r>
          </w:p>
        </w:tc>
        <w:tc>
          <w:tcPr/>
          <w:p>
            <w:pPr>
              <w:pStyle w:val="Compact"/>
              <w:jc w:val="left"/>
            </w:pPr>
            <w:r>
              <w:rPr>
                <w:bCs/>
                <w:rFonts w:ascii="Times New Roman" w:hAnsi="Times New Roman"/>
                <w:b/>
                <w:sz w:val="16"/>
              </w:rPr>
              <w:t xml:space="preserve">Best tree AUPRC</w:t>
            </w:r>
          </w:p>
        </w:tc>
        <w:tc>
          <w:tcPr/>
          <w:p>
            <w:pPr>
              <w:pStyle w:val="Compact"/>
              <w:jc w:val="left"/>
            </w:pPr>
            <w:r>
              <w:rPr>
                <w:bCs/>
                <w:rFonts w:ascii="Times New Roman" w:hAnsi="Times New Roman"/>
                <w:b/>
                <w:sz w:val="16"/>
              </w:rPr>
              <w:t xml:space="preserve">Transformer AUPRC</w:t>
            </w:r>
          </w:p>
        </w:tc>
        <w:tc>
          <w:tcPr/>
          <w:p>
            <w:pPr>
              <w:pStyle w:val="Compact"/>
              <w:jc w:val="left"/>
            </w:pPr>
            <w:r>
              <w:rPr>
                <w:bCs/>
                <w:rFonts w:ascii="Times New Roman" w:hAnsi="Times New Roman"/>
                <w:b/>
                <w:sz w:val="16"/>
              </w:rPr>
              <w:t xml:space="preserve">Delta</w:t>
            </w:r>
          </w:p>
        </w:tc>
        <w:tc>
          <w:tcPr/>
          <w:p>
            <w:pPr>
              <w:pStyle w:val="Compact"/>
              <w:jc w:val="left"/>
            </w:pPr>
            <w:r>
              <w:rPr>
                <w:bCs/>
                <w:rFonts w:ascii="Times New Roman" w:hAnsi="Times New Roman"/>
                <w:b/>
                <w:sz w:val="16"/>
              </w:rPr>
              <w:t xml:space="preserve">Fit-time ratio</w:t>
            </w:r>
          </w:p>
        </w:tc>
      </w:tr>
      <w:tr>
        <w:tc>
          <w:tcPr/>
          <w:p>
            <w:pPr>
              <w:pStyle w:val="Compact"/>
              <w:jc w:val="left"/>
            </w:pPr>
            <w:r>
              <w:rPr>
                <w:rFonts w:ascii="Times New Roman" w:hAnsi="Times New Roman"/>
                <w:sz w:val="16"/>
              </w:rPr>
              <w:t xml:space="preserve">TelecomTS</w:t>
            </w:r>
          </w:p>
        </w:tc>
        <w:tc>
          <w:tcPr/>
          <w:p>
            <w:pPr>
              <w:pStyle w:val="Compact"/>
              <w:jc w:val="left"/>
            </w:pPr>
            <w:r>
              <w:rPr>
                <w:rFonts w:ascii="Times New Roman" w:hAnsi="Times New Roman"/>
                <w:sz w:val="16"/>
              </w:rPr>
              <w:t xml:space="preserve">0.794</w:t>
            </w:r>
          </w:p>
        </w:tc>
        <w:tc>
          <w:tcPr/>
          <w:p>
            <w:pPr>
              <w:pStyle w:val="Compact"/>
              <w:jc w:val="left"/>
            </w:pPr>
            <w:r>
              <w:rPr>
                <w:rFonts w:ascii="Times New Roman" w:hAnsi="Times New Roman"/>
                <w:sz w:val="16"/>
              </w:rPr>
              <w:t xml:space="preserve">0.702</w:t>
            </w:r>
          </w:p>
        </w:tc>
        <w:tc>
          <w:tcPr/>
          <w:p>
            <w:pPr>
              <w:pStyle w:val="Compact"/>
              <w:jc w:val="left"/>
            </w:pPr>
            <w:r>
              <w:rPr>
                <w:bCs/>
                <w:rFonts w:ascii="Times New Roman" w:hAnsi="Times New Roman"/>
                <w:b/>
                <w:sz w:val="16"/>
              </w:rPr>
              <w:t xml:space="preserve">+0.092</w:t>
            </w:r>
          </w:p>
        </w:tc>
        <w:tc>
          <w:tcPr/>
          <w:p>
            <w:pPr>
              <w:pStyle w:val="Compact"/>
              <w:jc w:val="left"/>
            </w:pPr>
            <w:r>
              <w:rPr>
                <w:rFonts w:ascii="Times New Roman" w:hAnsi="Times New Roman"/>
                <w:sz w:val="16"/>
              </w:rPr>
              <w:t xml:space="preserve">43x</w:t>
            </w:r>
          </w:p>
        </w:tc>
      </w:tr>
      <w:tr>
        <w:tc>
          <w:tcPr/>
          <w:p>
            <w:pPr>
              <w:pStyle w:val="Compact"/>
              <w:jc w:val="left"/>
            </w:pPr>
            <w:r>
              <w:rPr>
                <w:rFonts w:ascii="Times New Roman" w:hAnsi="Times New Roman"/>
                <w:sz w:val="16"/>
              </w:rPr>
              <w:t xml:space="preserve">RCAEval</w:t>
            </w:r>
          </w:p>
        </w:tc>
        <w:tc>
          <w:tcPr/>
          <w:p>
            <w:pPr>
              <w:pStyle w:val="Compact"/>
              <w:jc w:val="left"/>
            </w:pPr>
            <w:r>
              <w:rPr>
                <w:rFonts w:ascii="Times New Roman" w:hAnsi="Times New Roman"/>
                <w:sz w:val="16"/>
              </w:rPr>
              <w:t xml:space="preserve">0.997</w:t>
            </w:r>
          </w:p>
        </w:tc>
        <w:tc>
          <w:tcPr/>
          <w:p>
            <w:pPr>
              <w:pStyle w:val="Compact"/>
              <w:jc w:val="left"/>
            </w:pPr>
            <w:r>
              <w:rPr>
                <w:rFonts w:ascii="Times New Roman" w:hAnsi="Times New Roman"/>
                <w:sz w:val="16"/>
              </w:rPr>
              <w:t xml:space="preserve">0.994</w:t>
            </w:r>
          </w:p>
        </w:tc>
        <w:tc>
          <w:tcPr/>
          <w:p>
            <w:pPr>
              <w:pStyle w:val="Compact"/>
              <w:jc w:val="left"/>
            </w:pPr>
            <w:r>
              <w:rPr>
                <w:rFonts w:ascii="Times New Roman" w:hAnsi="Times New Roman"/>
                <w:sz w:val="16"/>
              </w:rPr>
              <w:t xml:space="preserve">+0.003</w:t>
            </w:r>
          </w:p>
        </w:tc>
        <w:tc>
          <w:tcPr/>
          <w:p>
            <w:pPr>
              <w:pStyle w:val="Compact"/>
              <w:jc w:val="left"/>
            </w:pPr>
            <w:r>
              <w:rPr>
                <w:rFonts w:ascii="Times New Roman" w:hAnsi="Times New Roman"/>
                <w:sz w:val="16"/>
              </w:rPr>
              <w:t xml:space="preserve">82x</w:t>
            </w:r>
          </w:p>
        </w:tc>
      </w:tr>
      <w:tr>
        <w:tc>
          <w:tcPr/>
          <w:p>
            <w:pPr>
              <w:pStyle w:val="Compact"/>
              <w:jc w:val="left"/>
            </w:pPr>
            <w:r>
              <w:rPr>
                <w:rFonts w:ascii="Times New Roman" w:hAnsi="Times New Roman"/>
                <w:sz w:val="16"/>
              </w:rPr>
              <w:t xml:space="preserve">SMD</w:t>
            </w:r>
          </w:p>
        </w:tc>
        <w:tc>
          <w:tcPr/>
          <w:p>
            <w:pPr>
              <w:pStyle w:val="Compact"/>
              <w:jc w:val="left"/>
            </w:pPr>
            <w:r>
              <w:rPr>
                <w:rFonts w:ascii="Times New Roman" w:hAnsi="Times New Roman"/>
                <w:sz w:val="16"/>
              </w:rPr>
              <w:t xml:space="preserve">0.905</w:t>
            </w:r>
          </w:p>
        </w:tc>
        <w:tc>
          <w:tcPr/>
          <w:p>
            <w:pPr>
              <w:pStyle w:val="Compact"/>
              <w:jc w:val="left"/>
            </w:pPr>
            <w:r>
              <w:rPr>
                <w:rFonts w:ascii="Times New Roman" w:hAnsi="Times New Roman"/>
                <w:sz w:val="16"/>
              </w:rPr>
              <w:t xml:space="preserve">0.886</w:t>
            </w:r>
          </w:p>
        </w:tc>
        <w:tc>
          <w:tcPr/>
          <w:p>
            <w:pPr>
              <w:pStyle w:val="Compact"/>
              <w:jc w:val="left"/>
            </w:pPr>
            <w:r>
              <w:rPr>
                <w:rFonts w:ascii="Times New Roman" w:hAnsi="Times New Roman"/>
                <w:sz w:val="16"/>
              </w:rPr>
              <w:t xml:space="preserve">+0.019</w:t>
            </w:r>
          </w:p>
        </w:tc>
        <w:tc>
          <w:tcPr/>
          <w:p>
            <w:pPr>
              <w:pStyle w:val="Compact"/>
              <w:jc w:val="left"/>
            </w:pPr>
            <w:r>
              <w:rPr>
                <w:rFonts w:ascii="Times New Roman" w:hAnsi="Times New Roman"/>
                <w:sz w:val="16"/>
              </w:rPr>
              <w:t xml:space="preserve">~4x</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This is a negative result for the attention mechanism and we report it as</w:t>
      </w:r>
      <w:r>
        <w:t xml:space="preserve"> </w:t>
      </w:r>
      <w:r>
        <w:t xml:space="preserve">one. Attention costs 4-82x the training time for no accuracy gain on any</w:t>
      </w:r>
      <w:r>
        <w:t xml:space="preserve"> </w:t>
      </w:r>
      <w:r>
        <w:t xml:space="preserve">leg. It also removes a risk flagged when the comparison was designed:</w:t>
      </w:r>
      <w:r>
        <w:t xml:space="preserve"> </w:t>
      </w:r>
      <w:r>
        <w:t xml:space="preserve">because the best detector is a tree model on every leg, the SHAP</w:t>
      </w:r>
      <w:r>
        <w:t xml:space="preserve"> </w:t>
      </w:r>
      <w:r>
        <w:t xml:space="preserve">TreeExplainer path of Component 2 stays exact throughout, and attribution</w:t>
      </w:r>
      <w:r>
        <w:t xml:space="preserve"> </w:t>
      </w:r>
      <w:r>
        <w:t xml:space="preserve">numbers remain comparable across datasets instead of switching explainer</w:t>
      </w:r>
      <w:r>
        <w:t xml:space="preserve"> </w:t>
      </w:r>
      <w:r>
        <w:t xml:space="preserve">family mid-study.</w:t>
      </w:r>
    </w:p>
    <w:p>
      <w:pPr>
        <w:pStyle w:val="BodyText"/>
      </w:pPr>
      <w:r>
        <w:rPr>
          <w:bCs/>
          <w:b/>
        </w:rPr>
        <w:t xml:space="preserve">Horizon feasibility is bounded by the data, not the model.</w:t>
      </w:r>
      <w:r>
        <w:t xml:space="preserve"> </w:t>
      </w:r>
      <w:r>
        <w:t xml:space="preserve">Table 7</w:t>
      </w:r>
      <w:r>
        <w:t xml:space="preserve"> </w:t>
      </w:r>
      <w:r>
        <w:t xml:space="preserve">sweeps the TelecomTS horizon. The headline column (AUPRC over all EVAL</w:t>
      </w:r>
      <w:r>
        <w:t xml:space="preserve"> </w:t>
      </w:r>
      <w:r>
        <w:t xml:space="preserve">windows) is optimistic, because windows already inside an anomaly are</w:t>
      </w:r>
      <w:r>
        <w:t xml:space="preserve"> </w:t>
      </w:r>
      <w:r>
        <w:t xml:space="preserve">trivially separable; the</w:t>
      </w:r>
      <w:r>
        <w:t xml:space="preserve"> </w:t>
      </w:r>
      <w:r>
        <w:rPr>
          <w:iCs/>
          <w:i/>
        </w:rPr>
        <w:t xml:space="preserve">clean</w:t>
      </w:r>
      <w:r>
        <w:t xml:space="preserve"> </w:t>
      </w:r>
      <w:r>
        <w:t xml:space="preserve">column restricts scoring to genuine</w:t>
      </w:r>
      <w:r>
        <w:t xml:space="preserve"> </w:t>
      </w:r>
      <w:r>
        <w:t xml:space="preserve">pre-onset windows and is the honest measure of anticipation.</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7. TelecomTS horizon sweep.</w:t>
      </w:r>
      <w:r>
        <w:rPr>
          <w:bCs/>
          <w:b/>
        </w:rPr>
        <w:t xml:space="preserve"> </w:t>
      </w:r>
      <w:r>
        <w:rPr>
          <w:bCs/>
          <w:b/>
        </w:rPr>
        <w:t xml:space="preserve">“</w:t>
      </w:r>
      <w:r>
        <w:rPr>
          <w:bCs/>
          <w:b/>
        </w:rPr>
        <w:t xml:space="preserve">Clean</w:t>
      </w:r>
      <w:r>
        <w:rPr>
          <w:bCs/>
          <w:b/>
        </w:rPr>
        <w:t xml:space="preserve">”</w:t>
      </w:r>
      <w:r>
        <w:rPr>
          <w:bCs/>
          <w:b/>
        </w:rPr>
        <w:t xml:space="preserve"> </w:t>
      </w:r>
      <w:r>
        <w:rPr>
          <w:bCs/>
          <w:b/>
        </w:rPr>
        <w:t xml:space="preserve">excludes windows already</w:t>
      </w:r>
      <w:r>
        <w:rPr>
          <w:bCs/>
          <w:b/>
        </w:rPr>
        <w:t xml:space="preserve"> </w:t>
      </w:r>
      <w:r>
        <w:rPr>
          <w:bCs/>
          <w:b/>
        </w:rPr>
        <w:t xml:space="preserve">inside an anomaly segment.</w:t>
      </w:r>
    </w:p>
    <w:tbl>
      <w:tblPr>
        <w:tblStyle w:val="Table"/>
        <w:tblLook w:firstRow="1" w:lastRow="0" w:firstColumn="0" w:lastColumn="0" w:noHBand="0" w:noVBand="0" w:val="0020"/>
        <w:jc w:val="start"/>
        <w:tblLayout w:type="autofit"/>
        <w:tblW w:type="pct" w:w="5000"/>
      </w:tblPr>
      <w:tblGrid>
        <w:gridCol w:w="1320"/>
        <w:gridCol w:w="1320"/>
        <w:gridCol w:w="1320"/>
        <w:gridCol w:w="1320"/>
        <w:gridCol w:w="1320"/>
        <w:gridCol w:w="1320"/>
      </w:tblGrid>
      <w:tr>
        <w:trPr>
          <w:tblHeader w:val="true"/>
        </w:trPr>
        <w:tc>
          <w:tcPr/>
          <w:p>
            <w:pPr>
              <w:pStyle w:val="Compact"/>
              <w:jc w:val="left"/>
            </w:pPr>
            <w:r>
              <w:rPr>
                <w:bCs/>
                <w:rFonts w:ascii="Times New Roman" w:hAnsi="Times New Roman"/>
                <w:b/>
                <w:sz w:val="16"/>
              </w:rPr>
              <w:t xml:space="preserve">Horizon (s)</w:t>
            </w:r>
          </w:p>
        </w:tc>
        <w:tc>
          <w:tcPr/>
          <w:p>
            <w:pPr>
              <w:pStyle w:val="Compact"/>
              <w:jc w:val="left"/>
            </w:pPr>
            <w:r>
              <w:rPr>
                <w:bCs/>
                <w:rFonts w:ascii="Times New Roman" w:hAnsi="Times New Roman"/>
                <w:b/>
                <w:sz w:val="16"/>
              </w:rPr>
              <w:t xml:space="preserve">AUPRC (all)</w:t>
            </w:r>
          </w:p>
        </w:tc>
        <w:tc>
          <w:tcPr/>
          <w:p>
            <w:pPr>
              <w:pStyle w:val="Compact"/>
              <w:jc w:val="left"/>
            </w:pPr>
            <w:r>
              <w:rPr>
                <w:bCs/>
                <w:rFonts w:ascii="Times New Roman" w:hAnsi="Times New Roman"/>
                <w:b/>
                <w:sz w:val="16"/>
              </w:rPr>
              <w:t xml:space="preserve">Lift (all)</w:t>
            </w:r>
          </w:p>
        </w:tc>
        <w:tc>
          <w:tcPr/>
          <w:p>
            <w:pPr>
              <w:pStyle w:val="Compact"/>
              <w:jc w:val="left"/>
            </w:pPr>
            <w:r>
              <w:rPr>
                <w:bCs/>
                <w:rFonts w:ascii="Times New Roman" w:hAnsi="Times New Roman"/>
                <w:b/>
                <w:sz w:val="16"/>
              </w:rPr>
              <w:t xml:space="preserve">AUPRC (clean)</w:t>
            </w:r>
          </w:p>
        </w:tc>
        <w:tc>
          <w:tcPr/>
          <w:p>
            <w:pPr>
              <w:pStyle w:val="Compact"/>
              <w:jc w:val="left"/>
            </w:pPr>
            <w:r>
              <w:rPr>
                <w:bCs/>
                <w:rFonts w:ascii="Times New Roman" w:hAnsi="Times New Roman"/>
                <w:b/>
                <w:sz w:val="16"/>
              </w:rPr>
              <w:t xml:space="preserve">AUROC (clean)</w:t>
            </w:r>
          </w:p>
        </w:tc>
        <w:tc>
          <w:tcPr/>
          <w:p>
            <w:pPr>
              <w:pStyle w:val="Compact"/>
              <w:jc w:val="left"/>
            </w:pPr>
            <w:r>
              <w:rPr>
                <w:bCs/>
                <w:rFonts w:ascii="Times New Roman" w:hAnsi="Times New Roman"/>
                <w:b/>
                <w:sz w:val="16"/>
              </w:rPr>
              <w:t xml:space="preserve">Clean positives</w:t>
            </w:r>
          </w:p>
        </w:tc>
      </w:tr>
      <w:tr>
        <w:tc>
          <w:tcPr/>
          <w:p>
            <w:pPr>
              <w:pStyle w:val="Compact"/>
              <w:jc w:val="left"/>
            </w:pPr>
            <w:r>
              <w:rPr>
                <w:rFonts w:ascii="Times New Roman" w:hAnsi="Times New Roman"/>
                <w:sz w:val="16"/>
              </w:rPr>
              <w:t xml:space="preserve">1</w:t>
            </w:r>
          </w:p>
        </w:tc>
        <w:tc>
          <w:tcPr/>
          <w:p>
            <w:pPr>
              <w:pStyle w:val="Compact"/>
              <w:jc w:val="left"/>
            </w:pPr>
            <w:r>
              <w:rPr>
                <w:rFonts w:ascii="Times New Roman" w:hAnsi="Times New Roman"/>
                <w:sz w:val="16"/>
              </w:rPr>
              <w:t xml:space="preserve">0.823</w:t>
            </w:r>
          </w:p>
        </w:tc>
        <w:tc>
          <w:tcPr/>
          <w:p>
            <w:pPr>
              <w:pStyle w:val="Compact"/>
              <w:jc w:val="left"/>
            </w:pPr>
            <w:r>
              <w:rPr>
                <w:rFonts w:ascii="Times New Roman" w:hAnsi="Times New Roman"/>
                <w:sz w:val="16"/>
              </w:rPr>
              <w:t xml:space="preserve">6.0x</w:t>
            </w:r>
          </w:p>
        </w:tc>
        <w:tc>
          <w:tcPr/>
          <w:p>
            <w:pPr>
              <w:pStyle w:val="Compact"/>
              <w:jc w:val="left"/>
            </w:pPr>
            <w:r>
              <w:rPr>
                <w:rFonts w:ascii="Times New Roman" w:hAnsi="Times New Roman"/>
                <w:sz w:val="16"/>
              </w:rPr>
              <w:t xml:space="preserve">0.047</w:t>
            </w:r>
          </w:p>
        </w:tc>
        <w:tc>
          <w:tcPr/>
          <w:p>
            <w:pPr>
              <w:pStyle w:val="Compact"/>
              <w:jc w:val="left"/>
            </w:pPr>
            <w:r>
              <w:rPr>
                <w:rFonts w:ascii="Times New Roman" w:hAnsi="Times New Roman"/>
                <w:sz w:val="16"/>
              </w:rPr>
              <w:t xml:space="preserve">0.605</w:t>
            </w:r>
          </w:p>
        </w:tc>
        <w:tc>
          <w:tcPr/>
          <w:p>
            <w:pPr>
              <w:pStyle w:val="Compact"/>
              <w:jc w:val="left"/>
            </w:pPr>
            <w:r>
              <w:rPr>
                <w:rFonts w:ascii="Times New Roman" w:hAnsi="Times New Roman"/>
                <w:sz w:val="16"/>
              </w:rPr>
              <w:t xml:space="preserve">26</w:t>
            </w:r>
          </w:p>
        </w:tc>
      </w:tr>
      <w:tr>
        <w:tc>
          <w:tcPr/>
          <w:p>
            <w:pPr>
              <w:pStyle w:val="Compact"/>
              <w:jc w:val="left"/>
            </w:pPr>
            <w:r>
              <w:rPr>
                <w:rFonts w:ascii="Times New Roman" w:hAnsi="Times New Roman"/>
                <w:sz w:val="16"/>
              </w:rPr>
              <w:t xml:space="preserve">2</w:t>
            </w:r>
          </w:p>
        </w:tc>
        <w:tc>
          <w:tcPr/>
          <w:p>
            <w:pPr>
              <w:pStyle w:val="Compact"/>
              <w:jc w:val="left"/>
            </w:pPr>
            <w:r>
              <w:rPr>
                <w:rFonts w:ascii="Times New Roman" w:hAnsi="Times New Roman"/>
                <w:sz w:val="16"/>
              </w:rPr>
              <w:t xml:space="preserve">0.802</w:t>
            </w:r>
          </w:p>
        </w:tc>
        <w:tc>
          <w:tcPr/>
          <w:p>
            <w:pPr>
              <w:pStyle w:val="Compact"/>
              <w:jc w:val="left"/>
            </w:pPr>
            <w:r>
              <w:rPr>
                <w:rFonts w:ascii="Times New Roman" w:hAnsi="Times New Roman"/>
                <w:sz w:val="16"/>
              </w:rPr>
              <w:t xml:space="preserve">5.6x</w:t>
            </w:r>
          </w:p>
        </w:tc>
        <w:tc>
          <w:tcPr/>
          <w:p>
            <w:pPr>
              <w:pStyle w:val="Compact"/>
              <w:jc w:val="left"/>
            </w:pPr>
            <w:r>
              <w:rPr>
                <w:rFonts w:ascii="Times New Roman" w:hAnsi="Times New Roman"/>
                <w:sz w:val="16"/>
              </w:rPr>
              <w:t xml:space="preserve">0.079</w:t>
            </w:r>
          </w:p>
        </w:tc>
        <w:tc>
          <w:tcPr/>
          <w:p>
            <w:pPr>
              <w:pStyle w:val="Compact"/>
              <w:jc w:val="left"/>
            </w:pPr>
            <w:r>
              <w:rPr>
                <w:rFonts w:ascii="Times New Roman" w:hAnsi="Times New Roman"/>
                <w:sz w:val="16"/>
              </w:rPr>
              <w:t xml:space="preserve">0.568</w:t>
            </w:r>
          </w:p>
        </w:tc>
        <w:tc>
          <w:tcPr/>
          <w:p>
            <w:pPr>
              <w:pStyle w:val="Compact"/>
              <w:jc w:val="left"/>
            </w:pPr>
            <w:r>
              <w:rPr>
                <w:rFonts w:ascii="Times New Roman" w:hAnsi="Times New Roman"/>
                <w:sz w:val="16"/>
              </w:rPr>
              <w:t xml:space="preserve">52</w:t>
            </w:r>
          </w:p>
        </w:tc>
      </w:tr>
      <w:tr>
        <w:tc>
          <w:tcPr/>
          <w:p>
            <w:pPr>
              <w:pStyle w:val="Compact"/>
              <w:jc w:val="left"/>
            </w:pPr>
            <w:r>
              <w:rPr>
                <w:rFonts w:ascii="Times New Roman" w:hAnsi="Times New Roman"/>
                <w:sz w:val="16"/>
              </w:rPr>
              <w:t xml:space="preserve">5</w:t>
            </w:r>
          </w:p>
        </w:tc>
        <w:tc>
          <w:tcPr/>
          <w:p>
            <w:pPr>
              <w:pStyle w:val="Compact"/>
              <w:jc w:val="left"/>
            </w:pPr>
            <w:r>
              <w:rPr>
                <w:rFonts w:ascii="Times New Roman" w:hAnsi="Times New Roman"/>
                <w:sz w:val="16"/>
              </w:rPr>
              <w:t xml:space="preserve">0.794</w:t>
            </w:r>
          </w:p>
        </w:tc>
        <w:tc>
          <w:tcPr/>
          <w:p>
            <w:pPr>
              <w:pStyle w:val="Compact"/>
              <w:jc w:val="left"/>
            </w:pPr>
            <w:r>
              <w:rPr>
                <w:rFonts w:ascii="Times New Roman" w:hAnsi="Times New Roman"/>
                <w:sz w:val="16"/>
              </w:rPr>
              <w:t xml:space="preserve">4.7x</w:t>
            </w:r>
          </w:p>
        </w:tc>
        <w:tc>
          <w:tcPr/>
          <w:p>
            <w:pPr>
              <w:pStyle w:val="Compact"/>
              <w:jc w:val="left"/>
            </w:pPr>
            <w:r>
              <w:rPr>
                <w:rFonts w:ascii="Times New Roman" w:hAnsi="Times New Roman"/>
                <w:sz w:val="16"/>
              </w:rPr>
              <w:t xml:space="preserve">0.162</w:t>
            </w:r>
          </w:p>
        </w:tc>
        <w:tc>
          <w:tcPr/>
          <w:p>
            <w:pPr>
              <w:pStyle w:val="Compact"/>
              <w:jc w:val="left"/>
            </w:pPr>
            <w:r>
              <w:rPr>
                <w:rFonts w:ascii="Times New Roman" w:hAnsi="Times New Roman"/>
                <w:sz w:val="16"/>
              </w:rPr>
              <w:t xml:space="preserve">0.696</w:t>
            </w:r>
          </w:p>
        </w:tc>
        <w:tc>
          <w:tcPr/>
          <w:p>
            <w:pPr>
              <w:pStyle w:val="Compact"/>
              <w:jc w:val="left"/>
            </w:pPr>
            <w:r>
              <w:rPr>
                <w:rFonts w:ascii="Times New Roman" w:hAnsi="Times New Roman"/>
                <w:sz w:val="16"/>
              </w:rPr>
              <w:t xml:space="preserve">127</w:t>
            </w:r>
          </w:p>
        </w:tc>
      </w:tr>
      <w:tr>
        <w:tc>
          <w:tcPr/>
          <w:p>
            <w:pPr>
              <w:pStyle w:val="Compact"/>
              <w:jc w:val="left"/>
            </w:pPr>
            <w:r>
              <w:rPr>
                <w:rFonts w:ascii="Times New Roman" w:hAnsi="Times New Roman"/>
                <w:sz w:val="16"/>
              </w:rPr>
              <w:t xml:space="preserve">10</w:t>
            </w:r>
          </w:p>
        </w:tc>
        <w:tc>
          <w:tcPr/>
          <w:p>
            <w:pPr>
              <w:pStyle w:val="Compact"/>
              <w:jc w:val="left"/>
            </w:pPr>
            <w:r>
              <w:rPr>
                <w:rFonts w:ascii="Times New Roman" w:hAnsi="Times New Roman"/>
                <w:sz w:val="16"/>
              </w:rPr>
              <w:t xml:space="preserve">0.760</w:t>
            </w:r>
          </w:p>
        </w:tc>
        <w:tc>
          <w:tcPr/>
          <w:p>
            <w:pPr>
              <w:pStyle w:val="Compact"/>
              <w:jc w:val="left"/>
            </w:pPr>
            <w:r>
              <w:rPr>
                <w:rFonts w:ascii="Times New Roman" w:hAnsi="Times New Roman"/>
                <w:sz w:val="16"/>
              </w:rPr>
              <w:t xml:space="preserve">3.8x</w:t>
            </w:r>
          </w:p>
        </w:tc>
        <w:tc>
          <w:tcPr/>
          <w:p>
            <w:pPr>
              <w:pStyle w:val="Compact"/>
              <w:jc w:val="left"/>
            </w:pPr>
            <w:r>
              <w:rPr>
                <w:rFonts w:ascii="Times New Roman" w:hAnsi="Times New Roman"/>
                <w:sz w:val="16"/>
              </w:rPr>
              <w:t xml:space="preserve">0.271</w:t>
            </w:r>
          </w:p>
        </w:tc>
        <w:tc>
          <w:tcPr/>
          <w:p>
            <w:pPr>
              <w:pStyle w:val="Compact"/>
              <w:jc w:val="left"/>
            </w:pPr>
            <w:r>
              <w:rPr>
                <w:rFonts w:ascii="Times New Roman" w:hAnsi="Times New Roman"/>
                <w:sz w:val="16"/>
              </w:rPr>
              <w:t xml:space="preserve">0.742</w:t>
            </w:r>
          </w:p>
        </w:tc>
        <w:tc>
          <w:tcPr/>
          <w:p>
            <w:pPr>
              <w:pStyle w:val="Compact"/>
              <w:jc w:val="left"/>
            </w:pPr>
            <w:r>
              <w:rPr>
                <w:rFonts w:ascii="Times New Roman" w:hAnsi="Times New Roman"/>
                <w:sz w:val="16"/>
              </w:rPr>
              <w:t xml:space="preserve">228</w:t>
            </w:r>
          </w:p>
        </w:tc>
      </w:tr>
      <w:tr>
        <w:tc>
          <w:tcPr/>
          <w:p>
            <w:pPr>
              <w:pStyle w:val="Compact"/>
              <w:jc w:val="left"/>
            </w:pPr>
            <w:r>
              <w:rPr>
                <w:rFonts w:ascii="Times New Roman" w:hAnsi="Times New Roman"/>
                <w:sz w:val="16"/>
              </w:rPr>
              <w:t xml:space="preserve">20</w:t>
            </w:r>
          </w:p>
        </w:tc>
        <w:tc>
          <w:tcPr/>
          <w:p>
            <w:pPr>
              <w:pStyle w:val="Compact"/>
              <w:jc w:val="left"/>
            </w:pPr>
            <w:r>
              <w:rPr>
                <w:rFonts w:ascii="Times New Roman" w:hAnsi="Times New Roman"/>
                <w:sz w:val="16"/>
              </w:rPr>
              <w:t xml:space="preserve">0.766</w:t>
            </w:r>
          </w:p>
        </w:tc>
        <w:tc>
          <w:tcPr/>
          <w:p>
            <w:pPr>
              <w:pStyle w:val="Compact"/>
              <w:jc w:val="left"/>
            </w:pPr>
            <w:r>
              <w:rPr>
                <w:rFonts w:ascii="Times New Roman" w:hAnsi="Times New Roman"/>
                <w:sz w:val="16"/>
              </w:rPr>
              <w:t xml:space="preserve">4.0x</w:t>
            </w:r>
          </w:p>
        </w:tc>
        <w:tc>
          <w:tcPr/>
          <w:p>
            <w:pPr>
              <w:pStyle w:val="Compact"/>
              <w:jc w:val="left"/>
            </w:pPr>
            <w:r>
              <w:rPr>
                <w:rFonts w:ascii="Times New Roman" w:hAnsi="Times New Roman"/>
                <w:sz w:val="16"/>
              </w:rPr>
              <w:t xml:space="preserve">0.335</w:t>
            </w:r>
          </w:p>
        </w:tc>
        <w:tc>
          <w:tcPr/>
          <w:p>
            <w:pPr>
              <w:pStyle w:val="Compact"/>
              <w:jc w:val="left"/>
            </w:pPr>
            <w:r>
              <w:rPr>
                <w:rFonts w:ascii="Times New Roman" w:hAnsi="Times New Roman"/>
                <w:sz w:val="16"/>
              </w:rPr>
              <w:t xml:space="preserve">0.753</w:t>
            </w:r>
          </w:p>
        </w:tc>
        <w:tc>
          <w:tcPr/>
          <w:p>
            <w:pPr>
              <w:pStyle w:val="Compact"/>
              <w:jc w:val="left"/>
            </w:pPr>
            <w:r>
              <w:rPr>
                <w:rFonts w:ascii="Times New Roman" w:hAnsi="Times New Roman"/>
                <w:sz w:val="16"/>
              </w:rPr>
              <w:t xml:space="preserve">245</w:t>
            </w:r>
          </w:p>
        </w:tc>
      </w:tr>
      <w:tr>
        <w:tc>
          <w:tcPr/>
          <w:p>
            <w:pPr>
              <w:pStyle w:val="Compact"/>
              <w:jc w:val="left"/>
            </w:pPr>
            <w:r>
              <w:rPr>
                <w:rFonts w:ascii="Times New Roman" w:hAnsi="Times New Roman"/>
                <w:sz w:val="16"/>
              </w:rPr>
              <w:t xml:space="preserve">30</w:t>
            </w:r>
          </w:p>
        </w:tc>
        <w:tc>
          <w:tcPr/>
          <w:p>
            <w:pPr>
              <w:pStyle w:val="Compact"/>
              <w:jc w:val="left"/>
            </w:pPr>
            <w:r>
              <w:rPr>
                <w:rFonts w:ascii="Times New Roman" w:hAnsi="Times New Roman"/>
                <w:sz w:val="16"/>
              </w:rPr>
              <w:t xml:space="preserve">0.730</w:t>
            </w:r>
          </w:p>
        </w:tc>
        <w:tc>
          <w:tcPr/>
          <w:p>
            <w:pPr>
              <w:pStyle w:val="Compact"/>
              <w:jc w:val="left"/>
            </w:pPr>
            <w:r>
              <w:rPr>
                <w:rFonts w:ascii="Times New Roman" w:hAnsi="Times New Roman"/>
                <w:sz w:val="16"/>
              </w:rPr>
              <w:t xml:space="preserve">4.3x</w:t>
            </w:r>
          </w:p>
        </w:tc>
        <w:tc>
          <w:tcPr/>
          <w:p>
            <w:pPr>
              <w:pStyle w:val="Compact"/>
              <w:jc w:val="left"/>
            </w:pPr>
            <w:r>
              <w:rPr>
                <w:rFonts w:ascii="Times New Roman" w:hAnsi="Times New Roman"/>
                <w:sz w:val="16"/>
              </w:rPr>
              <w:t xml:space="preserve">0.316</w:t>
            </w:r>
          </w:p>
        </w:tc>
        <w:tc>
          <w:tcPr/>
          <w:p>
            <w:pPr>
              <w:pStyle w:val="Compact"/>
              <w:jc w:val="left"/>
            </w:pPr>
            <w:r>
              <w:rPr>
                <w:rFonts w:ascii="Times New Roman" w:hAnsi="Times New Roman"/>
                <w:sz w:val="16"/>
              </w:rPr>
              <w:t xml:space="preserve">0.768</w:t>
            </w:r>
          </w:p>
        </w:tc>
        <w:tc>
          <w:tcPr/>
          <w:p>
            <w:pPr>
              <w:pStyle w:val="Compact"/>
              <w:jc w:val="left"/>
            </w:pPr>
            <w:r>
              <w:rPr>
                <w:rFonts w:ascii="Times New Roman" w:hAnsi="Times New Roman"/>
                <w:sz w:val="16"/>
              </w:rPr>
              <w:t xml:space="preserve">225</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The two columns tell opposite stories, and the disagreement is the</w:t>
      </w:r>
      <w:r>
        <w:t xml:space="preserve"> </w:t>
      </w:r>
      <w:r>
        <w:t xml:space="preserve">finding. Measured over all windows, shorter horizons look better;</w:t>
      </w:r>
      <w:r>
        <w:t xml:space="preserve"> </w:t>
      </w:r>
      <w:r>
        <w:t xml:space="preserve">measured over genuine pre-onset windows only, they look far worse</w:t>
      </w:r>
      <w:r>
        <w:t xml:space="preserve"> </w:t>
      </w:r>
      <w:r>
        <w:t xml:space="preserve">(AUPRC 0.047 at 1 s against a 0.008 base rate, AUROC 0.605 — barely</w:t>
      </w:r>
      <w:r>
        <w:t xml:space="preserve"> </w:t>
      </w:r>
      <w:r>
        <w:t xml:space="preserve">above chance). Anticipation improves monotonically with horizon up to</w:t>
      </w:r>
      <w:r>
        <w:t xml:space="preserve"> </w:t>
      </w:r>
      <w:r>
        <w:t xml:space="preserve">20 s because longer horizons admit more pre-onset positives to learn</w:t>
      </w:r>
      <w:r>
        <w:t xml:space="preserve"> </w:t>
      </w:r>
      <w:r>
        <w:t xml:space="preserve">from. We report the clean column as the operative one and treat the</w:t>
      </w:r>
      <w:r>
        <w:t xml:space="preserve"> </w:t>
      </w:r>
      <w:r>
        <w:t xml:space="preserve">5 s headline of Table 4 as an upper bound rather than a capability claim.</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490061"/>
            <wp:effectExtent b="0" l="0" r="0" t="0"/>
            <wp:docPr descr="" title="" id="53" name="Picture"/>
            <a:graphic>
              <a:graphicData uri="http://schemas.openxmlformats.org/drawingml/2006/picture">
                <pic:pic>
                  <pic:nvPicPr>
                    <pic:cNvPr descr="figures/fig9_horizon_sweep.png" id="54" name="Picture"/>
                    <pic:cNvPicPr>
                      <a:picLocks noChangeArrowheads="1" noChangeAspect="1"/>
                    </pic:cNvPicPr>
                  </pic:nvPicPr>
                  <pic:blipFill>
                    <a:blip r:embed="rId52"/>
                    <a:stretch>
                      <a:fillRect/>
                    </a:stretch>
                  </pic:blipFill>
                  <pic:spPr bwMode="auto">
                    <a:xfrm>
                      <a:off x="0" y="0"/>
                      <a:ext cx="6400800" cy="2490061"/>
                    </a:xfrm>
                    <a:prstGeom prst="rect">
                      <a:avLst/>
                    </a:prstGeom>
                    <a:noFill/>
                    <a:ln w="9525">
                      <a:noFill/>
                      <a:headEnd/>
                      <a:tailEnd/>
                    </a:ln>
                  </pic:spPr>
                </pic:pic>
              </a:graphicData>
            </a:graphic>
          </wp:inline>
        </w:drawing>
      </w:r>
    </w:p>
    <w:p>
      <w:pPr>
        <w:pStyle w:val="BodyText"/>
      </w:pPr>
      <w:r>
        <w:rPr>
          <w:iCs/>
          <w:i/>
        </w:rPr>
        <w:t xml:space="preserve">Figure 9. Horizon sweep on TelecomTS, all-window and clean pre-onset</w:t>
      </w:r>
      <w:r>
        <w:rPr>
          <w:iCs/>
          <w:i/>
        </w:rPr>
        <w:t xml:space="preserve"> </w:t>
      </w:r>
      <w:r>
        <w:rPr>
          <w:iCs/>
          <w:i/>
        </w:rPr>
        <w:t xml:space="preserve">scoring shown together.</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The ceiling is set by how much pre-onset telemetry each incident actually</w:t>
      </w:r>
      <w:r>
        <w:t xml:space="preserve"> </w:t>
      </w:r>
      <w:r>
        <w:t xml:space="preserve">provides. Across the 109 TelecomTS anomaly segments the median pre-onset</w:t>
      </w:r>
      <w:r>
        <w:t xml:space="preserve"> </w:t>
      </w:r>
      <w:r>
        <w:t xml:space="preserve">runway is 11.1 s and the maximum is 21.3 s: 94% of events afford at least</w:t>
      </w:r>
      <w:r>
        <w:t xml:space="preserve"> </w:t>
      </w:r>
      <w:r>
        <w:t xml:space="preserve">1 s of warning, 84% at least 5 s, 71% at least 10 s, and</w:t>
      </w:r>
      <w:r>
        <w:t xml:space="preserve"> </w:t>
      </w:r>
      <w:r>
        <w:rPr>
          <w:bCs/>
          <w:b/>
        </w:rPr>
        <w:t xml:space="preserve">none</w:t>
      </w:r>
      <w:r>
        <w:t xml:space="preserve"> </w:t>
      </w:r>
      <w:r>
        <w:t xml:space="preserve">affords</w:t>
      </w:r>
      <w:r>
        <w:t xml:space="preserve"> </w:t>
      </w:r>
      <w:r>
        <w:t xml:space="preserve">30 s. A 30 s horizon is therefore not a modelling failure but an</w:t>
      </w:r>
      <w:r>
        <w:t xml:space="preserve"> </w:t>
      </w:r>
      <w:r>
        <w:t xml:space="preserve">ill-posed request on this data. The seven Jamming events — the one</w:t>
      </w:r>
      <w:r>
        <w:t xml:space="preserve"> </w:t>
      </w:r>
      <w:r>
        <w:t xml:space="preserve">anomaly type in TelecomTS that is a real over-the-air phenomenon rather</w:t>
      </w:r>
      <w:r>
        <w:t xml:space="preserve"> </w:t>
      </w:r>
      <w:r>
        <w:t xml:space="preserve">than an injected one — have exactly zero runway: their onset coincides</w:t>
      </w:r>
      <w:r>
        <w:t xml:space="preserve"> </w:t>
      </w:r>
      <w:r>
        <w:t xml:space="preserve">with the start of the session, so no precursor exists to detect.</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194611"/>
            <wp:effectExtent b="0" l="0" r="0" t="0"/>
            <wp:docPr descr="" title="" id="56" name="Picture"/>
            <a:graphic>
              <a:graphicData uri="http://schemas.openxmlformats.org/drawingml/2006/picture">
                <pic:pic>
                  <pic:nvPicPr>
                    <pic:cNvPr descr="figures/fig5_preonset_runway.png" id="57" name="Picture"/>
                    <pic:cNvPicPr>
                      <a:picLocks noChangeArrowheads="1" noChangeAspect="1"/>
                    </pic:cNvPicPr>
                  </pic:nvPicPr>
                  <pic:blipFill>
                    <a:blip r:embed="rId55"/>
                    <a:stretch>
                      <a:fillRect/>
                    </a:stretch>
                  </pic:blipFill>
                  <pic:spPr bwMode="auto">
                    <a:xfrm>
                      <a:off x="0" y="0"/>
                      <a:ext cx="6400800" cy="2194611"/>
                    </a:xfrm>
                    <a:prstGeom prst="rect">
                      <a:avLst/>
                    </a:prstGeom>
                    <a:noFill/>
                    <a:ln w="9525">
                      <a:noFill/>
                      <a:headEnd/>
                      <a:tailEnd/>
                    </a:ln>
                  </pic:spPr>
                </pic:pic>
              </a:graphicData>
            </a:graphic>
          </wp:inline>
        </w:drawing>
      </w:r>
    </w:p>
    <w:p>
      <w:pPr>
        <w:pStyle w:val="BodyText"/>
      </w:pPr>
      <w:r>
        <w:rPr>
          <w:iCs/>
          <w:i/>
        </w:rPr>
        <w:t xml:space="preserve">Figure 5. Pre-onset runway per anomaly type and the resulting horizon</w:t>
      </w:r>
      <w:r>
        <w:rPr>
          <w:iCs/>
          <w:i/>
        </w:rPr>
        <w:t xml:space="preserve"> </w:t>
      </w:r>
      <w:r>
        <w:rPr>
          <w:iCs/>
          <w:i/>
        </w:rPr>
        <w:t xml:space="preserve">feasibility.</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rPr>
          <w:bCs/>
          <w:b/>
        </w:rPr>
        <w:t xml:space="preserve">Difficulty varies sharply by anomaly type</w:t>
      </w:r>
      <w:r>
        <w:t xml:space="preserve">, which a single aggregate</w:t>
      </w:r>
      <w:r>
        <w:t xml:space="preserve"> </w:t>
      </w:r>
      <w:r>
        <w:t xml:space="preserve">number conceals. Table 8 breaks the TelecomTS result down by type.</w:t>
      </w:r>
    </w:p>
    <w:p>
      <w:pPr>
        <w:pStyle w:val="BodyText"/>
      </w:pPr>
      <w:r>
        <w:rPr>
          <w:bCs/>
          <w:b/>
        </w:rPr>
        <w:t xml:space="preserve">Table 8. TelecomTS early warning by anomaly type (5 s horizon).</w:t>
      </w:r>
    </w:p>
    <w:tbl>
      <w:tblPr>
        <w:tblStyle w:val="Table"/>
        <w:tblLook w:firstRow="1" w:lastRow="0" w:firstColumn="0" w:lastColumn="0" w:noHBand="0" w:noVBand="0" w:val="0020"/>
        <w:jc w:val="start"/>
        <w:tblLayout w:type="autofit"/>
        <w:tblW w:type="pct" w:w="5000"/>
      </w:tblPr>
      <w:tblGrid>
        <w:gridCol w:w="1980"/>
        <w:gridCol w:w="1980"/>
        <w:gridCol w:w="1980"/>
        <w:gridCol w:w="1980"/>
      </w:tblGrid>
      <w:tr>
        <w:trPr>
          <w:tblHeader w:val="true"/>
        </w:trPr>
        <w:tc>
          <w:tcPr/>
          <w:p>
            <w:pPr>
              <w:pStyle w:val="Compact"/>
              <w:jc w:val="left"/>
            </w:pPr>
            <w:r>
              <w:rPr>
                <w:bCs/>
                <w:rFonts w:ascii="Times New Roman" w:hAnsi="Times New Roman"/>
                <w:b/>
                <w:sz w:val="16"/>
              </w:rPr>
              <w:t xml:space="preserve">Anomaly type</w:t>
            </w:r>
          </w:p>
        </w:tc>
        <w:tc>
          <w:tcPr/>
          <w:p>
            <w:pPr>
              <w:pStyle w:val="Compact"/>
              <w:jc w:val="left"/>
            </w:pPr>
            <w:r>
              <w:rPr>
                <w:bCs/>
                <w:rFonts w:ascii="Times New Roman" w:hAnsi="Times New Roman"/>
                <w:b/>
                <w:sz w:val="16"/>
              </w:rPr>
              <w:t xml:space="preserve">Windows</w:t>
            </w:r>
          </w:p>
        </w:tc>
        <w:tc>
          <w:tcPr/>
          <w:p>
            <w:pPr>
              <w:pStyle w:val="Compact"/>
              <w:jc w:val="left"/>
            </w:pPr>
            <w:r>
              <w:rPr>
                <w:bCs/>
                <w:rFonts w:ascii="Times New Roman" w:hAnsi="Times New Roman"/>
                <w:b/>
                <w:sz w:val="16"/>
              </w:rPr>
              <w:t xml:space="preserve">AUROC</w:t>
            </w:r>
          </w:p>
        </w:tc>
        <w:tc>
          <w:tcPr/>
          <w:p>
            <w:pPr>
              <w:pStyle w:val="Compact"/>
              <w:jc w:val="left"/>
            </w:pPr>
            <w:r>
              <w:rPr>
                <w:bCs/>
                <w:rFonts w:ascii="Times New Roman" w:hAnsi="Times New Roman"/>
                <w:b/>
                <w:sz w:val="16"/>
              </w:rPr>
              <w:t xml:space="preserve">AUPRC</w:t>
            </w:r>
          </w:p>
        </w:tc>
      </w:tr>
      <w:tr>
        <w:tc>
          <w:tcPr/>
          <w:p>
            <w:pPr>
              <w:pStyle w:val="Compact"/>
              <w:jc w:val="left"/>
            </w:pPr>
            <w:r>
              <w:rPr>
                <w:rFonts w:ascii="Times New Roman" w:hAnsi="Times New Roman"/>
                <w:sz w:val="16"/>
              </w:rPr>
              <w:t xml:space="preserve">Antenna Failure</w:t>
            </w:r>
          </w:p>
        </w:tc>
        <w:tc>
          <w:tcPr/>
          <w:p>
            <w:pPr>
              <w:pStyle w:val="Compact"/>
              <w:jc w:val="left"/>
            </w:pPr>
            <w:r>
              <w:rPr>
                <w:rFonts w:ascii="Times New Roman" w:hAnsi="Times New Roman"/>
                <w:sz w:val="16"/>
              </w:rPr>
              <w:t xml:space="preserve">102</w:t>
            </w:r>
          </w:p>
        </w:tc>
        <w:tc>
          <w:tcPr/>
          <w:p>
            <w:pPr>
              <w:pStyle w:val="Compact"/>
              <w:jc w:val="left"/>
            </w:pPr>
            <w:r>
              <w:rPr>
                <w:rFonts w:ascii="Times New Roman" w:hAnsi="Times New Roman"/>
                <w:sz w:val="16"/>
              </w:rPr>
              <w:t xml:space="preserve">0.935</w:t>
            </w:r>
          </w:p>
        </w:tc>
        <w:tc>
          <w:tcPr/>
          <w:p>
            <w:pPr>
              <w:pStyle w:val="Compact"/>
              <w:jc w:val="left"/>
            </w:pPr>
            <w:r>
              <w:rPr>
                <w:rFonts w:ascii="Times New Roman" w:hAnsi="Times New Roman"/>
                <w:sz w:val="16"/>
              </w:rPr>
              <w:t xml:space="preserve">0.823</w:t>
            </w:r>
          </w:p>
        </w:tc>
      </w:tr>
      <w:tr>
        <w:tc>
          <w:tcPr/>
          <w:p>
            <w:pPr>
              <w:pStyle w:val="Compact"/>
              <w:jc w:val="left"/>
            </w:pPr>
            <w:r>
              <w:rPr>
                <w:rFonts w:ascii="Times New Roman" w:hAnsi="Times New Roman"/>
                <w:sz w:val="16"/>
              </w:rPr>
              <w:t xml:space="preserve">Resource Allocation Bugs</w:t>
            </w:r>
          </w:p>
        </w:tc>
        <w:tc>
          <w:tcPr/>
          <w:p>
            <w:pPr>
              <w:pStyle w:val="Compact"/>
              <w:jc w:val="left"/>
            </w:pPr>
            <w:r>
              <w:rPr>
                <w:rFonts w:ascii="Times New Roman" w:hAnsi="Times New Roman"/>
                <w:sz w:val="16"/>
              </w:rPr>
              <w:t xml:space="preserve">53</w:t>
            </w:r>
          </w:p>
        </w:tc>
        <w:tc>
          <w:tcPr/>
          <w:p>
            <w:pPr>
              <w:pStyle w:val="Compact"/>
              <w:jc w:val="left"/>
            </w:pPr>
            <w:r>
              <w:rPr>
                <w:rFonts w:ascii="Times New Roman" w:hAnsi="Times New Roman"/>
                <w:sz w:val="16"/>
              </w:rPr>
              <w:t xml:space="preserve">0.906</w:t>
            </w:r>
          </w:p>
        </w:tc>
        <w:tc>
          <w:tcPr/>
          <w:p>
            <w:pPr>
              <w:pStyle w:val="Compact"/>
              <w:jc w:val="left"/>
            </w:pPr>
            <w:r>
              <w:rPr>
                <w:rFonts w:ascii="Times New Roman" w:hAnsi="Times New Roman"/>
                <w:sz w:val="16"/>
              </w:rPr>
              <w:t xml:space="preserve">0.663</w:t>
            </w:r>
          </w:p>
        </w:tc>
      </w:tr>
      <w:tr>
        <w:tc>
          <w:tcPr/>
          <w:p>
            <w:pPr>
              <w:pStyle w:val="Compact"/>
              <w:jc w:val="left"/>
            </w:pPr>
            <w:r>
              <w:rPr>
                <w:rFonts w:ascii="Times New Roman" w:hAnsi="Times New Roman"/>
                <w:sz w:val="16"/>
              </w:rPr>
              <w:t xml:space="preserve">Faulty RF Filters (Temporal)</w:t>
            </w:r>
          </w:p>
        </w:tc>
        <w:tc>
          <w:tcPr/>
          <w:p>
            <w:pPr>
              <w:pStyle w:val="Compact"/>
              <w:jc w:val="left"/>
            </w:pPr>
            <w:r>
              <w:rPr>
                <w:rFonts w:ascii="Times New Roman" w:hAnsi="Times New Roman"/>
                <w:sz w:val="16"/>
              </w:rPr>
              <w:t xml:space="preserve">141</w:t>
            </w:r>
          </w:p>
        </w:tc>
        <w:tc>
          <w:tcPr/>
          <w:p>
            <w:pPr>
              <w:pStyle w:val="Compact"/>
              <w:jc w:val="left"/>
            </w:pPr>
            <w:r>
              <w:rPr>
                <w:rFonts w:ascii="Times New Roman" w:hAnsi="Times New Roman"/>
                <w:sz w:val="16"/>
              </w:rPr>
              <w:t xml:space="preserve">0.933</w:t>
            </w:r>
          </w:p>
        </w:tc>
        <w:tc>
          <w:tcPr/>
          <w:p>
            <w:pPr>
              <w:pStyle w:val="Compact"/>
              <w:jc w:val="left"/>
            </w:pPr>
            <w:r>
              <w:rPr>
                <w:rFonts w:ascii="Times New Roman" w:hAnsi="Times New Roman"/>
                <w:sz w:val="16"/>
              </w:rPr>
              <w:t xml:space="preserve">0.575</w:t>
            </w:r>
          </w:p>
        </w:tc>
      </w:tr>
      <w:tr>
        <w:tc>
          <w:tcPr/>
          <w:p>
            <w:pPr>
              <w:pStyle w:val="Compact"/>
              <w:jc w:val="left"/>
            </w:pPr>
            <w:r>
              <w:rPr>
                <w:rFonts w:ascii="Times New Roman" w:hAnsi="Times New Roman"/>
                <w:sz w:val="16"/>
              </w:rPr>
              <w:t xml:space="preserve">Co-Channel Interference (Severe)</w:t>
            </w:r>
          </w:p>
        </w:tc>
        <w:tc>
          <w:tcPr/>
          <w:p>
            <w:pPr>
              <w:pStyle w:val="Compact"/>
              <w:jc w:val="left"/>
            </w:pPr>
            <w:r>
              <w:rPr>
                <w:rFonts w:ascii="Times New Roman" w:hAnsi="Times New Roman"/>
                <w:sz w:val="16"/>
              </w:rPr>
              <w:t xml:space="preserve">91</w:t>
            </w:r>
          </w:p>
        </w:tc>
        <w:tc>
          <w:tcPr/>
          <w:p>
            <w:pPr>
              <w:pStyle w:val="Compact"/>
              <w:jc w:val="left"/>
            </w:pPr>
            <w:r>
              <w:rPr>
                <w:rFonts w:ascii="Times New Roman" w:hAnsi="Times New Roman"/>
                <w:sz w:val="16"/>
              </w:rPr>
              <w:t xml:space="preserve">0.957</w:t>
            </w:r>
          </w:p>
        </w:tc>
        <w:tc>
          <w:tcPr/>
          <w:p>
            <w:pPr>
              <w:pStyle w:val="Compact"/>
              <w:jc w:val="left"/>
            </w:pPr>
            <w:r>
              <w:rPr>
                <w:rFonts w:ascii="Times New Roman" w:hAnsi="Times New Roman"/>
                <w:sz w:val="16"/>
              </w:rPr>
              <w:t xml:space="preserve">0.514</w:t>
            </w:r>
          </w:p>
        </w:tc>
      </w:tr>
      <w:tr>
        <w:tc>
          <w:tcPr/>
          <w:p>
            <w:pPr>
              <w:pStyle w:val="Compact"/>
              <w:jc w:val="left"/>
            </w:pPr>
            <w:r>
              <w:rPr>
                <w:rFonts w:ascii="Times New Roman" w:hAnsi="Times New Roman"/>
                <w:sz w:val="16"/>
              </w:rPr>
              <w:t xml:space="preserve">Doppler Shift (Severe)</w:t>
            </w:r>
          </w:p>
        </w:tc>
        <w:tc>
          <w:tcPr/>
          <w:p>
            <w:pPr>
              <w:pStyle w:val="Compact"/>
              <w:jc w:val="left"/>
            </w:pPr>
            <w:r>
              <w:rPr>
                <w:rFonts w:ascii="Times New Roman" w:hAnsi="Times New Roman"/>
                <w:sz w:val="16"/>
              </w:rPr>
              <w:t xml:space="preserve">62</w:t>
            </w:r>
          </w:p>
        </w:tc>
        <w:tc>
          <w:tcPr/>
          <w:p>
            <w:pPr>
              <w:pStyle w:val="Compact"/>
              <w:jc w:val="left"/>
            </w:pPr>
            <w:r>
              <w:rPr>
                <w:rFonts w:ascii="Times New Roman" w:hAnsi="Times New Roman"/>
                <w:sz w:val="16"/>
              </w:rPr>
              <w:t xml:space="preserve">0.923</w:t>
            </w:r>
          </w:p>
        </w:tc>
        <w:tc>
          <w:tcPr/>
          <w:p>
            <w:pPr>
              <w:pStyle w:val="Compact"/>
              <w:jc w:val="left"/>
            </w:pPr>
            <w:r>
              <w:rPr>
                <w:rFonts w:ascii="Times New Roman" w:hAnsi="Times New Roman"/>
                <w:sz w:val="16"/>
              </w:rPr>
              <w:t xml:space="preserve">0.304</w:t>
            </w:r>
          </w:p>
        </w:tc>
      </w:tr>
      <w:tr>
        <w:tc>
          <w:tcPr/>
          <w:p>
            <w:pPr>
              <w:pStyle w:val="Compact"/>
              <w:jc w:val="left"/>
            </w:pPr>
            <w:r>
              <w:rPr>
                <w:rFonts w:ascii="Times New Roman" w:hAnsi="Times New Roman"/>
                <w:sz w:val="16"/>
              </w:rPr>
              <w:t xml:space="preserve">Faulty Handover Algorithm (Too Frequent)</w:t>
            </w:r>
          </w:p>
        </w:tc>
        <w:tc>
          <w:tcPr/>
          <w:p>
            <w:pPr>
              <w:pStyle w:val="Compact"/>
              <w:jc w:val="left"/>
            </w:pPr>
            <w:r>
              <w:rPr>
                <w:rFonts w:ascii="Times New Roman" w:hAnsi="Times New Roman"/>
                <w:sz w:val="16"/>
              </w:rPr>
              <w:t xml:space="preserve">74</w:t>
            </w:r>
          </w:p>
        </w:tc>
        <w:tc>
          <w:tcPr/>
          <w:p>
            <w:pPr>
              <w:pStyle w:val="Compact"/>
              <w:jc w:val="left"/>
            </w:pPr>
            <w:r>
              <w:rPr>
                <w:rFonts w:ascii="Times New Roman" w:hAnsi="Times New Roman"/>
                <w:sz w:val="16"/>
              </w:rPr>
              <w:t xml:space="preserve">0.882</w:t>
            </w:r>
          </w:p>
        </w:tc>
        <w:tc>
          <w:tcPr/>
          <w:p>
            <w:pPr>
              <w:pStyle w:val="Compact"/>
              <w:jc w:val="left"/>
            </w:pPr>
            <w:r>
              <w:rPr>
                <w:rFonts w:ascii="Times New Roman" w:hAnsi="Times New Roman"/>
                <w:sz w:val="16"/>
              </w:rPr>
              <w:t xml:space="preserve">0.231</w:t>
            </w:r>
          </w:p>
        </w:tc>
      </w:tr>
      <w:tr>
        <w:tc>
          <w:tcPr/>
          <w:p>
            <w:pPr>
              <w:pStyle w:val="Compact"/>
              <w:jc w:val="left"/>
            </w:pPr>
            <w:r>
              <w:rPr>
                <w:rFonts w:ascii="Times New Roman" w:hAnsi="Times New Roman"/>
                <w:sz w:val="16"/>
              </w:rPr>
              <w:t xml:space="preserve">High Network Congestion (Sudden Spike)</w:t>
            </w:r>
          </w:p>
        </w:tc>
        <w:tc>
          <w:tcPr/>
          <w:p>
            <w:pPr>
              <w:pStyle w:val="Compact"/>
              <w:jc w:val="left"/>
            </w:pPr>
            <w:r>
              <w:rPr>
                <w:rFonts w:ascii="Times New Roman" w:hAnsi="Times New Roman"/>
                <w:sz w:val="16"/>
              </w:rPr>
              <w:t xml:space="preserve">16</w:t>
            </w:r>
          </w:p>
        </w:tc>
        <w:tc>
          <w:tcPr/>
          <w:p>
            <w:pPr>
              <w:pStyle w:val="Compact"/>
              <w:jc w:val="left"/>
            </w:pPr>
            <w:r>
              <w:rPr>
                <w:rFonts w:ascii="Times New Roman" w:hAnsi="Times New Roman"/>
                <w:sz w:val="16"/>
              </w:rPr>
              <w:t xml:space="preserve">0.971</w:t>
            </w:r>
          </w:p>
        </w:tc>
        <w:tc>
          <w:tcPr/>
          <w:p>
            <w:pPr>
              <w:pStyle w:val="Compact"/>
              <w:jc w:val="left"/>
            </w:pPr>
            <w:r>
              <w:rPr>
                <w:rFonts w:ascii="Times New Roman" w:hAnsi="Times New Roman"/>
                <w:sz w:val="16"/>
              </w:rPr>
              <w:t xml:space="preserve">0.125</w:t>
            </w:r>
          </w:p>
        </w:tc>
      </w:tr>
      <w:tr>
        <w:tc>
          <w:tcPr/>
          <w:p>
            <w:pPr>
              <w:pStyle w:val="Compact"/>
              <w:jc w:val="left"/>
            </w:pPr>
            <w:r>
              <w:rPr>
                <w:rFonts w:ascii="Times New Roman" w:hAnsi="Times New Roman"/>
                <w:sz w:val="16"/>
              </w:rPr>
              <w:t xml:space="preserve">Buffer Overflow (Gradual Buildup)</w:t>
            </w:r>
          </w:p>
        </w:tc>
        <w:tc>
          <w:tcPr/>
          <w:p>
            <w:pPr>
              <w:pStyle w:val="Compact"/>
              <w:jc w:val="left"/>
            </w:pPr>
            <w:r>
              <w:rPr>
                <w:rFonts w:ascii="Times New Roman" w:hAnsi="Times New Roman"/>
                <w:sz w:val="16"/>
              </w:rPr>
              <w:t xml:space="preserve">48</w:t>
            </w:r>
          </w:p>
        </w:tc>
        <w:tc>
          <w:tcPr/>
          <w:p>
            <w:pPr>
              <w:pStyle w:val="Compact"/>
              <w:jc w:val="left"/>
            </w:pPr>
            <w:r>
              <w:rPr>
                <w:rFonts w:ascii="Times New Roman" w:hAnsi="Times New Roman"/>
                <w:sz w:val="16"/>
              </w:rPr>
              <w:t xml:space="preserve">0.877</w:t>
            </w:r>
          </w:p>
        </w:tc>
        <w:tc>
          <w:tcPr/>
          <w:p>
            <w:pPr>
              <w:pStyle w:val="Compact"/>
              <w:jc w:val="left"/>
            </w:pPr>
            <w:r>
              <w:rPr>
                <w:rFonts w:ascii="Times New Roman" w:hAnsi="Times New Roman"/>
                <w:sz w:val="16"/>
              </w:rPr>
              <w:t xml:space="preserve">0.116</w:t>
            </w:r>
          </w:p>
        </w:tc>
      </w:tr>
      <w:tr>
        <w:tc>
          <w:tcPr/>
          <w:p>
            <w:pPr>
              <w:pStyle w:val="Compact"/>
              <w:jc w:val="left"/>
            </w:pPr>
            <w:r>
              <w:rPr>
                <w:rFonts w:ascii="Times New Roman" w:hAnsi="Times New Roman"/>
                <w:sz w:val="16"/>
              </w:rPr>
              <w:t xml:space="preserve">Co-Channel Interference (Mild)</w:t>
            </w:r>
          </w:p>
        </w:tc>
        <w:tc>
          <w:tcPr/>
          <w:p>
            <w:pPr>
              <w:pStyle w:val="Compact"/>
              <w:jc w:val="left"/>
            </w:pPr>
            <w:r>
              <w:rPr>
                <w:rFonts w:ascii="Times New Roman" w:hAnsi="Times New Roman"/>
                <w:sz w:val="16"/>
              </w:rPr>
              <w:t xml:space="preserve">56</w:t>
            </w:r>
          </w:p>
        </w:tc>
        <w:tc>
          <w:tcPr/>
          <w:p>
            <w:pPr>
              <w:pStyle w:val="Compact"/>
              <w:jc w:val="left"/>
            </w:pPr>
            <w:r>
              <w:rPr>
                <w:rFonts w:ascii="Times New Roman" w:hAnsi="Times New Roman"/>
                <w:sz w:val="16"/>
              </w:rPr>
              <w:t xml:space="preserve">0.878</w:t>
            </w:r>
          </w:p>
        </w:tc>
        <w:tc>
          <w:tcPr/>
          <w:p>
            <w:pPr>
              <w:pStyle w:val="Compact"/>
              <w:jc w:val="left"/>
            </w:pPr>
            <w:r>
              <w:rPr>
                <w:rFonts w:ascii="Times New Roman" w:hAnsi="Times New Roman"/>
                <w:sz w:val="16"/>
              </w:rPr>
              <w:t xml:space="preserve">0.101</w:t>
            </w:r>
          </w:p>
        </w:tc>
      </w:tr>
    </w:tbl>
    <w:p>
      <w:pPr>
        <w:pStyle w:val="BodyText"/>
      </w:pPr>
      <w:r>
        <w:t xml:space="preserve">AUPRC spans 0.101 to 0.823 — an eightfold range — while AUROC stays in</w:t>
      </w:r>
      <w:r>
        <w:t xml:space="preserve"> </w:t>
      </w:r>
      <w:r>
        <w:t xml:space="preserve">a narrow 0.877-0.971 band. An operator reading only AUROC would conclude</w:t>
      </w:r>
      <w:r>
        <w:t xml:space="preserve"> </w:t>
      </w:r>
      <w:r>
        <w:t xml:space="preserve">the system performs uniformly well across fault types; the precision-recall</w:t>
      </w:r>
      <w:r>
        <w:t xml:space="preserve"> </w:t>
      </w:r>
      <w:r>
        <w:t xml:space="preserve">view shows it does not. Severe, physically abrupt faults (antenna failure)</w:t>
      </w:r>
      <w:r>
        <w:t xml:space="preserve"> </w:t>
      </w:r>
      <w:r>
        <w:t xml:space="preserve">are caught reliably; mild interference and gradual buffer buildup are close</w:t>
      </w:r>
      <w:r>
        <w:t xml:space="preserve"> </w:t>
      </w:r>
      <w:r>
        <w:t xml:space="preserve">to unusable at this horizon.</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3336780"/>
            <wp:effectExtent b="0" l="0" r="0" t="0"/>
            <wp:docPr descr="" title="" id="59" name="Picture"/>
            <a:graphic>
              <a:graphicData uri="http://schemas.openxmlformats.org/drawingml/2006/picture">
                <pic:pic>
                  <pic:nvPicPr>
                    <pic:cNvPr descr="figures/fig10_per_anomaly_type.png" id="60" name="Picture"/>
                    <pic:cNvPicPr>
                      <a:picLocks noChangeArrowheads="1" noChangeAspect="1"/>
                    </pic:cNvPicPr>
                  </pic:nvPicPr>
                  <pic:blipFill>
                    <a:blip r:embed="rId58"/>
                    <a:stretch>
                      <a:fillRect/>
                    </a:stretch>
                  </pic:blipFill>
                  <pic:spPr bwMode="auto">
                    <a:xfrm>
                      <a:off x="0" y="0"/>
                      <a:ext cx="6400800" cy="3336780"/>
                    </a:xfrm>
                    <a:prstGeom prst="rect">
                      <a:avLst/>
                    </a:prstGeom>
                    <a:noFill/>
                    <a:ln w="9525">
                      <a:noFill/>
                      <a:headEnd/>
                      <a:tailEnd/>
                    </a:ln>
                  </pic:spPr>
                </pic:pic>
              </a:graphicData>
            </a:graphic>
          </wp:inline>
        </w:drawing>
      </w:r>
    </w:p>
    <w:p>
      <w:pPr>
        <w:pStyle w:val="BodyText"/>
      </w:pPr>
      <w:r>
        <w:rPr>
          <w:iCs/>
          <w:i/>
        </w:rPr>
        <w:t xml:space="preserve">Figure 10. Per-anomaly-type AUROC and AUPRC on TelecomTS, showing that an</w:t>
      </w:r>
      <w:r>
        <w:rPr>
          <w:iCs/>
          <w:i/>
        </w:rPr>
        <w:t xml:space="preserve"> </w:t>
      </w:r>
      <w:r>
        <w:rPr>
          <w:iCs/>
          <w:i/>
        </w:rPr>
        <w:t xml:space="preserve">aggregate score hides an eightfold spread in precision-recall performance.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rPr>
          <w:bCs/>
          <w:b/>
        </w:rPr>
        <w:t xml:space="preserve">Correction: early warning is ill-posed on RCAEval.</w:t>
      </w:r>
      <w:r>
        <w:t xml:space="preserve"> </w:t>
      </w:r>
      <w:r>
        <w:t xml:space="preserve">Our dataset</w:t>
      </w:r>
      <w:r>
        <w:t xml:space="preserve"> </w:t>
      </w:r>
      <w:r>
        <w:t xml:space="preserve">strategy originally assigned early-warning experiments to TelecomTS</w:t>
      </w:r>
      <w:r>
        <w:t xml:space="preserve"> </w:t>
      </w:r>
      <w:r>
        <w:rPr>
          <w:iCs/>
          <w:i/>
        </w:rPr>
        <w:t xml:space="preserve">and</w:t>
      </w:r>
      <w:r>
        <w:t xml:space="preserve"> </w:t>
      </w:r>
      <w:r>
        <w:t xml:space="preserve">RCAEval. That did not survive contact with the data, and we record the</w:t>
      </w:r>
      <w:r>
        <w:t xml:space="preserve"> </w:t>
      </w:r>
      <w:r>
        <w:t xml:space="preserve">correction rather than dropping it silently. RCAEval’s faults are</w:t>
      </w:r>
      <w:r>
        <w:t xml:space="preserve"> </w:t>
      </w:r>
      <w:r>
        <w:t xml:space="preserve">externally scheduled injections: the system is normal up to the injection</w:t>
      </w:r>
      <w:r>
        <w:t xml:space="preserve"> </w:t>
      </w:r>
      <w:r>
        <w:t xml:space="preserve">instant, so no precursor exists at any horizon. A first attempt at a 300 s</w:t>
      </w:r>
      <w:r>
        <w:t xml:space="preserve"> </w:t>
      </w:r>
      <w:r>
        <w:t xml:space="preserve">early-warning target produced AUROC 0.436-0.534 across all models —</w:t>
      </w:r>
      <w:r>
        <w:t xml:space="preserve"> </w:t>
      </w:r>
      <w:r>
        <w:t xml:space="preserve">chance. Two causes were separable. The intrinsic one is that anticipating</w:t>
      </w:r>
      <w:r>
        <w:t xml:space="preserve"> </w:t>
      </w:r>
      <w:r>
        <w:t xml:space="preserve">a scheduled intervention from pre-intervention telemetry is not a learnable</w:t>
      </w:r>
      <w:r>
        <w:t xml:space="preserve"> </w:t>
      </w:r>
      <w:r>
        <w:t xml:space="preserve">problem. The second was our own method error: splitting cases</w:t>
      </w:r>
      <w:r>
        <w:t xml:space="preserve"> </w:t>
      </w:r>
      <w:r>
        <w:t xml:space="preserve">chronologically by injection time perfectly segregated fault types across</w:t>
      </w:r>
      <w:r>
        <w:t xml:space="preserve"> </w:t>
      </w:r>
      <w:r>
        <w:t xml:space="preserve">blocks, and cases are independent experiments, so the split must be</w:t>
      </w:r>
      <w:r>
        <w:t xml:space="preserve"> </w:t>
      </w:r>
      <w:r>
        <w:t xml:space="preserve">stratified by fault type. It now is. The consequence is that</w:t>
      </w:r>
      <w:r>
        <w:t xml:space="preserve"> </w:t>
      </w:r>
      <w:r>
        <w:rPr>
          <w:bCs/>
          <w:b/>
        </w:rPr>
        <w:t xml:space="preserve">the</w:t>
      </w:r>
      <w:r>
        <w:rPr>
          <w:bCs/>
          <w:b/>
        </w:rPr>
        <w:t xml:space="preserve"> </w:t>
      </w:r>
      <w:r>
        <w:rPr>
          <w:bCs/>
          <w:b/>
        </w:rPr>
        <w:t xml:space="preserve">early-warning anchor of this paper rests on TelecomTS alone</w:t>
      </w:r>
      <w:r>
        <w:t xml:space="preserve">, a real</w:t>
      </w:r>
      <w:r>
        <w:t xml:space="preserve"> </w:t>
      </w:r>
      <w:r>
        <w:t xml:space="preserve">concentration of risk that we state in Section VIII rather than smooth over.</w:t>
      </w:r>
    </w:p>
    <w:bookmarkEnd w:id="61"/>
    <w:bookmarkStart w:id="71" w:name="X734228778467e8ec70a53e3674ef815fa6cccd3"/>
    <w:p>
      <w:pPr>
        <w:pStyle w:val="Heading2"/>
      </w:pPr>
      <w:r>
        <w:t xml:space="preserve">B. Accuracy and calibration pull in opposite directions</w:t>
      </w:r>
    </w:p>
    <w:p>
      <w:pPr>
        <w:pStyle w:val="FirstParagraph"/>
      </w:pPr>
      <w:r>
        <w:rPr>
          <w:bCs/>
          <w:b/>
        </w:rPr>
        <w:t xml:space="preserve">Finding 2.</w:t>
      </w:r>
      <w:r>
        <w:t xml:space="preserve"> </w:t>
      </w:r>
      <w:r>
        <w:t xml:space="preserve">On TelecomTS the tree models average ECE 0.120 while the</w:t>
      </w:r>
      <w:r>
        <w:t xml:space="preserve"> </w:t>
      </w:r>
      <w:r>
        <w:t xml:space="preserve">deep ensembles average 0.082 — a 1.5x calibration gap running</w:t>
      </w:r>
      <w:r>
        <w:t xml:space="preserve"> </w:t>
      </w:r>
      <w:r>
        <w:rPr>
          <w:iCs/>
          <w:i/>
        </w:rPr>
        <w:t xml:space="preserve">against</w:t>
      </w:r>
      <w:r>
        <w:t xml:space="preserve"> </w:t>
      </w:r>
      <w:r>
        <w:t xml:space="preserve">the accuracy gap. The best-calibrated non-trivial models are the</w:t>
      </w:r>
      <w:r>
        <w:t xml:space="preserve"> </w:t>
      </w:r>
      <w:r>
        <w:t xml:space="preserve">Transformer and Deep ensemble (Transformer) at ECE 0.063; the most</w:t>
      </w:r>
      <w:r>
        <w:t xml:space="preserve"> </w:t>
      </w:r>
      <w:r>
        <w:t xml:space="preserve">accurate, XGBoost, sits at 0.120.</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813178"/>
            <wp:effectExtent b="0" l="0" r="0" t="0"/>
            <wp:docPr descr="" title="" id="63" name="Picture"/>
            <a:graphic>
              <a:graphicData uri="http://schemas.openxmlformats.org/drawingml/2006/picture">
                <pic:pic>
                  <pic:nvPicPr>
                    <pic:cNvPr descr="figures/fig4_accuracy_vs_calibration.png" id="64" name="Picture"/>
                    <pic:cNvPicPr>
                      <a:picLocks noChangeArrowheads="1" noChangeAspect="1"/>
                    </pic:cNvPicPr>
                  </pic:nvPicPr>
                  <pic:blipFill>
                    <a:blip r:embed="rId62"/>
                    <a:stretch>
                      <a:fillRect/>
                    </a:stretch>
                  </pic:blipFill>
                  <pic:spPr bwMode="auto">
                    <a:xfrm>
                      <a:off x="0" y="0"/>
                      <a:ext cx="6400800" cy="2813178"/>
                    </a:xfrm>
                    <a:prstGeom prst="rect">
                      <a:avLst/>
                    </a:prstGeom>
                    <a:noFill/>
                    <a:ln w="9525">
                      <a:noFill/>
                      <a:headEnd/>
                      <a:tailEnd/>
                    </a:ln>
                  </pic:spPr>
                </pic:pic>
              </a:graphicData>
            </a:graphic>
          </wp:inline>
        </w:drawing>
      </w:r>
    </w:p>
    <w:p>
      <w:pPr>
        <w:pStyle w:val="BodyText"/>
      </w:pPr>
      <w:r>
        <w:rPr>
          <w:iCs/>
          <w:i/>
        </w:rPr>
        <w:t xml:space="preserve">Figure 4. AUPRC against ECE on TelecomTS. The most accurate models are</w:t>
      </w:r>
      <w:r>
        <w:rPr>
          <w:iCs/>
          <w:i/>
        </w:rPr>
        <w:t xml:space="preserve"> </w:t>
      </w:r>
      <w:r>
        <w:rPr>
          <w:iCs/>
          <w:i/>
        </w:rPr>
        <w:t xml:space="preserve">not the best calibrated. The soft-vote ensemble is excluded: it averages</w:t>
      </w:r>
      <w:r>
        <w:rPr>
          <w:iCs/>
          <w:i/>
        </w:rPr>
        <w:t xml:space="preserve"> </w:t>
      </w:r>
      <w:r>
        <w:rPr>
          <w:iCs/>
          <w:i/>
        </w:rPr>
        <w:t xml:space="preserve">percentile ranks rather than probabilities, so its scores are uniform by</w:t>
      </w:r>
      <w:r>
        <w:rPr>
          <w:iCs/>
          <w:i/>
        </w:rPr>
        <w:t xml:space="preserve"> </w:t>
      </w:r>
      <w:r>
        <w:rPr>
          <w:iCs/>
          <w:i/>
        </w:rPr>
        <w:t xml:space="preserve">construction and ECE against them is not meaningful.</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This is the empirical case for the conformal layer of Component 5, and it</w:t>
      </w:r>
      <w:r>
        <w:t xml:space="preserve"> </w:t>
      </w:r>
      <w:r>
        <w:t xml:space="preserve">is stronger than the design argument that preceded it, because</w:t>
      </w:r>
      <w:r>
        <w:t xml:space="preserve"> </w:t>
      </w:r>
      <w:r>
        <w:rPr>
          <w:bCs/>
          <w:b/>
        </w:rPr>
        <w:t xml:space="preserve">the</w:t>
      </w:r>
      <w:r>
        <w:rPr>
          <w:bCs/>
          <w:b/>
        </w:rPr>
        <w:t xml:space="preserve"> </w:t>
      </w:r>
      <w:r>
        <w:rPr>
          <w:bCs/>
          <w:b/>
        </w:rPr>
        <w:t xml:space="preserve">trade-off is avoidable</w:t>
      </w:r>
      <w:r>
        <w:t xml:space="preserve">. Conformal prediction wraps the highest-accuracy</w:t>
      </w:r>
      <w:r>
        <w:t xml:space="preserve"> </w:t>
      </w:r>
      <w:r>
        <w:t xml:space="preserve">model in a distribution-free coverage guarantee, delivering tree accuracy</w:t>
      </w:r>
      <w:r>
        <w:t xml:space="preserve"> </w:t>
      </w:r>
      <w:r>
        <w:t xml:space="preserve">without requiring tree calibration and without the deep ensemble’s</w:t>
      </w:r>
      <w:r>
        <w:t xml:space="preserve"> </w:t>
      </w:r>
      <w:r>
        <w:t xml:space="preserve">102-554 s training cost. Under a network-management framing this is the</w:t>
      </w:r>
      <w:r>
        <w:t xml:space="preserve"> </w:t>
      </w:r>
      <w:r>
        <w:t xml:space="preserve">contribution: conformal prediction as a management-plane primitive,</w:t>
      </w:r>
      <w:r>
        <w:t xml:space="preserve"> </w:t>
      </w:r>
      <w:r>
        <w:t xml:space="preserve">supported by a measured tension rather than an assertion.</w:t>
      </w:r>
    </w:p>
    <w:p>
      <w:pPr>
        <w:pStyle w:val="BodyText"/>
      </w:pPr>
      <w:r>
        <w:rPr>
          <w:bCs/>
          <w:b/>
        </w:rPr>
        <w:t xml:space="preserve">Finding 3 — deep ensembling helps unevenly, and mainly where</w:t>
      </w:r>
      <w:r>
        <w:rPr>
          <w:bCs/>
          <w:b/>
        </w:rPr>
        <w:t xml:space="preserve"> </w:t>
      </w:r>
      <w:r>
        <w:rPr>
          <w:bCs/>
          <w:b/>
        </w:rPr>
        <w:t xml:space="preserve">single-model variance is high.</w:t>
      </w:r>
    </w:p>
    <w:p>
      <w:pPr>
        <w:pStyle w:val="BodyText"/>
      </w:pPr>
      <w:r>
        <w:rPr>
          <w:bCs/>
          <w:b/>
        </w:rPr>
        <w:t xml:space="preserve">Table 9. Single model vs. 5-member deep ensemble on TelecomTS.</w:t>
      </w:r>
    </w:p>
    <w:tbl>
      <w:tblPr>
        <w:tblStyle w:val="Table"/>
        <w:tblLook w:firstRow="1" w:lastRow="0" w:firstColumn="0" w:lastColumn="0" w:noHBand="0" w:noVBand="0" w:val="0020"/>
        <w:jc w:val="start"/>
        <w:tblLayout w:type="autofit"/>
        <w:tblW w:type="pct" w:w="5000"/>
      </w:tblPr>
      <w:tblGrid>
        <w:gridCol w:w="2640"/>
        <w:gridCol w:w="2640"/>
        <w:gridCol w:w="2640"/>
      </w:tblGrid>
      <w:tr>
        <w:trPr>
          <w:tblHeader w:val="true"/>
        </w:trPr>
        <w:tc>
          <w:tcPr/>
          <w:p>
            <w:pPr>
              <w:pStyle w:val="Compact"/>
              <w:jc w:val="left"/>
            </w:pPr>
            <w:r>
              <w:rPr>
                <w:bCs/>
                <w:rFonts w:ascii="Times New Roman" w:hAnsi="Times New Roman"/>
                <w:b/>
                <w:sz w:val="16"/>
              </w:rPr>
              <w:t xml:space="preserve">Architecture</w:t>
            </w:r>
          </w:p>
        </w:tc>
        <w:tc>
          <w:tcPr/>
          <w:p>
            <w:pPr>
              <w:pStyle w:val="Compact"/>
              <w:jc w:val="left"/>
            </w:pPr>
            <w:r>
              <w:rPr>
                <w:bCs/>
                <w:rFonts w:ascii="Times New Roman" w:hAnsi="Times New Roman"/>
                <w:b/>
                <w:sz w:val="16"/>
              </w:rPr>
              <w:t xml:space="preserve">AUPRC, single</w:t>
            </w:r>
            <w:r>
              <w:rPr>
                <w:bCs/>
                <w:rFonts w:ascii="Times New Roman" w:hAnsi="Times New Roman"/>
                <w:b/>
                <w:sz w:val="16"/>
              </w:rPr>
              <w:t xml:space="preserve"> </w:t>
            </w:r>
            <m:oMath>
              <m:r>
                <m:rPr>
                  <m:sty m:val="p"/>
                </m:rPr>
                <m:t>→</m:t>
              </m:r>
            </m:oMath>
            <w:r>
              <w:rPr>
                <w:bCs/>
                <w:rFonts w:ascii="Times New Roman" w:hAnsi="Times New Roman"/>
                <w:b/>
                <w:sz w:val="16"/>
              </w:rPr>
              <w:t xml:space="preserve"> </w:t>
            </w:r>
            <w:r>
              <w:rPr>
                <w:bCs/>
                <w:rFonts w:ascii="Times New Roman" w:hAnsi="Times New Roman"/>
                <w:b/>
                <w:sz w:val="16"/>
              </w:rPr>
              <w:t xml:space="preserve">M=5</w:t>
            </w:r>
          </w:p>
        </w:tc>
        <w:tc>
          <w:tcPr/>
          <w:p>
            <w:pPr>
              <w:pStyle w:val="Compact"/>
              <w:jc w:val="left"/>
            </w:pPr>
            <w:r>
              <w:rPr>
                <w:bCs/>
                <w:rFonts w:ascii="Times New Roman" w:hAnsi="Times New Roman"/>
                <w:b/>
                <w:sz w:val="16"/>
              </w:rPr>
              <w:t xml:space="preserve">ECE, single</w:t>
            </w:r>
            <w:r>
              <w:rPr>
                <w:bCs/>
                <w:rFonts w:ascii="Times New Roman" w:hAnsi="Times New Roman"/>
                <w:b/>
                <w:sz w:val="16"/>
              </w:rPr>
              <w:t xml:space="preserve"> </w:t>
            </w:r>
            <m:oMath>
              <m:r>
                <m:rPr>
                  <m:sty m:val="p"/>
                </m:rPr>
                <m:t>→</m:t>
              </m:r>
            </m:oMath>
            <w:r>
              <w:rPr>
                <w:bCs/>
                <w:rFonts w:ascii="Times New Roman" w:hAnsi="Times New Roman"/>
                <w:b/>
                <w:sz w:val="16"/>
              </w:rPr>
              <w:t xml:space="preserve"> </w:t>
            </w:r>
            <w:r>
              <w:rPr>
                <w:bCs/>
                <w:rFonts w:ascii="Times New Roman" w:hAnsi="Times New Roman"/>
                <w:b/>
                <w:sz w:val="16"/>
              </w:rPr>
              <w:t xml:space="preserve">M=5</w:t>
            </w:r>
          </w:p>
        </w:tc>
      </w:tr>
      <w:tr>
        <w:tc>
          <w:tcPr/>
          <w:p>
            <w:pPr>
              <w:pStyle w:val="Compact"/>
              <w:jc w:val="left"/>
            </w:pPr>
            <w:r>
              <w:rPr>
                <w:rFonts w:ascii="Times New Roman" w:hAnsi="Times New Roman"/>
                <w:sz w:val="16"/>
              </w:rPr>
              <w:t xml:space="preserve">MLP</w:t>
            </w:r>
          </w:p>
        </w:tc>
        <w:tc>
          <w:tcPr/>
          <w:p>
            <w:pPr>
              <w:pStyle w:val="Compact"/>
              <w:jc w:val="left"/>
            </w:pPr>
            <w:r>
              <w:rPr>
                <w:rFonts w:ascii="Times New Roman" w:hAnsi="Times New Roman"/>
                <w:sz w:val="16"/>
              </w:rPr>
              <w:t xml:space="preserve">0.680</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0.706 (+0.026)</w:t>
            </w:r>
          </w:p>
        </w:tc>
        <w:tc>
          <w:tcPr/>
          <w:p>
            <w:pPr>
              <w:pStyle w:val="Compact"/>
              <w:jc w:val="left"/>
            </w:pPr>
            <w:r>
              <w:rPr>
                <w:rFonts w:ascii="Times New Roman" w:hAnsi="Times New Roman"/>
                <w:sz w:val="16"/>
              </w:rPr>
              <w:t xml:space="preserve">0.102</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0.090 (-0.011)</w:t>
            </w:r>
          </w:p>
        </w:tc>
      </w:tr>
      <w:tr>
        <w:tc>
          <w:tcPr/>
          <w:p>
            <w:pPr>
              <w:pStyle w:val="Compact"/>
              <w:jc w:val="left"/>
            </w:pPr>
            <w:r>
              <w:rPr>
                <w:rFonts w:ascii="Times New Roman" w:hAnsi="Times New Roman"/>
                <w:sz w:val="16"/>
              </w:rPr>
              <w:t xml:space="preserve">1D ResNet</w:t>
            </w:r>
          </w:p>
        </w:tc>
        <w:tc>
          <w:tcPr/>
          <w:p>
            <w:pPr>
              <w:pStyle w:val="Compact"/>
              <w:jc w:val="left"/>
            </w:pPr>
            <w:r>
              <w:rPr>
                <w:rFonts w:ascii="Times New Roman" w:hAnsi="Times New Roman"/>
                <w:sz w:val="16"/>
              </w:rPr>
              <w:t xml:space="preserve">0.634</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0.743 (</w:t>
            </w:r>
            <w:r>
              <w:rPr>
                <w:bCs/>
                <w:rFonts w:ascii="Times New Roman" w:hAnsi="Times New Roman"/>
                <w:b/>
                <w:sz w:val="16"/>
              </w:rPr>
              <w:t xml:space="preserve">+0.109</w:t>
            </w:r>
            <w:r>
              <w:rPr>
                <w:rFonts w:ascii="Times New Roman" w:hAnsi="Times New Roman"/>
                <w:sz w:val="16"/>
              </w:rPr>
              <w:t xml:space="preserve">)</w:t>
            </w:r>
          </w:p>
        </w:tc>
        <w:tc>
          <w:tcPr/>
          <w:p>
            <w:pPr>
              <w:pStyle w:val="Compact"/>
              <w:jc w:val="left"/>
            </w:pPr>
            <w:r>
              <w:rPr>
                <w:rFonts w:ascii="Times New Roman" w:hAnsi="Times New Roman"/>
                <w:sz w:val="16"/>
              </w:rPr>
              <w:t xml:space="preserve">0.080</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0.079 (-0.002)</w:t>
            </w:r>
          </w:p>
        </w:tc>
      </w:tr>
      <w:tr>
        <w:tc>
          <w:tcPr/>
          <w:p>
            <w:pPr>
              <w:pStyle w:val="Compact"/>
              <w:jc w:val="left"/>
            </w:pPr>
            <w:r>
              <w:rPr>
                <w:rFonts w:ascii="Times New Roman" w:hAnsi="Times New Roman"/>
                <w:sz w:val="16"/>
              </w:rPr>
              <w:t xml:space="preserve">LSTM</w:t>
            </w:r>
          </w:p>
        </w:tc>
        <w:tc>
          <w:tcPr/>
          <w:p>
            <w:pPr>
              <w:pStyle w:val="Compact"/>
              <w:jc w:val="left"/>
            </w:pPr>
            <w:r>
              <w:rPr>
                <w:rFonts w:ascii="Times New Roman" w:hAnsi="Times New Roman"/>
                <w:sz w:val="16"/>
              </w:rPr>
              <w:t xml:space="preserve">0.667</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0.646 (</w:t>
            </w:r>
            <w:r>
              <w:rPr>
                <w:bCs/>
                <w:rFonts w:ascii="Times New Roman" w:hAnsi="Times New Roman"/>
                <w:b/>
                <w:sz w:val="16"/>
              </w:rPr>
              <w:t xml:space="preserve">-0.022</w:t>
            </w:r>
            <w:r>
              <w:rPr>
                <w:rFonts w:ascii="Times New Roman" w:hAnsi="Times New Roman"/>
                <w:sz w:val="16"/>
              </w:rPr>
              <w:t xml:space="preserve">)</w:t>
            </w:r>
          </w:p>
        </w:tc>
        <w:tc>
          <w:tcPr/>
          <w:p>
            <w:pPr>
              <w:pStyle w:val="Compact"/>
              <w:jc w:val="left"/>
            </w:pPr>
            <w:r>
              <w:rPr>
                <w:rFonts w:ascii="Times New Roman" w:hAnsi="Times New Roman"/>
                <w:sz w:val="16"/>
              </w:rPr>
              <w:t xml:space="preserve">0.103</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0.101 (-0.003)</w:t>
            </w:r>
          </w:p>
        </w:tc>
      </w:tr>
      <w:tr>
        <w:tc>
          <w:tcPr/>
          <w:p>
            <w:pPr>
              <w:pStyle w:val="Compact"/>
              <w:jc w:val="left"/>
            </w:pPr>
            <w:r>
              <w:rPr>
                <w:rFonts w:ascii="Times New Roman" w:hAnsi="Times New Roman"/>
                <w:sz w:val="16"/>
              </w:rPr>
              <w:t xml:space="preserve">GRU</w:t>
            </w:r>
          </w:p>
        </w:tc>
        <w:tc>
          <w:tcPr/>
          <w:p>
            <w:pPr>
              <w:pStyle w:val="Compact"/>
              <w:jc w:val="left"/>
            </w:pPr>
            <w:r>
              <w:rPr>
                <w:rFonts w:ascii="Times New Roman" w:hAnsi="Times New Roman"/>
                <w:sz w:val="16"/>
              </w:rPr>
              <w:t xml:space="preserve">0.651</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0.678 (+0.026)</w:t>
            </w:r>
          </w:p>
        </w:tc>
        <w:tc>
          <w:tcPr/>
          <w:p>
            <w:pPr>
              <w:pStyle w:val="Compact"/>
              <w:jc w:val="left"/>
            </w:pPr>
            <w:r>
              <w:rPr>
                <w:rFonts w:ascii="Times New Roman" w:hAnsi="Times New Roman"/>
                <w:sz w:val="16"/>
              </w:rPr>
              <w:t xml:space="preserve">0.087</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0.080 (-0.006)</w:t>
            </w:r>
          </w:p>
        </w:tc>
      </w:tr>
      <w:tr>
        <w:tc>
          <w:tcPr/>
          <w:p>
            <w:pPr>
              <w:pStyle w:val="Compact"/>
              <w:jc w:val="left"/>
            </w:pPr>
            <w:r>
              <w:rPr>
                <w:rFonts w:ascii="Times New Roman" w:hAnsi="Times New Roman"/>
                <w:sz w:val="16"/>
              </w:rPr>
              <w:t xml:space="preserve">Transformer</w:t>
            </w:r>
          </w:p>
        </w:tc>
        <w:tc>
          <w:tcPr/>
          <w:p>
            <w:pPr>
              <w:pStyle w:val="Compact"/>
              <w:jc w:val="left"/>
            </w:pPr>
            <w:r>
              <w:rPr>
                <w:rFonts w:ascii="Times New Roman" w:hAnsi="Times New Roman"/>
                <w:sz w:val="16"/>
              </w:rPr>
              <w:t xml:space="preserve">0.702</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0.704 (+0.003)</w:t>
            </w:r>
          </w:p>
        </w:tc>
        <w:tc>
          <w:tcPr/>
          <w:p>
            <w:pPr>
              <w:pStyle w:val="Compact"/>
              <w:jc w:val="left"/>
            </w:pPr>
            <w:r>
              <w:rPr>
                <w:rFonts w:ascii="Times New Roman" w:hAnsi="Times New Roman"/>
                <w:sz w:val="16"/>
              </w:rPr>
              <w:t xml:space="preserve">0.063</w:t>
            </w:r>
            <w:r>
              <w:rPr>
                <w:rFonts w:ascii="Times New Roman" w:hAnsi="Times New Roman"/>
                <w:sz w:val="16"/>
              </w:rPr>
              <w:t xml:space="preserve"> </w:t>
            </w:r>
            <m:oMath>
              <m:r>
                <m:rPr>
                  <m:sty m:val="p"/>
                </m:rPr>
                <m:t>→</m:t>
              </m:r>
            </m:oMath>
            <w:r>
              <w:rPr>
                <w:rFonts w:ascii="Times New Roman" w:hAnsi="Times New Roman"/>
                <w:sz w:val="16"/>
              </w:rPr>
              <w:t xml:space="preserve"> </w:t>
            </w:r>
            <w:r>
              <w:rPr>
                <w:rFonts w:ascii="Times New Roman" w:hAnsi="Times New Roman"/>
                <w:sz w:val="16"/>
              </w:rPr>
              <w:t xml:space="preserve">0.063 (-0.000)</w:t>
            </w:r>
          </w:p>
        </w:tc>
      </w:tr>
    </w:tbl>
    <w:p>
      <w:pPr>
        <w:pStyle w:val="BodyText"/>
      </w:pPr>
      <w:r>
        <w:t xml:space="preserve">The 1D ResNet gains most because its single-model variance is highest; the</w:t>
      </w:r>
      <w:r>
        <w:t xml:space="preserve"> </w:t>
      </w:r>
      <w:r>
        <w:t xml:space="preserve">LSTM</w:t>
      </w:r>
      <w:r>
        <w:t xml:space="preserve"> </w:t>
      </w:r>
      <w:r>
        <w:rPr>
          <w:iCs/>
          <w:i/>
        </w:rPr>
        <w:t xml:space="preserve">loses</w:t>
      </w:r>
      <w:r>
        <w:t xml:space="preserve"> </w:t>
      </w:r>
      <w:r>
        <w:t xml:space="preserve">accuracy. ECE improvements are consistent in sign but small</w:t>
      </w:r>
      <w:r>
        <w:t xml:space="preserve"> </w:t>
      </w:r>
      <w:r>
        <w:t xml:space="preserve">(0.000 to 0.011) — materially weaker than the deep-ensemble literature</w:t>
      </w:r>
      <w:r>
        <w:t xml:space="preserve"> </w:t>
      </w:r>
      <w:r>
        <w:t xml:space="preserve">suggests, and reported as measured. Two practical notes: the MLP matches</w:t>
      </w:r>
      <w:r>
        <w:t xml:space="preserve"> </w:t>
      </w:r>
      <w:r>
        <w:t xml:space="preserve">LSTM and GRU accuracy at roughly a tenth of the cost (1.5 s vs. 12.6 and</w:t>
      </w:r>
      <w:r>
        <w:t xml:space="preserve"> </w:t>
      </w:r>
      <w:r>
        <w:t xml:space="preserve">13.7 s), and the 5-member 1D ResNet ensemble is the best accuracy-calibration</w:t>
      </w:r>
      <w:r>
        <w:t xml:space="preserve"> </w:t>
      </w:r>
      <w:r>
        <w:t xml:space="preserve">compromise on TelecomTS at AUPRC 0.743 and ECE 0.079.</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304072"/>
            <wp:effectExtent b="0" l="0" r="0" t="0"/>
            <wp:docPr descr="" title="" id="66" name="Picture"/>
            <a:graphic>
              <a:graphicData uri="http://schemas.openxmlformats.org/drawingml/2006/picture">
                <pic:pic>
                  <pic:nvPicPr>
                    <pic:cNvPr descr="figures/fig7_deep_ensemble.png" id="67" name="Picture"/>
                    <pic:cNvPicPr>
                      <a:picLocks noChangeArrowheads="1" noChangeAspect="1"/>
                    </pic:cNvPicPr>
                  </pic:nvPicPr>
                  <pic:blipFill>
                    <a:blip r:embed="rId65"/>
                    <a:stretch>
                      <a:fillRect/>
                    </a:stretch>
                  </pic:blipFill>
                  <pic:spPr bwMode="auto">
                    <a:xfrm>
                      <a:off x="0" y="0"/>
                      <a:ext cx="6400800" cy="2304072"/>
                    </a:xfrm>
                    <a:prstGeom prst="rect">
                      <a:avLst/>
                    </a:prstGeom>
                    <a:noFill/>
                    <a:ln w="9525">
                      <a:noFill/>
                      <a:headEnd/>
                      <a:tailEnd/>
                    </a:ln>
                  </pic:spPr>
                </pic:pic>
              </a:graphicData>
            </a:graphic>
          </wp:inline>
        </w:drawing>
      </w:r>
    </w:p>
    <w:p>
      <w:pPr>
        <w:pStyle w:val="BodyText"/>
      </w:pPr>
      <w:r>
        <w:rPr>
          <w:iCs/>
          <w:i/>
        </w:rPr>
        <w:t xml:space="preserve">Figure 7. Single model against 5-member deep ensemble, AUPRC and ECE.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rPr>
          <w:bCs/>
          <w:b/>
        </w:rPr>
        <w:t xml:space="preserve">Finding 4 — the soft-vote ensemble does not earn its keep.</w:t>
      </w:r>
      <w:r>
        <w:t xml:space="preserve"> </w:t>
      </w:r>
      <w:r>
        <w:t xml:space="preserve">On</w:t>
      </w:r>
      <w:r>
        <w:t xml:space="preserve"> </w:t>
      </w:r>
      <w:r>
        <w:t xml:space="preserve">TelecomTS it costs 1,228 s — the sum of every member’s training time —</w:t>
      </w:r>
      <w:r>
        <w:t xml:space="preserve"> </w:t>
      </w:r>
      <w:r>
        <w:t xml:space="preserve">for AUPRC 0.741, below XGBoost alone at 1.4 s. On RCAEval it is strictly</w:t>
      </w:r>
      <w:r>
        <w:t xml:space="preserve"> </w:t>
      </w:r>
      <w:r>
        <w:t xml:space="preserve">dominated. On an operational cost basis this is a recommend-against.</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547590"/>
            <wp:effectExtent b="0" l="0" r="0" t="0"/>
            <wp:docPr descr="" title="" id="69" name="Picture"/>
            <a:graphic>
              <a:graphicData uri="http://schemas.openxmlformats.org/drawingml/2006/picture">
                <pic:pic>
                  <pic:nvPicPr>
                    <pic:cNvPr descr="figures/fig12_efficiency.png" id="70" name="Picture"/>
                    <pic:cNvPicPr>
                      <a:picLocks noChangeArrowheads="1" noChangeAspect="1"/>
                    </pic:cNvPicPr>
                  </pic:nvPicPr>
                  <pic:blipFill>
                    <a:blip r:embed="rId68"/>
                    <a:stretch>
                      <a:fillRect/>
                    </a:stretch>
                  </pic:blipFill>
                  <pic:spPr bwMode="auto">
                    <a:xfrm>
                      <a:off x="0" y="0"/>
                      <a:ext cx="6400800" cy="2547590"/>
                    </a:xfrm>
                    <a:prstGeom prst="rect">
                      <a:avLst/>
                    </a:prstGeom>
                    <a:noFill/>
                    <a:ln w="9525">
                      <a:noFill/>
                      <a:headEnd/>
                      <a:tailEnd/>
                    </a:ln>
                  </pic:spPr>
                </pic:pic>
              </a:graphicData>
            </a:graphic>
          </wp:inline>
        </w:drawing>
      </w:r>
    </w:p>
    <w:p>
      <w:pPr>
        <w:pStyle w:val="BodyText"/>
      </w:pPr>
      <w:r>
        <w:rPr>
          <w:iCs/>
          <w:i/>
        </w:rPr>
        <w:t xml:space="preserve">Figure 12. Accuracy against training cost. Tree models occupy the</w:t>
      </w:r>
      <w:r>
        <w:rPr>
          <w:iCs/>
          <w:i/>
        </w:rPr>
        <w:t xml:space="preserve"> </w:t>
      </w:r>
      <w:r>
        <w:rPr>
          <w:iCs/>
          <w:i/>
        </w:rPr>
        <w:t xml:space="preserve">favorable corner on every leg.</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bookmarkEnd w:id="71"/>
    <w:bookmarkStart w:id="72" w:name="c.-component-2-root-cause-attribution"/>
    <w:p>
      <w:pPr>
        <w:pStyle w:val="Heading2"/>
      </w:pPr>
      <w:r>
        <w:t xml:space="preserve">C. Component 2 — Root-cause attribution</w:t>
      </w:r>
    </w:p>
    <w:p>
      <w:pPr>
        <w:pStyle w:val="FirstParagraph"/>
      </w:pPr>
      <w:r>
        <w:t xml:space="preserve">Because the best predictor is a tree model on every leg (Section VI.1), the</w:t>
      </w:r>
      <w:r>
        <w:t xml:space="preserve"> </w:t>
      </w:r>
      <w:r>
        <w:t xml:space="preserve">TreeExplainer attribution is exact rather than approximate. For every SMD</w:t>
      </w:r>
      <w:r>
        <w:t xml:space="preserve"> </w:t>
      </w:r>
      <w:r>
        <w:t xml:space="preserve">ground-truth segment we take the attribution at the last window before</w:t>
      </w:r>
      <w:r>
        <w:t xml:space="preserve"> </w:t>
      </w:r>
      <w:r>
        <w:t xml:space="preserve">onset, aggregate</w:t>
      </w:r>
      <w:r>
        <w:t xml:space="preserve"> </w:t>
      </w:r>
      <m:oMath>
        <m:d>
          <m:dPr>
            <m:begChr m:val="|"/>
            <m:endChr m:val="|"/>
            <m:sepChr m:val=""/>
            <m:grow/>
          </m:dPr>
          <m:e>
            <m:sSub>
              <m:e>
                <m:r>
                  <m:t>ϕ</m:t>
                </m:r>
              </m:e>
              <m:sub>
                <m:r>
                  <m:t>i</m:t>
                </m:r>
              </m:sub>
            </m:sSub>
          </m:e>
        </m:d>
      </m:oMath>
      <w:r>
        <w:t xml:space="preserve"> </w:t>
      </w:r>
      <w:r>
        <w:t xml:space="preserve">from (4) across each KPI dimension’s</w:t>
      </w:r>
      <w:r>
        <w:t xml:space="preserve"> </w:t>
      </w:r>
      <w:r>
        <w:t xml:space="preserve">mean/std/last features, and rank dimensions. Table 10 reports precision@k = recall@k (k</w:t>
      </w:r>
      <w:r>
        <w:t xml:space="preserve"> </w:t>
      </w:r>
      <w:r>
        <w:t xml:space="preserve">set to the ground-truth set size) per segment; EVAL and CALIB segments are</w:t>
      </w:r>
      <w:r>
        <w:t xml:space="preserve"> </w:t>
      </w:r>
      <w:r>
        <w:t xml:space="preserve">genuinely out-of-sample, while TRAIN-block segments are in-sample and shown</w:t>
      </w:r>
      <w:r>
        <w:t xml:space="preserve"> </w:t>
      </w:r>
      <w:r>
        <w:t xml:space="preserve">only for contrast.</w:t>
      </w:r>
    </w:p>
    <w:p>
      <w:pPr>
        <w:pStyle w:val="BodyText"/>
      </w:pPr>
      <w:r>
        <w:rPr>
          <w:bCs/>
          <w:b/>
        </w:rPr>
        <w:t xml:space="preserve">Table 10. Component 2 results: SHAP-ranked root-cause attribution vs.</w:t>
      </w:r>
      <w:r>
        <w:rPr>
          <w:bCs/>
          <w:b/>
        </w:rPr>
        <w:t xml:space="preserve"> </w:t>
      </w:r>
      <w:r>
        <w:rPr>
          <w:bCs/>
          <w:b/>
        </w:rPr>
        <w:t xml:space="preserve">ground truth (SMD).</w:t>
      </w:r>
    </w:p>
    <w:tbl>
      <w:tblPr>
        <w:tblStyle w:val="Table"/>
        <w:tblLook w:firstRow="1" w:lastRow="0" w:firstColumn="0" w:lastColumn="0" w:noHBand="0" w:noVBand="0" w:val="0020"/>
        <w:jc w:val="start"/>
        <w:tblLayout w:type="autofit"/>
        <w:tblW w:type="pct" w:w="5000"/>
      </w:tblPr>
      <w:tblGrid>
        <w:gridCol w:w="1980"/>
        <w:gridCol w:w="1980"/>
        <w:gridCol w:w="1980"/>
        <w:gridCol w:w="1980"/>
      </w:tblGrid>
      <w:tr>
        <w:trPr>
          <w:tblHeader w:val="true"/>
        </w:trPr>
        <w:tc>
          <w:tcPr/>
          <w:p>
            <w:pPr>
              <w:pStyle w:val="Compact"/>
              <w:jc w:val="left"/>
            </w:pPr>
            <w:r>
              <w:rPr>
                <w:bCs/>
                <w:rFonts w:ascii="Times New Roman" w:hAnsi="Times New Roman"/>
                <w:b/>
                <w:sz w:val="16"/>
              </w:rPr>
              <w:t xml:space="preserve">Segment</w:t>
            </w:r>
          </w:p>
        </w:tc>
        <w:tc>
          <w:tcPr/>
          <w:p>
            <w:pPr>
              <w:pStyle w:val="Compact"/>
              <w:jc w:val="left"/>
            </w:pPr>
            <w:r>
              <w:rPr>
                <w:bCs/>
                <w:rFonts w:ascii="Times New Roman" w:hAnsi="Times New Roman"/>
                <w:b/>
                <w:sz w:val="16"/>
              </w:rPr>
              <w:t xml:space="preserve">Block</w:t>
            </w:r>
          </w:p>
        </w:tc>
        <w:tc>
          <w:tcPr/>
          <w:p>
            <w:pPr>
              <w:pStyle w:val="Compact"/>
              <w:jc w:val="left"/>
            </w:pPr>
            <w:r>
              <w:rPr>
                <w:bCs/>
                <w:rFonts w:ascii="Times New Roman" w:hAnsi="Times New Roman"/>
                <w:b/>
                <w:sz w:val="16"/>
              </w:rPr>
              <w:t xml:space="preserve">k</w:t>
            </w:r>
          </w:p>
        </w:tc>
        <w:tc>
          <w:tcPr/>
          <w:p>
            <w:pPr>
              <w:pStyle w:val="Compact"/>
              <w:jc w:val="left"/>
            </w:pPr>
            <w:r>
              <w:rPr>
                <w:bCs/>
                <w:rFonts w:ascii="Times New Roman" w:hAnsi="Times New Roman"/>
                <w:b/>
                <w:sz w:val="16"/>
              </w:rPr>
              <w:t xml:space="preserve">Precision@k = Recall@k</w:t>
            </w:r>
          </w:p>
        </w:tc>
      </w:tr>
      <w:tr>
        <w:tc>
          <w:tcPr/>
          <w:p>
            <w:pPr>
              <w:pStyle w:val="Compact"/>
              <w:jc w:val="left"/>
            </w:pPr>
            <w:r>
              <w:rPr>
                <w:rFonts w:ascii="Times New Roman" w:hAnsi="Times New Roman"/>
                <w:sz w:val="16"/>
              </w:rPr>
              <w:t xml:space="preserve">15849-16368</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7</w:t>
            </w:r>
          </w:p>
        </w:tc>
        <w:tc>
          <w:tcPr/>
          <w:p>
            <w:pPr>
              <w:pStyle w:val="Compact"/>
              <w:jc w:val="left"/>
            </w:pPr>
            <w:r>
              <w:rPr>
                <w:rFonts w:ascii="Times New Roman" w:hAnsi="Times New Roman"/>
                <w:sz w:val="16"/>
              </w:rPr>
              <w:t xml:space="preserve">0.571</w:t>
            </w:r>
          </w:p>
        </w:tc>
      </w:tr>
      <w:tr>
        <w:tc>
          <w:tcPr/>
          <w:p>
            <w:pPr>
              <w:pStyle w:val="Compact"/>
              <w:jc w:val="left"/>
            </w:pPr>
            <w:r>
              <w:rPr>
                <w:rFonts w:ascii="Times New Roman" w:hAnsi="Times New Roman"/>
                <w:sz w:val="16"/>
              </w:rPr>
              <w:t xml:space="preserve">16963-17517</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31</w:t>
            </w:r>
          </w:p>
        </w:tc>
        <w:tc>
          <w:tcPr/>
          <w:p>
            <w:pPr>
              <w:pStyle w:val="Compact"/>
              <w:jc w:val="left"/>
            </w:pPr>
            <w:r>
              <w:rPr>
                <w:rFonts w:ascii="Times New Roman" w:hAnsi="Times New Roman"/>
                <w:sz w:val="16"/>
              </w:rPr>
              <w:t xml:space="preserve">0.968</w:t>
            </w:r>
          </w:p>
        </w:tc>
      </w:tr>
      <w:tr>
        <w:tc>
          <w:tcPr/>
          <w:p>
            <w:pPr>
              <w:pStyle w:val="Compact"/>
              <w:jc w:val="left"/>
            </w:pPr>
            <w:r>
              <w:rPr>
                <w:rFonts w:ascii="Times New Roman" w:hAnsi="Times New Roman"/>
                <w:sz w:val="16"/>
              </w:rPr>
              <w:t xml:space="preserve">18071-18528</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8</w:t>
            </w:r>
          </w:p>
        </w:tc>
        <w:tc>
          <w:tcPr/>
          <w:p>
            <w:pPr>
              <w:pStyle w:val="Compact"/>
              <w:jc w:val="left"/>
            </w:pPr>
            <w:r>
              <w:rPr>
                <w:rFonts w:ascii="Times New Roman" w:hAnsi="Times New Roman"/>
                <w:sz w:val="16"/>
              </w:rPr>
              <w:t xml:space="preserve">0.500</w:t>
            </w:r>
          </w:p>
        </w:tc>
      </w:tr>
      <w:tr>
        <w:tc>
          <w:tcPr/>
          <w:p>
            <w:pPr>
              <w:pStyle w:val="Compact"/>
              <w:jc w:val="left"/>
            </w:pPr>
            <w:r>
              <w:rPr>
                <w:rFonts w:ascii="Times New Roman" w:hAnsi="Times New Roman"/>
                <w:sz w:val="16"/>
              </w:rPr>
              <w:t xml:space="preserve">19367-20088</w:t>
            </w:r>
          </w:p>
        </w:tc>
        <w:tc>
          <w:tcPr/>
          <w:p>
            <w:pPr>
              <w:pStyle w:val="Compact"/>
              <w:jc w:val="left"/>
            </w:pPr>
            <w:r>
              <w:rPr>
                <w:rFonts w:ascii="Times New Roman" w:hAnsi="Times New Roman"/>
                <w:sz w:val="16"/>
              </w:rPr>
              <w:t xml:space="preserve">eval (out-of-sample)</w:t>
            </w:r>
          </w:p>
        </w:tc>
        <w:tc>
          <w:tcPr/>
          <w:p>
            <w:pPr>
              <w:pStyle w:val="Compact"/>
              <w:jc w:val="left"/>
            </w:pPr>
            <w:r>
              <w:rPr>
                <w:rFonts w:ascii="Times New Roman" w:hAnsi="Times New Roman"/>
                <w:sz w:val="16"/>
              </w:rPr>
              <w:t xml:space="preserve">14</w:t>
            </w:r>
          </w:p>
        </w:tc>
        <w:tc>
          <w:tcPr/>
          <w:p>
            <w:pPr>
              <w:pStyle w:val="Compact"/>
              <w:jc w:val="left"/>
            </w:pPr>
            <w:r>
              <w:rPr>
                <w:rFonts w:ascii="Times New Roman" w:hAnsi="Times New Roman"/>
                <w:sz w:val="16"/>
              </w:rPr>
              <w:t xml:space="preserve">0.571</w:t>
            </w:r>
          </w:p>
        </w:tc>
      </w:tr>
      <w:tr>
        <w:tc>
          <w:tcPr/>
          <w:p>
            <w:pPr>
              <w:pStyle w:val="Compact"/>
              <w:jc w:val="left"/>
            </w:pPr>
            <w:r>
              <w:rPr>
                <w:rFonts w:ascii="Times New Roman" w:hAnsi="Times New Roman"/>
                <w:sz w:val="16"/>
              </w:rPr>
              <w:t xml:space="preserve">20786-21195</w:t>
            </w:r>
          </w:p>
        </w:tc>
        <w:tc>
          <w:tcPr/>
          <w:p>
            <w:pPr>
              <w:pStyle w:val="Compact"/>
              <w:jc w:val="left"/>
            </w:pPr>
            <w:r>
              <w:rPr>
                <w:rFonts w:ascii="Times New Roman" w:hAnsi="Times New Roman"/>
                <w:sz w:val="16"/>
              </w:rPr>
              <w:t xml:space="preserve">eval (out-of-sample)</w:t>
            </w:r>
          </w:p>
        </w:tc>
        <w:tc>
          <w:tcPr/>
          <w:p>
            <w:pPr>
              <w:pStyle w:val="Compact"/>
              <w:jc w:val="left"/>
            </w:pPr>
            <w:r>
              <w:rPr>
                <w:rFonts w:ascii="Times New Roman" w:hAnsi="Times New Roman"/>
                <w:sz w:val="16"/>
              </w:rPr>
              <w:t xml:space="preserve">7</w:t>
            </w:r>
          </w:p>
        </w:tc>
        <w:tc>
          <w:tcPr/>
          <w:p>
            <w:pPr>
              <w:pStyle w:val="Compact"/>
              <w:jc w:val="left"/>
            </w:pPr>
            <w:r>
              <w:rPr>
                <w:rFonts w:ascii="Times New Roman" w:hAnsi="Times New Roman"/>
                <w:sz w:val="16"/>
              </w:rPr>
              <w:t xml:space="preserve">0.571</w:t>
            </w:r>
          </w:p>
        </w:tc>
      </w:tr>
      <w:tr>
        <w:tc>
          <w:tcPr/>
          <w:p>
            <w:pPr>
              <w:pStyle w:val="Compact"/>
              <w:jc w:val="left"/>
            </w:pPr>
            <w:r>
              <w:rPr>
                <w:rFonts w:ascii="Times New Roman" w:hAnsi="Times New Roman"/>
                <w:sz w:val="16"/>
              </w:rPr>
              <w:t xml:space="preserve">24679-24682</w:t>
            </w:r>
          </w:p>
        </w:tc>
        <w:tc>
          <w:tcPr/>
          <w:p>
            <w:pPr>
              <w:pStyle w:val="Compact"/>
              <w:jc w:val="left"/>
            </w:pPr>
            <w:r>
              <w:rPr>
                <w:rFonts w:ascii="Times New Roman" w:hAnsi="Times New Roman"/>
                <w:sz w:val="16"/>
              </w:rPr>
              <w:t xml:space="preserve">calib (out-of-sample)</w:t>
            </w:r>
          </w:p>
        </w:tc>
        <w:tc>
          <w:tcPr/>
          <w:p>
            <w:pPr>
              <w:pStyle w:val="Compact"/>
              <w:jc w:val="left"/>
            </w:pPr>
            <w:r>
              <w:rPr>
                <w:rFonts w:ascii="Times New Roman" w:hAnsi="Times New Roman"/>
                <w:sz w:val="16"/>
              </w:rPr>
              <w:t xml:space="preserve">4</w:t>
            </w:r>
          </w:p>
        </w:tc>
        <w:tc>
          <w:tcPr/>
          <w:p>
            <w:pPr>
              <w:pStyle w:val="Compact"/>
              <w:jc w:val="left"/>
            </w:pPr>
            <w:r>
              <w:rPr>
                <w:rFonts w:ascii="Times New Roman" w:hAnsi="Times New Roman"/>
                <w:sz w:val="16"/>
              </w:rPr>
              <w:t xml:space="preserve">0.500</w:t>
            </w:r>
          </w:p>
        </w:tc>
      </w:tr>
      <w:tr>
        <w:tc>
          <w:tcPr/>
          <w:p>
            <w:pPr>
              <w:pStyle w:val="Compact"/>
              <w:jc w:val="left"/>
            </w:pPr>
            <w:r>
              <w:rPr>
                <w:rFonts w:ascii="Times New Roman" w:hAnsi="Times New Roman"/>
                <w:sz w:val="16"/>
              </w:rPr>
              <w:t xml:space="preserve">26114-26116</w:t>
            </w:r>
          </w:p>
        </w:tc>
        <w:tc>
          <w:tcPr/>
          <w:p>
            <w:pPr>
              <w:pStyle w:val="Compact"/>
              <w:jc w:val="left"/>
            </w:pPr>
            <w:r>
              <w:rPr>
                <w:rFonts w:ascii="Times New Roman" w:hAnsi="Times New Roman"/>
                <w:sz w:val="16"/>
              </w:rPr>
              <w:t xml:space="preserve">calib (out-of-sample)</w:t>
            </w:r>
          </w:p>
        </w:tc>
        <w:tc>
          <w:tcPr/>
          <w:p>
            <w:pPr>
              <w:pStyle w:val="Compact"/>
              <w:jc w:val="left"/>
            </w:pPr>
            <w:r>
              <w:rPr>
                <w:rFonts w:ascii="Times New Roman" w:hAnsi="Times New Roman"/>
                <w:sz w:val="16"/>
              </w:rPr>
              <w:t xml:space="preserve">4</w:t>
            </w:r>
          </w:p>
        </w:tc>
        <w:tc>
          <w:tcPr/>
          <w:p>
            <w:pPr>
              <w:pStyle w:val="Compact"/>
              <w:jc w:val="left"/>
            </w:pPr>
            <w:r>
              <w:rPr>
                <w:rFonts w:ascii="Times New Roman" w:hAnsi="Times New Roman"/>
                <w:sz w:val="16"/>
              </w:rPr>
              <w:t xml:space="preserve">0.250</w:t>
            </w:r>
          </w:p>
        </w:tc>
      </w:tr>
      <w:tr>
        <w:tc>
          <w:tcPr/>
          <w:p>
            <w:pPr>
              <w:pStyle w:val="Compact"/>
              <w:jc w:val="left"/>
            </w:pPr>
            <w:r>
              <w:rPr>
                <w:rFonts w:ascii="Times New Roman" w:hAnsi="Times New Roman"/>
                <w:sz w:val="16"/>
              </w:rPr>
              <w:t xml:space="preserve">27554-27556</w:t>
            </w:r>
          </w:p>
        </w:tc>
        <w:tc>
          <w:tcPr/>
          <w:p>
            <w:pPr>
              <w:pStyle w:val="Compact"/>
              <w:jc w:val="left"/>
            </w:pPr>
            <w:r>
              <w:rPr>
                <w:rFonts w:ascii="Times New Roman" w:hAnsi="Times New Roman"/>
                <w:sz w:val="16"/>
              </w:rPr>
              <w:t xml:space="preserve">calib (out-of-sample)</w:t>
            </w:r>
          </w:p>
        </w:tc>
        <w:tc>
          <w:tcPr/>
          <w:p>
            <w:pPr>
              <w:pStyle w:val="Compact"/>
              <w:jc w:val="left"/>
            </w:pPr>
            <w:r>
              <w:rPr>
                <w:rFonts w:ascii="Times New Roman" w:hAnsi="Times New Roman"/>
                <w:sz w:val="16"/>
              </w:rPr>
              <w:t xml:space="preserve">4</w:t>
            </w:r>
          </w:p>
        </w:tc>
        <w:tc>
          <w:tcPr/>
          <w:p>
            <w:pPr>
              <w:pStyle w:val="Compact"/>
              <w:jc w:val="left"/>
            </w:pPr>
            <w:r>
              <w:rPr>
                <w:rFonts w:ascii="Times New Roman" w:hAnsi="Times New Roman"/>
                <w:sz w:val="16"/>
              </w:rPr>
              <w:t xml:space="preserve">0.750</w:t>
            </w:r>
          </w:p>
        </w:tc>
      </w:tr>
    </w:tbl>
    <w:p>
      <w:pPr>
        <w:pStyle w:val="BodyText"/>
      </w:pPr>
      <w:r>
        <w:t xml:space="preserve">The out-of-sample (EVAL + CALIB) mean precision/recall@k is 0.529, against a</w:t>
      </w:r>
      <w:r>
        <w:t xml:space="preserve"> </w:t>
      </w:r>
      <w:r>
        <w:t xml:space="preserve">mean chance level of approximately 0.174 for the corresponding k values —</w:t>
      </w:r>
      <w:r>
        <w:t xml:space="preserve"> </w:t>
      </w:r>
      <w:r>
        <w:t xml:space="preserve">well above chance, but far from perfect, which we report as the honest</w:t>
      </w:r>
      <w:r>
        <w:t xml:space="preserve"> </w:t>
      </w:r>
      <w:r>
        <w:t xml:space="preserve">finding rather than only the best-case segment. Section VI.5 returns to the</w:t>
      </w:r>
      <w:r>
        <w:t xml:space="preserve"> </w:t>
      </w:r>
      <w:r>
        <w:t xml:space="preserve">three out-of-sample segments where localization is wrong, because</w:t>
      </w:r>
      <w:r>
        <w:t xml:space="preserve"> </w:t>
      </w:r>
      <w:r>
        <w:rPr>
          <w:iCs/>
          <w:i/>
        </w:rPr>
        <w:t xml:space="preserve">which</w:t>
      </w:r>
      <w:r>
        <w:t xml:space="preserve"> </w:t>
      </w:r>
      <w:r>
        <w:t xml:space="preserve">events those are turns out to matter more than the mean.</w:t>
      </w:r>
    </w:p>
    <w:p>
      <w:pPr>
        <w:pStyle w:val="BodyText"/>
      </w:pPr>
      <w:r>
        <w:t xml:space="preserve">Localization is scored on SMD only. Both TelecomTS (named</w:t>
      </w:r>
      <w:r>
        <w:t xml:space="preserve"> </w:t>
      </w:r>
      <w:r>
        <w:rPr>
          <w:rStyle w:val="VerbatimChar"/>
        </w:rPr>
        <w:t xml:space="preserve">affected_kpis</w:t>
      </w:r>
      <w:r>
        <w:t xml:space="preserve">)</w:t>
      </w:r>
      <w:r>
        <w:t xml:space="preserve"> </w:t>
      </w:r>
      <w:r>
        <w:t xml:space="preserve">and RCAEval (root-cause service and indicator) ship localization ground</w:t>
      </w:r>
      <w:r>
        <w:t xml:space="preserve"> </w:t>
      </w:r>
      <w:r>
        <w:t xml:space="preserve">truth and both loaders expose it, but the ranking is not yet scored on</w:t>
      </w:r>
      <w:r>
        <w:t xml:space="preserve"> </w:t>
      </w:r>
      <w:r>
        <w:t xml:space="preserve">either; that is the immediate next experiment (Section IX).</w:t>
      </w:r>
    </w:p>
    <w:bookmarkEnd w:id="72"/>
    <w:bookmarkStart w:id="73" w:name="X5dfa9f99d7606b3db1d1e28d0f149f9f32dd1b7"/>
    <w:p>
      <w:pPr>
        <w:pStyle w:val="Heading2"/>
      </w:pPr>
      <w:r>
        <w:t xml:space="preserve">D. Component 3 — Correlation vs. causal evidence</w:t>
      </w:r>
    </w:p>
    <w:p>
      <w:pPr>
        <w:pStyle w:val="FirstParagraph"/>
      </w:pPr>
      <w:r>
        <w:t xml:space="preserve">For the representative segment 20786-21195, Table 11 tests the top-5</w:t>
      </w:r>
      <w:r>
        <w:t xml:space="preserve"> </w:t>
      </w:r>
      <w:r>
        <w:t xml:space="preserve">SHAP-ranked KPI dimensions for Granger causality against a fixed target</w:t>
      </w:r>
      <w:r>
        <w:t xml:space="preserve"> </w:t>
      </w:r>
      <w:r>
        <w:t xml:space="preserve">dimension (KPI 14, present in every ground-truth set) over a local</w:t>
      </w:r>
      <w:r>
        <w:t xml:space="preserve"> </w:t>
      </w:r>
      <w:r>
        <w:t xml:space="preserve">pre/during-onset window, with Benjamini-Hochberg FDR control across the</w:t>
      </w:r>
      <w:r>
        <w:t xml:space="preserve"> </w:t>
      </w:r>
      <w:r>
        <w:t xml:space="preserve">tested dimensions.</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rPr>
          <w:bCs/>
          <w:b/>
        </w:rPr>
        <w:t xml:space="preserve">Table 11. Component 3 results: Granger-causality filtering of SHAP-ranked</w:t>
      </w:r>
      <w:r>
        <w:rPr>
          <w:bCs/>
          <w:b/>
        </w:rPr>
        <w:t xml:space="preserve"> </w:t>
      </w:r>
      <w:r>
        <w:rPr>
          <w:bCs/>
          <w:b/>
        </w:rPr>
        <w:t xml:space="preserve">candidates.</w:t>
      </w:r>
    </w:p>
    <w:tbl>
      <w:tblPr>
        <w:tblStyle w:val="Table"/>
        <w:tblLook w:firstRow="1" w:lastRow="0" w:firstColumn="0" w:lastColumn="0" w:noHBand="0" w:noVBand="0" w:val="0020"/>
        <w:jc w:val="start"/>
        <w:tblLayout w:type="autofit"/>
        <w:tblW w:type="pct" w:w="5000"/>
      </w:tblPr>
      <w:tblGrid>
        <w:gridCol w:w="1584"/>
        <w:gridCol w:w="1584"/>
        <w:gridCol w:w="1584"/>
        <w:gridCol w:w="1584"/>
        <w:gridCol w:w="1584"/>
      </w:tblGrid>
      <w:tr>
        <w:trPr>
          <w:tblHeader w:val="true"/>
        </w:trPr>
        <w:tc>
          <w:tcPr/>
          <w:p>
            <w:pPr>
              <w:pStyle w:val="Compact"/>
              <w:jc w:val="left"/>
            </w:pPr>
            <w:r>
              <w:rPr>
                <w:bCs/>
                <w:rFonts w:ascii="Times New Roman" w:hAnsi="Times New Roman"/>
                <w:b/>
                <w:sz w:val="16"/>
              </w:rPr>
              <w:t xml:space="preserve">KPI dim.</w:t>
            </w:r>
          </w:p>
        </w:tc>
        <w:tc>
          <w:tcPr/>
          <w:p>
            <w:pPr>
              <w:pStyle w:val="Compact"/>
              <w:jc w:val="left"/>
            </w:pPr>
            <w:r>
              <w:rPr>
                <w:bCs/>
                <w:rFonts w:ascii="Times New Roman" w:hAnsi="Times New Roman"/>
                <w:b/>
                <w:sz w:val="16"/>
              </w:rPr>
              <w:t xml:space="preserve">In ground truth</w:t>
            </w:r>
          </w:p>
        </w:tc>
        <w:tc>
          <w:tcPr/>
          <w:p>
            <w:pPr>
              <w:pStyle w:val="Compact"/>
              <w:jc w:val="left"/>
            </w:pPr>
            <w:r>
              <w:rPr>
                <w:bCs/>
                <w:rFonts w:ascii="Times New Roman" w:hAnsi="Times New Roman"/>
                <w:b/>
                <w:sz w:val="16"/>
              </w:rPr>
              <w:t xml:space="preserve">Pearson r</w:t>
            </w:r>
          </w:p>
        </w:tc>
        <w:tc>
          <w:tcPr/>
          <w:p>
            <w:pPr>
              <w:pStyle w:val="Compact"/>
              <w:jc w:val="left"/>
            </w:pPr>
            <w:r>
              <w:rPr>
                <w:bCs/>
                <w:rFonts w:ascii="Times New Roman" w:hAnsi="Times New Roman"/>
                <w:b/>
                <w:sz w:val="16"/>
              </w:rPr>
              <w:t xml:space="preserve">Granger p (min)</w:t>
            </w:r>
          </w:p>
        </w:tc>
        <w:tc>
          <w:tcPr/>
          <w:p>
            <w:pPr>
              <w:pStyle w:val="Compact"/>
              <w:jc w:val="left"/>
            </w:pPr>
            <w:r>
              <w:rPr>
                <w:bCs/>
                <w:rFonts w:ascii="Times New Roman" w:hAnsi="Times New Roman"/>
                <w:b/>
                <w:sz w:val="16"/>
              </w:rPr>
              <w:t xml:space="preserve">Verdict</w:t>
            </w:r>
          </w:p>
        </w:tc>
      </w:tr>
      <w:tr>
        <w:tc>
          <w:tcPr/>
          <w:p>
            <w:pPr>
              <w:pStyle w:val="Compact"/>
              <w:jc w:val="left"/>
            </w:pPr>
            <w:r>
              <w:rPr>
                <w:rFonts w:ascii="Times New Roman" w:hAnsi="Times New Roman"/>
                <w:sz w:val="16"/>
              </w:rPr>
              <w:t xml:space="preserve">7</w:t>
            </w:r>
          </w:p>
        </w:tc>
        <w:tc>
          <w:tcPr/>
          <w:p>
            <w:pPr>
              <w:pStyle w:val="Compact"/>
              <w:jc w:val="left"/>
            </w:pPr>
            <w:r>
              <w:rPr>
                <w:rFonts w:ascii="Times New Roman" w:hAnsi="Times New Roman"/>
                <w:sz w:val="16"/>
              </w:rPr>
              <w:t xml:space="preserve">No</w:t>
            </w:r>
          </w:p>
        </w:tc>
        <w:tc>
          <w:tcPr/>
          <w:p>
            <w:pPr>
              <w:pStyle w:val="Compact"/>
              <w:jc w:val="left"/>
            </w:pPr>
            <w:r>
              <w:rPr>
                <w:rFonts w:ascii="Times New Roman" w:hAnsi="Times New Roman"/>
                <w:sz w:val="16"/>
              </w:rPr>
              <w:t xml:space="preserve">-0.075</w:t>
            </w:r>
          </w:p>
        </w:tc>
        <w:tc>
          <w:tcPr/>
          <w:p>
            <w:pPr>
              <w:pStyle w:val="Compact"/>
              <w:jc w:val="left"/>
            </w:pPr>
            <w:r>
              <w:rPr>
                <w:rFonts w:ascii="Times New Roman" w:hAnsi="Times New Roman"/>
                <w:sz w:val="16"/>
              </w:rPr>
              <w:t xml:space="preserve">0.199</w:t>
            </w:r>
          </w:p>
        </w:tc>
        <w:tc>
          <w:tcPr/>
          <w:p>
            <w:pPr>
              <w:pStyle w:val="Compact"/>
              <w:jc w:val="left"/>
            </w:pPr>
            <w:r>
              <w:rPr>
                <w:rFonts w:ascii="Times New Roman" w:hAnsi="Times New Roman"/>
                <w:sz w:val="16"/>
              </w:rPr>
              <w:t xml:space="preserve">Correlational only</w:t>
            </w:r>
          </w:p>
        </w:tc>
      </w:tr>
      <w:tr>
        <w:tc>
          <w:tcPr/>
          <w:p>
            <w:pPr>
              <w:pStyle w:val="Compact"/>
              <w:jc w:val="left"/>
            </w:pPr>
            <w:r>
              <w:rPr>
                <w:rFonts w:ascii="Times New Roman" w:hAnsi="Times New Roman"/>
                <w:sz w:val="16"/>
              </w:rPr>
              <w:t xml:space="preserve">9</w:t>
            </w:r>
          </w:p>
        </w:tc>
        <w:tc>
          <w:tcPr/>
          <w:p>
            <w:pPr>
              <w:pStyle w:val="Compact"/>
              <w:jc w:val="left"/>
            </w:pPr>
            <w:r>
              <w:rPr>
                <w:rFonts w:ascii="Times New Roman" w:hAnsi="Times New Roman"/>
                <w:sz w:val="16"/>
              </w:rPr>
              <w:t xml:space="preserve">Yes</w:t>
            </w:r>
          </w:p>
        </w:tc>
        <w:tc>
          <w:tcPr/>
          <w:p>
            <w:pPr>
              <w:pStyle w:val="Compact"/>
              <w:jc w:val="left"/>
            </w:pPr>
            <w:r>
              <w:rPr>
                <w:rFonts w:ascii="Times New Roman" w:hAnsi="Times New Roman"/>
                <w:sz w:val="16"/>
              </w:rPr>
              <w:t xml:space="preserve">0.951</w:t>
            </w:r>
          </w:p>
        </w:tc>
        <w:tc>
          <w:tcPr/>
          <w:p>
            <w:pPr>
              <w:pStyle w:val="Compact"/>
              <w:jc w:val="left"/>
            </w:pPr>
            <w:r>
              <w:rPr>
                <w:rFonts w:ascii="Times New Roman" w:hAnsi="Times New Roman"/>
                <w:sz w:val="16"/>
              </w:rPr>
              <w:t xml:space="preserve">0.000</w:t>
            </w:r>
          </w:p>
        </w:tc>
        <w:tc>
          <w:tcPr/>
          <w:p>
            <w:pPr>
              <w:pStyle w:val="Compact"/>
              <w:jc w:val="left"/>
            </w:pPr>
            <w:r>
              <w:rPr>
                <w:rFonts w:ascii="Times New Roman" w:hAnsi="Times New Roman"/>
                <w:sz w:val="16"/>
              </w:rPr>
              <w:t xml:space="preserve">Causal evidence</w:t>
            </w:r>
          </w:p>
        </w:tc>
      </w:tr>
      <w:tr>
        <w:tc>
          <w:tcPr/>
          <w:p>
            <w:pPr>
              <w:pStyle w:val="Compact"/>
              <w:jc w:val="left"/>
            </w:pPr>
            <w:r>
              <w:rPr>
                <w:rFonts w:ascii="Times New Roman" w:hAnsi="Times New Roman"/>
                <w:sz w:val="16"/>
              </w:rPr>
              <w:t xml:space="preserve">13</w:t>
            </w:r>
          </w:p>
        </w:tc>
        <w:tc>
          <w:tcPr/>
          <w:p>
            <w:pPr>
              <w:pStyle w:val="Compact"/>
              <w:jc w:val="left"/>
            </w:pPr>
            <w:r>
              <w:rPr>
                <w:rFonts w:ascii="Times New Roman" w:hAnsi="Times New Roman"/>
                <w:sz w:val="16"/>
              </w:rPr>
              <w:t xml:space="preserve">Yes</w:t>
            </w:r>
          </w:p>
        </w:tc>
        <w:tc>
          <w:tcPr/>
          <w:p>
            <w:pPr>
              <w:pStyle w:val="Compact"/>
              <w:jc w:val="left"/>
            </w:pPr>
            <w:r>
              <w:rPr>
                <w:rFonts w:ascii="Times New Roman" w:hAnsi="Times New Roman"/>
                <w:sz w:val="16"/>
              </w:rPr>
              <w:t xml:space="preserve">0.586</w:t>
            </w:r>
          </w:p>
        </w:tc>
        <w:tc>
          <w:tcPr/>
          <w:p>
            <w:pPr>
              <w:pStyle w:val="Compact"/>
              <w:jc w:val="left"/>
            </w:pPr>
            <w:r>
              <w:rPr>
                <w:rFonts w:ascii="Times New Roman" w:hAnsi="Times New Roman"/>
                <w:sz w:val="16"/>
              </w:rPr>
              <w:t xml:space="preserve">0.025</w:t>
            </w:r>
          </w:p>
        </w:tc>
        <w:tc>
          <w:tcPr/>
          <w:p>
            <w:pPr>
              <w:pStyle w:val="Compact"/>
              <w:jc w:val="left"/>
            </w:pPr>
            <w:r>
              <w:rPr>
                <w:rFonts w:ascii="Times New Roman" w:hAnsi="Times New Roman"/>
                <w:sz w:val="16"/>
              </w:rPr>
              <w:t xml:space="preserve">Causal evidence</w:t>
            </w:r>
          </w:p>
        </w:tc>
      </w:tr>
      <w:tr>
        <w:tc>
          <w:tcPr/>
          <w:p>
            <w:pPr>
              <w:pStyle w:val="Compact"/>
              <w:jc w:val="left"/>
            </w:pPr>
            <w:r>
              <w:rPr>
                <w:rFonts w:ascii="Times New Roman" w:hAnsi="Times New Roman"/>
                <w:sz w:val="16"/>
              </w:rPr>
              <w:t xml:space="preserve">30</w:t>
            </w:r>
          </w:p>
        </w:tc>
        <w:tc>
          <w:tcPr/>
          <w:p>
            <w:pPr>
              <w:pStyle w:val="Compact"/>
              <w:jc w:val="left"/>
            </w:pPr>
            <w:r>
              <w:rPr>
                <w:rFonts w:ascii="Times New Roman" w:hAnsi="Times New Roman"/>
                <w:sz w:val="16"/>
              </w:rPr>
              <w:t xml:space="preserve">No</w:t>
            </w:r>
          </w:p>
        </w:tc>
        <w:tc>
          <w:tcPr/>
          <w:p>
            <w:pPr>
              <w:pStyle w:val="Compact"/>
              <w:jc w:val="left"/>
            </w:pPr>
            <w:r>
              <w:rPr>
                <w:rFonts w:ascii="Times New Roman" w:hAnsi="Times New Roman"/>
                <w:sz w:val="16"/>
              </w:rPr>
              <w:t xml:space="preserve">0.046</w:t>
            </w:r>
          </w:p>
        </w:tc>
        <w:tc>
          <w:tcPr/>
          <w:p>
            <w:pPr>
              <w:pStyle w:val="Compact"/>
              <w:jc w:val="left"/>
            </w:pPr>
            <w:r>
              <w:rPr>
                <w:rFonts w:ascii="Times New Roman" w:hAnsi="Times New Roman"/>
                <w:sz w:val="16"/>
              </w:rPr>
              <w:t xml:space="preserve">0.450</w:t>
            </w:r>
          </w:p>
        </w:tc>
        <w:tc>
          <w:tcPr/>
          <w:p>
            <w:pPr>
              <w:pStyle w:val="Compact"/>
              <w:jc w:val="left"/>
            </w:pPr>
            <w:r>
              <w:rPr>
                <w:rFonts w:ascii="Times New Roman" w:hAnsi="Times New Roman"/>
                <w:sz w:val="16"/>
              </w:rPr>
              <w:t xml:space="preserve">Correlational only</w:t>
            </w:r>
          </w:p>
        </w:tc>
      </w:tr>
      <w:tr>
        <w:tc>
          <w:tcPr/>
          <w:p>
            <w:pPr>
              <w:pStyle w:val="Compact"/>
              <w:jc w:val="left"/>
            </w:pPr>
            <w:r>
              <w:rPr>
                <w:rFonts w:ascii="Times New Roman" w:hAnsi="Times New Roman"/>
                <w:sz w:val="16"/>
              </w:rPr>
              <w:t xml:space="preserve">33</w:t>
            </w:r>
          </w:p>
        </w:tc>
        <w:tc>
          <w:tcPr/>
          <w:p>
            <w:pPr>
              <w:pStyle w:val="Compact"/>
              <w:jc w:val="left"/>
            </w:pPr>
            <w:r>
              <w:rPr>
                <w:rFonts w:ascii="Times New Roman" w:hAnsi="Times New Roman"/>
                <w:sz w:val="16"/>
              </w:rPr>
              <w:t xml:space="preserve">No</w:t>
            </w:r>
          </w:p>
        </w:tc>
        <w:tc>
          <w:tcPr/>
          <w:p>
            <w:pPr>
              <w:pStyle w:val="Compact"/>
              <w:jc w:val="left"/>
            </w:pPr>
            <w:r>
              <w:rPr>
                <w:rFonts w:ascii="Times New Roman" w:hAnsi="Times New Roman"/>
                <w:sz w:val="16"/>
              </w:rPr>
              <w:t xml:space="preserve">0.026</w:t>
            </w:r>
          </w:p>
        </w:tc>
        <w:tc>
          <w:tcPr/>
          <w:p>
            <w:pPr>
              <w:pStyle w:val="Compact"/>
              <w:jc w:val="left"/>
            </w:pPr>
            <w:r>
              <w:rPr>
                <w:rFonts w:ascii="Times New Roman" w:hAnsi="Times New Roman"/>
                <w:sz w:val="16"/>
              </w:rPr>
              <w:t xml:space="preserve">0.791</w:t>
            </w:r>
          </w:p>
        </w:tc>
        <w:tc>
          <w:tcPr/>
          <w:p>
            <w:pPr>
              <w:pStyle w:val="Compact"/>
              <w:jc w:val="left"/>
            </w:pPr>
            <w:r>
              <w:rPr>
                <w:rFonts w:ascii="Times New Roman" w:hAnsi="Times New Roman"/>
                <w:sz w:val="16"/>
              </w:rPr>
              <w:t xml:space="preserve">Correlational only</w:t>
            </w:r>
          </w:p>
        </w:tc>
      </w:tr>
    </w:tbl>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The two dimensions that are both highly correlated and in the ground-truth</w:t>
      </w:r>
      <w:r>
        <w:t xml:space="preserve"> </w:t>
      </w:r>
      <w:r>
        <w:t xml:space="preserve">root-cause set (9, 13) pass the Granger test; the three that are only</w:t>
      </w:r>
      <w:r>
        <w:t xml:space="preserve"> </w:t>
      </w:r>
      <w:r>
        <w:t xml:space="preserve">SHAP-flagged noise (weak correlation, absent from ground truth) fail it —</w:t>
      </w:r>
      <w:r>
        <w:t xml:space="preserve"> </w:t>
      </w:r>
      <w:r>
        <w:t xml:space="preserve">the intended separation, though demonstrated here on one incident rather</w:t>
      </w:r>
      <w:r>
        <w:t xml:space="preserve"> </w:t>
      </w:r>
      <w:r>
        <w:t xml:space="preserve">than across a statistically powered sample (Section VIII).</w:t>
      </w:r>
    </w:p>
    <w:p>
      <w:pPr>
        <w:pStyle w:val="BodyText"/>
      </w:pPr>
      <w:r>
        <w:t xml:space="preserve">Note the relationship to Section VI.5: this filter is the one signal in the</w:t>
      </w:r>
      <w:r>
        <w:t xml:space="preserve"> </w:t>
      </w:r>
      <w:r>
        <w:t xml:space="preserve">framework that was</w:t>
      </w:r>
      <w:r>
        <w:t xml:space="preserve"> </w:t>
      </w:r>
      <w:r>
        <w:rPr>
          <w:iCs/>
          <w:i/>
        </w:rPr>
        <w:t xml:space="preserve">not</w:t>
      </w:r>
      <w:r>
        <w:t xml:space="preserve"> </w:t>
      </w:r>
      <w:r>
        <w:t xml:space="preserve">included in the trust-score test, and is therefore</w:t>
      </w:r>
      <w:r>
        <w:t xml:space="preserve"> </w:t>
      </w:r>
      <w:r>
        <w:t xml:space="preserve">the most promising candidate for the localization-quality signal that the</w:t>
      </w:r>
      <w:r>
        <w:t xml:space="preserve"> </w:t>
      </w:r>
      <w:r>
        <w:t xml:space="preserve">tested signals failed to provide.</w:t>
      </w:r>
    </w:p>
    <w:bookmarkEnd w:id="73"/>
    <w:bookmarkStart w:id="74" w:name="X190f350f5471c8fc15d730c65800bdc6cab18bf"/>
    <w:p>
      <w:pPr>
        <w:pStyle w:val="Heading2"/>
      </w:pPr>
      <w:r>
        <w:t xml:space="preserve">E. Component 4 — Explanation faithfulness, stability, and the confidence-quality gap</w:t>
      </w:r>
    </w:p>
    <w:p>
      <w:pPr>
        <w:pStyle w:val="FirstParagraph"/>
      </w:pPr>
      <w:r>
        <w:t xml:space="preserve">Components 1-3 and 5 are scored against ground truth. Component 4 — the</w:t>
      </w:r>
      <w:r>
        <w:t xml:space="preserve"> </w:t>
      </w:r>
      <w:r>
        <w:t xml:space="preserve">narrative an engineer actually reads — is the one stage where</w:t>
      </w:r>
      <w:r>
        <w:t xml:space="preserve"> </w:t>
      </w:r>
      <w:r>
        <w:t xml:space="preserve">“</w:t>
      </w:r>
      <w:r>
        <w:t xml:space="preserve">it looks</w:t>
      </w:r>
      <w:r>
        <w:t xml:space="preserve"> </w:t>
      </w:r>
      <w:r>
        <w:t xml:space="preserve">reasonable</w:t>
      </w:r>
      <w:r>
        <w:t xml:space="preserve">”</w:t>
      </w:r>
      <w:r>
        <w:t xml:space="preserve"> </w:t>
      </w:r>
      <w:r>
        <w:t xml:space="preserve">is the easiest failure to miss, so we audit it directly rather</w:t>
      </w:r>
      <w:r>
        <w:t xml:space="preserve"> </w:t>
      </w:r>
      <w:r>
        <w:t xml:space="preserve">than presenting a sample output and moving on. The explainer is a</w:t>
      </w:r>
      <w:r>
        <w:t xml:space="preserve"> </w:t>
      </w:r>
      <w:r>
        <w:t xml:space="preserve">deterministic template: every clause is a lookup into a number already</w:t>
      </w:r>
      <w:r>
        <w:t xml:space="preserve"> </w:t>
      </w:r>
      <w:r>
        <w:t xml:space="preserve">computed by another component, following the narrate-don’t-diagnose</w:t>
      </w:r>
      <w:r>
        <w:t xml:space="preserve"> </w:t>
      </w:r>
      <w:r>
        <w:t xml:space="preserve">discipline that RCACopilot- and RCAgent-style systems arrived at. An LLM may</w:t>
      </w:r>
      <w:r>
        <w:t xml:space="preserve"> </w:t>
      </w:r>
      <w:r>
        <w:t xml:space="preserve">phrase it more fluently, but it is structurally prevented from asserting any</w:t>
      </w:r>
      <w:r>
        <w:t xml:space="preserve"> </w:t>
      </w:r>
      <w:r>
        <w:t xml:space="preserve">fact not present in the evidence dictionary. A representative output for</w:t>
      </w:r>
      <w:r>
        <w:t xml:space="preserve"> </w:t>
      </w:r>
      <w:r>
        <w:t xml:space="preserve">SMD segment 19367-20088 reads:</w:t>
      </w:r>
    </w:p>
    <w:p>
      <w:pPr>
        <w:pStyle w:val="BlockText"/>
      </w:pPr>
      <w:r>
        <w:t xml:space="preserve">[t=19366] Predicted P(degradation within next 30 min) = 0.997.</w:t>
      </w:r>
      <w:r>
        <w:t xml:space="preserve"> </w:t>
      </w:r>
      <w:r>
        <w:t xml:space="preserve">90%-coverage conformal prediction set = {degrading} -&gt; high confidence</w:t>
      </w:r>
      <w:r>
        <w:t xml:space="preserve"> </w:t>
      </w:r>
      <w:r>
        <w:t xml:space="preserve">degradation. Early-warning behavior on this incident: 98 min before the</w:t>
      </w:r>
      <w:r>
        <w:t xml:space="preserve"> </w:t>
      </w:r>
      <w:r>
        <w:t xml:space="preserve">labeled onset. Top-5 implicated KPI dimensions (SHAP): [1, 7, 13, 14, 30].</w:t>
      </w:r>
      <w:r>
        <w:t xml:space="preserve"> </w:t>
      </w:r>
      <w:r>
        <w:t xml:space="preserve">Ground-truth root-cause dimensions: [1, 2, 3, 4, 9, 10, 11, 12, 13, 14, 15,</w:t>
      </w:r>
      <w:r>
        <w:t xml:space="preserve"> </w:t>
      </w:r>
      <w:r>
        <w:t xml:space="preserve">16, 25, 28] -&gt; 3/5 flagged dimensions confirmed correct.</w:t>
      </w:r>
    </w:p>
    <w:p>
      <w:pPr>
        <w:pStyle w:val="FirstParagraph"/>
      </w:pPr>
      <w:r>
        <w:t xml:space="preserve">Grounding the text is necessary but not sufficient: the numbers it grounds</w:t>
      </w:r>
      <w:r>
        <w:t xml:space="preserve"> </w:t>
      </w:r>
      <w:r>
        <w:t xml:space="preserve">against can themselves be unreliable. We therefore measure two properties of</w:t>
      </w:r>
      <w:r>
        <w:t xml:space="preserve"> </w:t>
      </w:r>
      <w:r>
        <w:t xml:space="preserve">the underlying attribution.</w:t>
      </w:r>
    </w:p>
    <w:p>
      <w:pPr>
        <w:pStyle w:val="BodyText"/>
      </w:pPr>
      <w:r>
        <w:rPr>
          <w:iCs/>
          <w:i/>
        </w:rPr>
        <w:t xml:space="preserve">Faithfulness (deletion test).</w:t>
      </w:r>
      <w:r>
        <w:t xml:space="preserve"> </w:t>
      </w:r>
      <w:r>
        <w:t xml:space="preserve">For each event we zero out (impute the</w:t>
      </w:r>
      <w:r>
        <w:t xml:space="preserve"> </w:t>
      </w:r>
      <w:r>
        <w:t xml:space="preserve">standardized training mean) the top-5 SHAP-ranked dimensions’ mean/std/last</w:t>
      </w:r>
      <w:r>
        <w:t xml:space="preserve"> </w:t>
      </w:r>
      <w:r>
        <w:t xml:space="preserve">entries and measure the resulting drop in predicted probability, against the</w:t>
      </w:r>
      <w:r>
        <w:t xml:space="preserve"> </w:t>
      </w:r>
      <w:r>
        <w:t xml:space="preserve">drop from deleting five random dimensions, averaged over 200 repeats. A</w:t>
      </w:r>
      <w:r>
        <w:t xml:space="preserve"> </w:t>
      </w:r>
      <w:r>
        <w:t xml:space="preserve">faithful explanation should cause the larger drop.</w:t>
      </w:r>
    </w:p>
    <w:p>
      <w:pPr>
        <w:pStyle w:val="BodyText"/>
      </w:pPr>
      <w:r>
        <w:rPr>
          <w:iCs/>
          <w:i/>
        </w:rPr>
        <w:t xml:space="preserve">Stability (perturbation test).</w:t>
      </w:r>
      <w:r>
        <w:t xml:space="preserve"> </w:t>
      </w:r>
      <w:r>
        <w:t xml:space="preserve">For each event’s pre-onset window we add</w:t>
      </w:r>
      <w:r>
        <w:t xml:space="preserve"> </w:t>
      </w:r>
      <w:r>
        <w:t xml:space="preserve">Gaussian noise (</w:t>
      </w:r>
      <m:oMath>
        <m:r>
          <m:t>σ</m:t>
        </m:r>
        <m:r>
          <m:rPr>
            <m:sty m:val="p"/>
          </m:rPr>
          <m:t>=</m:t>
        </m:r>
        <m:r>
          <m:t>0.05</m:t>
        </m:r>
      </m:oMath>
      <w:r>
        <w:t xml:space="preserve"> </w:t>
      </w:r>
      <w:r>
        <w:t xml:space="preserve">in standardized units, roughly 5% of one</w:t>
      </w:r>
      <w:r>
        <w:t xml:space="preserve"> </w:t>
      </w:r>
      <w:r>
        <w:t xml:space="preserve">standard deviation), recompute features and the SHAP ranking, and compare to</w:t>
      </w:r>
      <w:r>
        <w:t xml:space="preserve"> </w:t>
      </w:r>
      <w:r>
        <w:t xml:space="preserve">the unperturbed ranking by Spearman</w:t>
      </w:r>
      <w:r>
        <w:t xml:space="preserve"> </w:t>
      </w:r>
      <m:oMath>
        <m:r>
          <m:t>ρ</m:t>
        </m:r>
      </m:oMath>
      <w:r>
        <w:t xml:space="preserve">, averaged over 20 draws.</w:t>
      </w:r>
    </w:p>
    <w:p>
      <w:pPr>
        <w:pStyle w:val="BodyText"/>
      </w:pPr>
      <w:r>
        <w:rPr>
          <w:iCs/>
          <w:i/>
        </w:rPr>
        <w:t xml:space="preserve">Attribution entropy</w:t>
      </w:r>
      <w:r>
        <w:t xml:space="preserve"> </w:t>
      </w:r>
      <w:r>
        <w:t xml:space="preserve">is a third, perturbation-free proxy: low normalized</w:t>
      </w:r>
      <w:r>
        <w:t xml:space="preserve"> </w:t>
      </w:r>
      <w:r>
        <w:t xml:space="preserve">entropy means SHAP concentrates attribution on a few dimensions.</w:t>
      </w:r>
    </w:p>
    <w:p>
      <w:pPr>
        <w:pStyle w:val="BodyText"/>
      </w:pPr>
      <w:r>
        <w:t xml:space="preserve">By the deletion test the explanations pass on all eight events. But the</w:t>
      </w:r>
      <w:r>
        <w:t xml:space="preserve"> </w:t>
      </w:r>
      <w:r>
        <w:t xml:space="preserve">margin varies enormously — from 0.9999 against 0.194 for random deletion on</w:t>
      </w:r>
      <w:r>
        <w:t xml:space="preserve"> </w:t>
      </w:r>
      <w:r>
        <w:t xml:space="preserve">segment 15849-16368, to 0.208 against 0.200 on segment 20786-21195, a</w:t>
      </w:r>
      <w:r>
        <w:t xml:space="preserve"> </w:t>
      </w:r>
      <w:r>
        <w:t xml:space="preserve">difference that is essentially nothing. Three of the eight events also begin</w:t>
      </w:r>
      <w:r>
        <w:t xml:space="preserve"> </w:t>
      </w:r>
      <w:r>
        <w:t xml:space="preserve">from a base probability above 0.999, i.e., the model is already at its output</w:t>
      </w:r>
      <w:r>
        <w:t xml:space="preserve"> </w:t>
      </w:r>
      <w:r>
        <w:t xml:space="preserve">ceiling before any deletion, so</w:t>
      </w:r>
      <w:r>
        <w:t xml:space="preserve"> </w:t>
      </w:r>
      <w:r>
        <w:t xml:space="preserve">“</w:t>
      </w:r>
      <w:r>
        <w:t xml:space="preserve">top-5 deletion drops probability more than</w:t>
      </w:r>
      <w:r>
        <w:t xml:space="preserve"> </w:t>
      </w:r>
      <w:r>
        <w:t xml:space="preserve">random</w:t>
      </w:r>
      <w:r>
        <w:t xml:space="preserve">”</w:t>
      </w:r>
      <w:r>
        <w:t xml:space="preserve"> </w:t>
      </w:r>
      <w:r>
        <w:t xml:space="preserve">is close to a floor effect on those events rather than strong</w:t>
      </w:r>
      <w:r>
        <w:t xml:space="preserve"> </w:t>
      </w:r>
      <w:r>
        <w:t xml:space="preserve">evidence. Rankings are highly stable (Spearman</w:t>
      </w:r>
      <w:r>
        <w:t xml:space="preserve"> </w:t>
      </w:r>
      <m:oMath>
        <m:r>
          <m:t>ρ</m:t>
        </m:r>
      </m:oMath>
      <w:r>
        <w:t xml:space="preserve"> </w:t>
      </w:r>
      <w:r>
        <w:t xml:space="preserve">from 0.990 to 0.998 across</w:t>
      </w:r>
      <w:r>
        <w:t xml:space="preserve"> </w:t>
      </w:r>
      <w:r>
        <w:t xml:space="preserve">all eight events), but stability is a property of the explanation, not of its</w:t>
      </w:r>
      <w:r>
        <w:t xml:space="preserve"> </w:t>
      </w:r>
      <w:r>
        <w:t xml:space="preserve">correctness.</w:t>
      </w:r>
    </w:p>
    <w:p>
      <w:pPr>
        <w:pStyle w:val="BodyText"/>
      </w:pPr>
      <w:r>
        <w:t xml:space="preserve">That distinction is what the next test isolates. Every one of the eight</w:t>
      </w:r>
      <w:r>
        <w:t xml:space="preserve"> </w:t>
      </w:r>
      <w:r>
        <w:t xml:space="preserve">events is predicted correctly and, on seven of eight, confidently. The</w:t>
      </w:r>
      <w:r>
        <w:t xml:space="preserve"> </w:t>
      </w:r>
      <w:r>
        <w:t xml:space="preserve">critical-trustworthiness matrix therefore collapses to exactly two cells:</w:t>
      </w:r>
      <w:r>
        <w:t xml:space="preserve"> </w:t>
      </w:r>
      <w:r>
        <w:t xml:space="preserve">four</w:t>
      </w:r>
      <w:r>
        <w:t xml:space="preserve"> </w:t>
      </w:r>
      <w:r>
        <w:rPr>
          <w:bCs/>
          <w:b/>
        </w:rPr>
        <w:t xml:space="preserve">ideal</w:t>
      </w:r>
      <w:r>
        <w:t xml:space="preserve"> </w:t>
      </w:r>
      <w:r>
        <w:t xml:space="preserve">events (prediction correct, root cause correct) and four</w:t>
      </w:r>
      <w:r>
        <w:t xml:space="preserve"> </w:t>
      </w:r>
      <w:r>
        <w:rPr>
          <w:bCs/>
          <w:b/>
        </w:rPr>
        <w:t xml:space="preserve">dangerous diagnostic errors</w:t>
      </w:r>
      <w:r>
        <w:t xml:space="preserve"> </w:t>
      </w:r>
      <w:r>
        <w:t xml:space="preserve">(prediction correct, root cause wrong), with</w:t>
      </w:r>
      <w:r>
        <w:t xml:space="preserve"> </w:t>
      </w:r>
      <w:r>
        <w:t xml:space="preserve">zero detection failures. The operative question is whether any signal</w:t>
      </w:r>
      <w:r>
        <w:t xml:space="preserve"> </w:t>
      </w:r>
      <w:r>
        <w:t xml:space="preserve">available to the system distinguishes the second group from the first.</w:t>
      </w:r>
    </w:p>
    <w:p>
      <w:pPr>
        <w:pStyle w:val="BodyText"/>
      </w:pPr>
      <w:r>
        <w:rPr>
          <w:bCs/>
          <w:b/>
        </w:rPr>
        <w:t xml:space="preserve">Table 12. Component 4 confidence and explanation-quality signals,</w:t>
      </w:r>
      <w:r>
        <w:rPr>
          <w:bCs/>
          <w:b/>
        </w:rPr>
        <w:t xml:space="preserve"> </w:t>
      </w:r>
      <w:r>
        <w:rPr>
          <w:bCs/>
          <w:b/>
        </w:rPr>
        <w:t xml:space="preserve">partitioned by whether root-cause localization was correct (SMD, n = 8).</w:t>
      </w:r>
    </w:p>
    <w:tbl>
      <w:tblPr>
        <w:tblStyle w:val="Table"/>
        <w:tblLook w:firstRow="1" w:lastRow="0" w:firstColumn="0" w:lastColumn="0" w:noHBand="0" w:noVBand="0" w:val="0020"/>
        <w:jc w:val="start"/>
        <w:tblLayout w:type="autofit"/>
        <w:tblW w:type="pct" w:w="5000"/>
      </w:tblPr>
      <w:tblGrid>
        <w:gridCol w:w="1980"/>
        <w:gridCol w:w="1980"/>
        <w:gridCol w:w="1980"/>
        <w:gridCol w:w="1980"/>
      </w:tblGrid>
      <w:tr>
        <w:trPr>
          <w:tblHeader w:val="true"/>
        </w:trPr>
        <w:tc>
          <w:tcPr/>
          <w:p>
            <w:pPr>
              <w:pStyle w:val="Compact"/>
              <w:jc w:val="left"/>
            </w:pPr>
            <w:r>
              <w:rPr>
                <w:bCs/>
                <w:rFonts w:ascii="Times New Roman" w:hAnsi="Times New Roman"/>
                <w:b/>
                <w:sz w:val="16"/>
              </w:rPr>
              <w:t xml:space="preserve">Signal</w:t>
            </w:r>
          </w:p>
        </w:tc>
        <w:tc>
          <w:tcPr/>
          <w:p>
            <w:pPr>
              <w:pStyle w:val="Compact"/>
              <w:jc w:val="left"/>
            </w:pPr>
            <w:r>
              <w:rPr>
                <w:bCs/>
                <w:rFonts w:ascii="Times New Roman" w:hAnsi="Times New Roman"/>
                <w:b/>
                <w:sz w:val="16"/>
              </w:rPr>
              <w:t xml:space="preserve">RCA-correct mean (n=4)</w:t>
            </w:r>
          </w:p>
        </w:tc>
        <w:tc>
          <w:tcPr/>
          <w:p>
            <w:pPr>
              <w:pStyle w:val="Compact"/>
              <w:jc w:val="left"/>
            </w:pPr>
            <w:r>
              <w:rPr>
                <w:bCs/>
                <w:rFonts w:ascii="Times New Roman" w:hAnsi="Times New Roman"/>
                <w:b/>
                <w:sz w:val="16"/>
              </w:rPr>
              <w:t xml:space="preserve">RCA-wrong mean (n=4)</w:t>
            </w:r>
          </w:p>
        </w:tc>
        <w:tc>
          <w:tcPr/>
          <w:p>
            <w:pPr>
              <w:pStyle w:val="Compact"/>
              <w:jc w:val="left"/>
            </w:pPr>
            <w:r>
              <w:rPr>
                <w:bCs/>
                <w:rFonts w:ascii="Times New Roman" w:hAnsi="Times New Roman"/>
                <w:b/>
                <w:sz w:val="16"/>
              </w:rPr>
              <w:t xml:space="preserve">Difference</w:t>
            </w:r>
          </w:p>
        </w:tc>
      </w:tr>
      <w:tr>
        <w:tc>
          <w:tcPr/>
          <w:p>
            <w:pPr>
              <w:pStyle w:val="Compact"/>
              <w:jc w:val="left"/>
            </w:pPr>
            <w:r>
              <w:rPr>
                <w:rFonts w:ascii="Times New Roman" w:hAnsi="Times New Roman"/>
                <w:sz w:val="16"/>
              </w:rPr>
              <w:t xml:space="preserve">Predicted probability</w:t>
            </w:r>
            <w:r>
              <w:rPr>
                <w:rFonts w:ascii="Times New Roman" w:hAnsi="Times New Roman"/>
                <w:sz w:val="16"/>
              </w:rPr>
              <w:t xml:space="preserve"> </w:t>
            </w:r>
            <m:oMath>
              <m:acc>
                <m:accPr>
                  <m:chr m:val="̂"/>
                </m:accPr>
                <m:e>
                  <m:r>
                    <m:t>p</m:t>
                  </m:r>
                </m:e>
              </m:acc>
            </m:oMath>
          </w:p>
        </w:tc>
        <w:tc>
          <w:tcPr/>
          <w:p>
            <w:pPr>
              <w:pStyle w:val="Compact"/>
              <w:jc w:val="left"/>
            </w:pPr>
            <w:r>
              <w:rPr>
                <w:rFonts w:ascii="Times New Roman" w:hAnsi="Times New Roman"/>
                <w:sz w:val="16"/>
              </w:rPr>
              <w:t xml:space="preserve">0.995</w:t>
            </w:r>
          </w:p>
        </w:tc>
        <w:tc>
          <w:tcPr/>
          <w:p>
            <w:pPr>
              <w:pStyle w:val="Compact"/>
              <w:jc w:val="left"/>
            </w:pPr>
            <w:r>
              <w:rPr>
                <w:rFonts w:ascii="Times New Roman" w:hAnsi="Times New Roman"/>
                <w:sz w:val="16"/>
              </w:rPr>
              <w:t xml:space="preserve">0.991</w:t>
            </w:r>
          </w:p>
        </w:tc>
        <w:tc>
          <w:tcPr/>
          <w:p>
            <w:pPr>
              <w:pStyle w:val="Compact"/>
              <w:jc w:val="left"/>
            </w:pPr>
            <w:r>
              <w:rPr>
                <w:rFonts w:ascii="Times New Roman" w:hAnsi="Times New Roman"/>
                <w:sz w:val="16"/>
              </w:rPr>
              <w:t xml:space="preserve">0.004</w:t>
            </w:r>
          </w:p>
        </w:tc>
      </w:tr>
      <w:tr>
        <w:tc>
          <w:tcPr/>
          <w:p>
            <w:pPr>
              <w:pStyle w:val="Compact"/>
              <w:jc w:val="left"/>
            </w:pPr>
            <w:r>
              <w:rPr>
                <w:rFonts w:ascii="Times New Roman" w:hAnsi="Times New Roman"/>
                <w:sz w:val="16"/>
              </w:rPr>
              <w:t xml:space="preserve">Attribution entropy</w:t>
            </w:r>
          </w:p>
        </w:tc>
        <w:tc>
          <w:tcPr/>
          <w:p>
            <w:pPr>
              <w:pStyle w:val="Compact"/>
              <w:jc w:val="left"/>
            </w:pPr>
            <w:r>
              <w:rPr>
                <w:rFonts w:ascii="Times New Roman" w:hAnsi="Times New Roman"/>
                <w:sz w:val="16"/>
              </w:rPr>
              <w:t xml:space="preserve">0.712</w:t>
            </w:r>
          </w:p>
        </w:tc>
        <w:tc>
          <w:tcPr/>
          <w:p>
            <w:pPr>
              <w:pStyle w:val="Compact"/>
              <w:jc w:val="left"/>
            </w:pPr>
            <w:r>
              <w:rPr>
                <w:rFonts w:ascii="Times New Roman" w:hAnsi="Times New Roman"/>
                <w:sz w:val="16"/>
              </w:rPr>
              <w:t xml:space="preserve">0.696</w:t>
            </w:r>
          </w:p>
        </w:tc>
        <w:tc>
          <w:tcPr/>
          <w:p>
            <w:pPr>
              <w:pStyle w:val="Compact"/>
              <w:jc w:val="left"/>
            </w:pPr>
            <w:r>
              <w:rPr>
                <w:rFonts w:ascii="Times New Roman" w:hAnsi="Times New Roman"/>
                <w:sz w:val="16"/>
              </w:rPr>
              <w:t xml:space="preserve">0.016</w:t>
            </w:r>
          </w:p>
        </w:tc>
      </w:tr>
      <w:tr>
        <w:tc>
          <w:tcPr/>
          <w:p>
            <w:pPr>
              <w:pStyle w:val="Compact"/>
              <w:jc w:val="left"/>
            </w:pPr>
            <w:r>
              <w:rPr>
                <w:rFonts w:ascii="Times New Roman" w:hAnsi="Times New Roman"/>
                <w:sz w:val="16"/>
              </w:rPr>
              <w:t xml:space="preserve">Rank stability</w:t>
            </w:r>
            <w:r>
              <w:rPr>
                <w:rFonts w:ascii="Times New Roman" w:hAnsi="Times New Roman"/>
                <w:sz w:val="16"/>
              </w:rPr>
              <w:t xml:space="preserve"> </w:t>
            </w:r>
            <m:oMath>
              <m:r>
                <m:t>ρ</m:t>
              </m:r>
            </m:oMath>
          </w:p>
        </w:tc>
        <w:tc>
          <w:tcPr/>
          <w:p>
            <w:pPr>
              <w:pStyle w:val="Compact"/>
              <w:jc w:val="left"/>
            </w:pPr>
            <w:r>
              <w:rPr>
                <w:rFonts w:ascii="Times New Roman" w:hAnsi="Times New Roman"/>
                <w:sz w:val="16"/>
              </w:rPr>
              <w:t xml:space="preserve">0.992</w:t>
            </w:r>
          </w:p>
        </w:tc>
        <w:tc>
          <w:tcPr/>
          <w:p>
            <w:pPr>
              <w:pStyle w:val="Compact"/>
              <w:jc w:val="left"/>
            </w:pPr>
            <w:r>
              <w:rPr>
                <w:rFonts w:ascii="Times New Roman" w:hAnsi="Times New Roman"/>
                <w:sz w:val="16"/>
              </w:rPr>
              <w:t xml:space="preserve">0.995</w:t>
            </w:r>
          </w:p>
        </w:tc>
        <w:tc>
          <w:tcPr/>
          <w:p>
            <w:pPr>
              <w:pStyle w:val="Compact"/>
              <w:jc w:val="left"/>
            </w:pPr>
            <w:r>
              <w:rPr>
                <w:bCs/>
                <w:rFonts w:ascii="Times New Roman" w:hAnsi="Times New Roman"/>
                <w:b/>
                <w:sz w:val="16"/>
              </w:rPr>
              <w:t xml:space="preserve">-0.003</w:t>
            </w:r>
          </w:p>
        </w:tc>
      </w:tr>
      <w:tr>
        <w:tc>
          <w:tcPr/>
          <w:p>
            <w:pPr>
              <w:pStyle w:val="Compact"/>
              <w:jc w:val="left"/>
            </w:pPr>
            <w:r>
              <w:rPr>
                <w:rFonts w:ascii="Times New Roman" w:hAnsi="Times New Roman"/>
                <w:sz w:val="16"/>
              </w:rPr>
              <w:t xml:space="preserve">Faithfulness margin</w:t>
            </w:r>
          </w:p>
        </w:tc>
        <w:tc>
          <w:tcPr/>
          <w:p>
            <w:pPr>
              <w:pStyle w:val="Compact"/>
              <w:jc w:val="left"/>
            </w:pPr>
            <w:r>
              <w:rPr>
                <w:rFonts w:ascii="Times New Roman" w:hAnsi="Times New Roman"/>
                <w:sz w:val="16"/>
              </w:rPr>
              <w:t xml:space="preserve">0.510</w:t>
            </w:r>
          </w:p>
        </w:tc>
        <w:tc>
          <w:tcPr/>
          <w:p>
            <w:pPr>
              <w:pStyle w:val="Compact"/>
              <w:jc w:val="left"/>
            </w:pPr>
            <w:r>
              <w:rPr>
                <w:rFonts w:ascii="Times New Roman" w:hAnsi="Times New Roman"/>
                <w:sz w:val="16"/>
              </w:rPr>
              <w:t xml:space="preserve">0.515</w:t>
            </w:r>
          </w:p>
        </w:tc>
        <w:tc>
          <w:tcPr/>
          <w:p>
            <w:pPr>
              <w:pStyle w:val="Compact"/>
              <w:jc w:val="left"/>
            </w:pPr>
            <w:r>
              <w:rPr>
                <w:bCs/>
                <w:rFonts w:ascii="Times New Roman" w:hAnsi="Times New Roman"/>
                <w:b/>
                <w:sz w:val="16"/>
              </w:rPr>
              <w:t xml:space="preserve">-0.005</w:t>
            </w:r>
          </w:p>
        </w:tc>
      </w:tr>
    </w:tbl>
    <w:p>
      <w:pPr>
        <w:pStyle w:val="BodyText"/>
      </w:pPr>
      <w:r>
        <w:t xml:space="preserve">None of the four separates the groups by any meaningful margin, and two of</w:t>
      </w:r>
      <w:r>
        <w:t xml:space="preserve"> </w:t>
      </w:r>
      <w:r>
        <w:t xml:space="preserve">them — stability and faithfulness — point in the</w:t>
      </w:r>
      <w:r>
        <w:t xml:space="preserve"> </w:t>
      </w:r>
      <w:r>
        <w:rPr>
          <w:iCs/>
          <w:i/>
        </w:rPr>
        <w:t xml:space="preserve">wrong</w:t>
      </w:r>
      <w:r>
        <w:t xml:space="preserve"> </w:t>
      </w:r>
      <w:r>
        <w:t xml:space="preserve">direction,</w:t>
      </w:r>
      <w:r>
        <w:t xml:space="preserve"> </w:t>
      </w:r>
      <w:r>
        <w:t xml:space="preserve">scoring marginally higher on the events where the root cause was wrong. The</w:t>
      </w:r>
      <w:r>
        <w:t xml:space="preserve"> </w:t>
      </w:r>
      <w:r>
        <w:t xml:space="preserve">conformal layer does no better: the single ambiguous event does happen to be</w:t>
      </w:r>
      <w:r>
        <w:t xml:space="preserve"> </w:t>
      </w:r>
      <w:r>
        <w:t xml:space="preserve">an RCA-wrong case, but three of the remaining four RCA-wrong events are</w:t>
      </w:r>
      <w:r>
        <w:t xml:space="preserve"> </w:t>
      </w:r>
      <w:r>
        <w:t xml:space="preserve">still labeled confidently degrading.</w:t>
      </w:r>
    </w:p>
    <w:p>
      <w:pPr>
        <w:pStyle w:val="BodyText"/>
      </w:pPr>
      <w:r>
        <w:t xml:space="preserve">This is the paper’s central trustworthiness finding, and it is negative.</w:t>
      </w:r>
      <w:r>
        <w:t xml:space="preserve"> </w:t>
      </w:r>
      <w:r>
        <w:t xml:space="preserve">TrustNet-RCA can be maximally confident that a problem exists, produce an</w:t>
      </w:r>
      <w:r>
        <w:t xml:space="preserve"> </w:t>
      </w:r>
      <w:r>
        <w:t xml:space="preserve">explanation that is stable under perturbation and faithful by deletion test,</w:t>
      </w:r>
      <w:r>
        <w:t xml:space="preserve"> </w:t>
      </w:r>
      <w:r>
        <w:t xml:space="preserve">and still name the wrong KPI — with no signal in its own outputs marking</w:t>
      </w:r>
      <w:r>
        <w:t xml:space="preserve"> </w:t>
      </w:r>
      <w:r>
        <w:t xml:space="preserve">that case as different. The practical implication is a warning about a</w:t>
      </w:r>
      <w:r>
        <w:t xml:space="preserve"> </w:t>
      </w:r>
      <w:r>
        <w:t xml:space="preserve">tempting design: naively combining predicted probability, attribution</w:t>
      </w:r>
      <w:r>
        <w:t xml:space="preserve"> </w:t>
      </w:r>
      <w:r>
        <w:t xml:space="preserve">entropy, and stability into a single composite trust score would</w:t>
      </w:r>
      <w:r>
        <w:t xml:space="preserve"> </w:t>
      </w:r>
      <w:r>
        <w:rPr>
          <w:bCs/>
          <w:b/>
        </w:rPr>
        <w:t xml:space="preserve">not</w:t>
      </w:r>
      <w:r>
        <w:t xml:space="preserve">, on</w:t>
      </w:r>
      <w:r>
        <w:t xml:space="preserve"> </w:t>
      </w:r>
      <w:r>
        <w:t xml:space="preserve">this evidence, separate correct from incorrect localization. Building such a</w:t>
      </w:r>
      <w:r>
        <w:t xml:space="preserve"> </w:t>
      </w:r>
      <w:r>
        <w:t xml:space="preserve">score requires either a signal not tested here — causal-evidence agreement</w:t>
      </w:r>
      <w:r>
        <w:t xml:space="preserve"> </w:t>
      </w:r>
      <w:r>
        <w:t xml:space="preserve">from Component 3, or cross-machine variance — or enough data to resolve an</w:t>
      </w:r>
      <w:r>
        <w:t xml:space="preserve"> </w:t>
      </w:r>
      <w:r>
        <w:t xml:space="preserve">effect that four-versus-four groups cannot. We report this as it came out</w:t>
      </w:r>
      <w:r>
        <w:t xml:space="preserve"> </w:t>
      </w:r>
      <w:r>
        <w:t xml:space="preserve">rather than reframing it as a partial success.</w:t>
      </w:r>
    </w:p>
    <w:p>
      <w:pPr>
        <w:pStyle w:val="BodyText"/>
      </w:pPr>
      <w:r>
        <w:t xml:space="preserve">The sample is eight events on one machine, and every statistic above is</w:t>
      </w:r>
      <w:r>
        <w:t xml:space="preserve"> </w:t>
      </w:r>
      <w:r>
        <w:t xml:space="preserve">descriptive of that machine rather than a confirmatory population-level</w:t>
      </w:r>
      <w:r>
        <w:t xml:space="preserve"> </w:t>
      </w:r>
      <w:r>
        <w:t xml:space="preserve">test. The direction of the result is nonetheless the safer one to be wrong</w:t>
      </w:r>
      <w:r>
        <w:t xml:space="preserve"> </w:t>
      </w:r>
      <w:r>
        <w:t xml:space="preserve">about: it counsels against trusting a confidence score that has not been</w:t>
      </w:r>
      <w:r>
        <w:t xml:space="preserve"> </w:t>
      </w:r>
      <w:r>
        <w:t xml:space="preserve">validated against localization ground truth.</w:t>
      </w:r>
    </w:p>
    <w:bookmarkEnd w:id="74"/>
    <w:bookmarkStart w:id="78" w:name="Xb67a14bbc183b8248f81bd9a0978762130f2e31"/>
    <w:p>
      <w:pPr>
        <w:pStyle w:val="Heading2"/>
      </w:pPr>
      <w:r>
        <w:t xml:space="preserve">F. Component 5 — Uncertainty quantification</w:t>
      </w:r>
    </w:p>
    <w:p>
      <w:pPr>
        <w:pStyle w:val="FirstParagraph"/>
      </w:pPr>
      <w:r>
        <w:t xml:space="preserve">Split-conformal calibration on the CALIB block yields</w:t>
      </w:r>
      <w:r>
        <w:t xml:space="preserve"> </w:t>
      </w:r>
      <m:oMath>
        <m:acc>
          <m:accPr>
            <m:chr m:val="̂"/>
          </m:accPr>
          <m:e>
            <m:r>
              <m:t>q</m:t>
            </m:r>
          </m:e>
        </m:acc>
        <m:r>
          <m:rPr>
            <m:sty m:val="p"/>
          </m:rPr>
          <m:t>=</m:t>
        </m:r>
        <m:r>
          <m:t>0.985</m:t>
        </m:r>
      </m:oMath>
      <w:r>
        <w:t xml:space="preserve"> </w:t>
      </w:r>
      <w:r>
        <w:t xml:space="preserve">and</w:t>
      </w:r>
      <w:r>
        <w:t xml:space="preserve"> </w:t>
      </w:r>
      <w:r>
        <w:t xml:space="preserve">achieves 0.955 empirical coverage on EVAL against the 90% target — a</w:t>
      </w:r>
      <w:r>
        <w:t xml:space="preserve"> </w:t>
      </w:r>
      <w:r>
        <w:t xml:space="preserve">valid, if conservative, guarantee. 20.0% of EVAL windows are routed to the</w:t>
      </w:r>
      <w:r>
        <w:t xml:space="preserve"> </w:t>
      </w:r>
      <w:r>
        <w:t xml:space="preserve">ambiguous ({normal, degrading}) set, i.e., an explicit escalate-to-human</w:t>
      </w:r>
      <w:r>
        <w:t xml:space="preserve"> </w:t>
      </w:r>
      <w:r>
        <w:t xml:space="preserve">signal, and 0.0% to the empty set. The raw probability’s ECE on EVAL is</w:t>
      </w:r>
      <w:r>
        <w:t xml:space="preserve"> </w:t>
      </w:r>
      <w:r>
        <w:t xml:space="preserve">0.118: Figure 8 shows the model is overconfident in its top bin (mean</w:t>
      </w:r>
      <w:r>
        <w:t xml:space="preserve"> </w:t>
      </w:r>
      <w:r>
        <w:t xml:space="preserve">predicted probability 0.986, empirical positive rate 0.752), exactly the</w:t>
      </w:r>
      <w:r>
        <w:t xml:space="preserve"> </w:t>
      </w:r>
      <w:r>
        <w:t xml:space="preserve">failure mode conformal wrapping is designed to survive without requiring the</w:t>
      </w:r>
      <w:r>
        <w:t xml:space="preserve"> </w:t>
      </w:r>
      <w:r>
        <w:t xml:space="preserve">underlying model to be well calibrated.</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2" w:space="360"/>
          <w:docGrid w:linePitch="360"/>
        </w:sectPr>
      </w:pPr>
    </w:p>
    <w:p>
      <w:pPr>
        <w:pStyle w:val="BodyText"/>
      </w:pPr>
      <w:r>
        <w:drawing>
          <wp:inline>
            <wp:extent cx="6400800" cy="2657579"/>
            <wp:effectExtent b="0" l="0" r="0" t="0"/>
            <wp:docPr descr="" title="" id="76" name="Picture"/>
            <a:graphic>
              <a:graphicData uri="http://schemas.openxmlformats.org/drawingml/2006/picture">
                <pic:pic>
                  <pic:nvPicPr>
                    <pic:cNvPr descr="figures/fig8_reliability_diagrams.png" id="77" name="Picture"/>
                    <pic:cNvPicPr>
                      <a:picLocks noChangeArrowheads="1" noChangeAspect="1"/>
                    </pic:cNvPicPr>
                  </pic:nvPicPr>
                  <pic:blipFill>
                    <a:blip r:embed="rId75"/>
                    <a:stretch>
                      <a:fillRect/>
                    </a:stretch>
                  </pic:blipFill>
                  <pic:spPr bwMode="auto">
                    <a:xfrm>
                      <a:off x="0" y="0"/>
                      <a:ext cx="6400800" cy="2657579"/>
                    </a:xfrm>
                    <a:prstGeom prst="rect">
                      <a:avLst/>
                    </a:prstGeom>
                    <a:noFill/>
                    <a:ln w="9525">
                      <a:noFill/>
                      <a:headEnd/>
                      <a:tailEnd/>
                    </a:ln>
                  </pic:spPr>
                </pic:pic>
              </a:graphicData>
            </a:graphic>
          </wp:inline>
        </w:drawing>
      </w:r>
    </w:p>
    <w:p>
      <w:pPr>
        <w:pStyle w:val="BodyText"/>
      </w:pPr>
      <w:r>
        <w:rPr>
          <w:iCs/>
          <w:i/>
        </w:rPr>
        <w:t xml:space="preserve">Figure 8. Reliability diagrams for the raw probability, showing</w:t>
      </w:r>
      <w:r>
        <w:rPr>
          <w:iCs/>
          <w:i/>
        </w:rPr>
        <w:t xml:space="preserve"> </w:t>
      </w:r>
      <w:r>
        <w:rPr>
          <w:iCs/>
          <w:i/>
        </w:rPr>
        <w:t xml:space="preserve">overconfidence in the top bin that the conformal layer is designed to</w:t>
      </w:r>
      <w:r>
        <w:rPr>
          <w:iCs/>
          <w:i/>
        </w:rPr>
        <w:t xml:space="preserve"> </w:t>
      </w:r>
      <w:r>
        <w:rPr>
          <w:iCs/>
          <w:i/>
        </w:rPr>
        <w:t xml:space="preserve">tolerate.</w:t>
      </w:r>
    </w:p>
    <w:p>
      <w:pPr>
        <w:spacing w:before="0" w:after="0" w:line="20" w:lineRule="exact"/>
        <w:rPr>
          <w:sz w:val="2"/>
        </w:rPr>
        <w:sectPr w:rsidR="00FC693F" w:rsidRPr="0006063C" w:rsidSect="00034616">
          <w:type w:val="continuous"/>
          <w:pgSz w:h="15840" w:w="12240"/>
          <w:pgMar w:bottom="1440" w:footer="720" w:gutter="0" w:header="720" w:left="900" w:right="900" w:top="1080"/>
          <w:cols w:equalWidth="1" w:num="1"/>
          <w:docGrid w:linePitch="360"/>
        </w:sectPr>
      </w:pPr>
    </w:p>
    <w:p>
      <w:pPr>
        <w:pStyle w:val="BodyText"/>
      </w:pPr>
      <w:r>
        <w:t xml:space="preserve">The conformal layer has been run on SMD only. CALIB blocks are constructed</w:t>
      </w:r>
      <w:r>
        <w:t xml:space="preserve"> </w:t>
      </w:r>
      <w:r>
        <w:t xml:space="preserve">and held out for TelecomTS and RCAEval, but the coverage guarantee is not</w:t>
      </w:r>
      <w:r>
        <w:t xml:space="preserve"> </w:t>
      </w:r>
      <w:r>
        <w:t xml:space="preserve">yet demonstrated on either, which Section VIII records.</w:t>
      </w:r>
    </w:p>
    <w:bookmarkEnd w:id="78"/>
    <w:bookmarkStart w:id="82" w:name="g.-early-warning-lead-time"/>
    <w:p>
      <w:pPr>
        <w:pStyle w:val="Heading2"/>
      </w:pPr>
      <w:r>
        <w:t xml:space="preserve">G. Early-warning lead time</w:t>
      </w:r>
    </w:p>
    <w:p>
      <w:pPr>
        <w:pStyle w:val="FirstParagraph"/>
      </w:pPr>
      <w:r>
        <w:t xml:space="preserve">Table 13 reports, per SMD ground-truth segment, the gap between the first</w:t>
      </w:r>
      <w:r>
        <w:t xml:space="preserve"> </w:t>
      </w:r>
      <w:r>
        <w:t xml:space="preserve">sustained risk-score crossing of 0.5 and official onset. Out-of-sample</w:t>
      </w:r>
      <w:r>
        <w:t xml:space="preserve"> </w:t>
      </w:r>
      <w:r>
        <w:t xml:space="preserve">(EVAL + CALIB) the mean lead time is 42.2 minutes, with 4 of 5 incidents</w:t>
      </w:r>
      <w:r>
        <w:t xml:space="preserve"> </w:t>
      </w:r>
      <w:r>
        <w:t xml:space="preserve">caught and one missed entirely.</w:t>
      </w:r>
    </w:p>
    <w:p>
      <w:pPr>
        <w:pStyle w:val="BodyText"/>
      </w:pPr>
      <w:r>
        <w:rPr>
          <w:bCs/>
          <w:b/>
        </w:rPr>
        <w:t xml:space="preserve">Table 13. Component 1 early-warning lead time on SMD. TRAIN-block</w:t>
      </w:r>
      <w:r>
        <w:rPr>
          <w:bCs/>
          <w:b/>
        </w:rPr>
        <w:t xml:space="preserve"> </w:t>
      </w:r>
      <w:r>
        <w:rPr>
          <w:bCs/>
          <w:b/>
        </w:rPr>
        <w:t xml:space="preserve">segments are in-sample and shown only for contrast.</w:t>
      </w:r>
    </w:p>
    <w:tbl>
      <w:tblPr>
        <w:tblStyle w:val="Table"/>
        <w:tblLook w:firstRow="1" w:lastRow="0" w:firstColumn="0" w:lastColumn="0" w:noHBand="0" w:noVBand="0" w:val="0020"/>
        <w:jc w:val="start"/>
        <w:tblLayout w:type="autofit"/>
        <w:tblW w:type="pct" w:w="5000"/>
      </w:tblPr>
      <w:tblGrid>
        <w:gridCol w:w="2640"/>
        <w:gridCol w:w="2640"/>
        <w:gridCol w:w="2640"/>
      </w:tblGrid>
      <w:tr>
        <w:trPr>
          <w:tblHeader w:val="true"/>
        </w:trPr>
        <w:tc>
          <w:tcPr/>
          <w:p>
            <w:pPr>
              <w:pStyle w:val="Compact"/>
              <w:jc w:val="left"/>
            </w:pPr>
            <w:r>
              <w:rPr>
                <w:bCs/>
                <w:rFonts w:ascii="Times New Roman" w:hAnsi="Times New Roman"/>
                <w:b/>
                <w:sz w:val="16"/>
              </w:rPr>
              <w:t xml:space="preserve">Segment</w:t>
            </w:r>
          </w:p>
        </w:tc>
        <w:tc>
          <w:tcPr/>
          <w:p>
            <w:pPr>
              <w:pStyle w:val="Compact"/>
              <w:jc w:val="left"/>
            </w:pPr>
            <w:r>
              <w:rPr>
                <w:bCs/>
                <w:rFonts w:ascii="Times New Roman" w:hAnsi="Times New Roman"/>
                <w:b/>
                <w:sz w:val="16"/>
              </w:rPr>
              <w:t xml:space="preserve">Block</w:t>
            </w:r>
          </w:p>
        </w:tc>
        <w:tc>
          <w:tcPr/>
          <w:p>
            <w:pPr>
              <w:pStyle w:val="Compact"/>
              <w:jc w:val="left"/>
            </w:pPr>
            <w:r>
              <w:rPr>
                <w:bCs/>
                <w:rFonts w:ascii="Times New Roman" w:hAnsi="Times New Roman"/>
                <w:b/>
                <w:sz w:val="16"/>
              </w:rPr>
              <w:t xml:space="preserve">Lead time (min)</w:t>
            </w:r>
          </w:p>
        </w:tc>
      </w:tr>
      <w:tr>
        <w:tc>
          <w:tcPr/>
          <w:p>
            <w:pPr>
              <w:pStyle w:val="Compact"/>
              <w:jc w:val="left"/>
            </w:pPr>
            <w:r>
              <w:rPr>
                <w:rFonts w:ascii="Times New Roman" w:hAnsi="Times New Roman"/>
                <w:sz w:val="16"/>
              </w:rPr>
              <w:t xml:space="preserve">15849-16368</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43</w:t>
            </w:r>
          </w:p>
        </w:tc>
      </w:tr>
      <w:tr>
        <w:tc>
          <w:tcPr/>
          <w:p>
            <w:pPr>
              <w:pStyle w:val="Compact"/>
              <w:jc w:val="left"/>
            </w:pPr>
            <w:r>
              <w:rPr>
                <w:rFonts w:ascii="Times New Roman" w:hAnsi="Times New Roman"/>
                <w:sz w:val="16"/>
              </w:rPr>
              <w:t xml:space="preserve">16963-17517</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40</w:t>
            </w:r>
          </w:p>
        </w:tc>
      </w:tr>
      <w:tr>
        <w:tc>
          <w:tcPr/>
          <w:p>
            <w:pPr>
              <w:pStyle w:val="Compact"/>
              <w:jc w:val="left"/>
            </w:pPr>
            <w:r>
              <w:rPr>
                <w:rFonts w:ascii="Times New Roman" w:hAnsi="Times New Roman"/>
                <w:sz w:val="16"/>
              </w:rPr>
              <w:t xml:space="preserve">18071-18528</w:t>
            </w:r>
          </w:p>
        </w:tc>
        <w:tc>
          <w:tcPr/>
          <w:p>
            <w:pPr>
              <w:pStyle w:val="Compact"/>
              <w:jc w:val="left"/>
            </w:pPr>
            <w:r>
              <w:rPr>
                <w:rFonts w:ascii="Times New Roman" w:hAnsi="Times New Roman"/>
                <w:sz w:val="16"/>
              </w:rPr>
              <w:t xml:space="preserve">train (in-sample)</w:t>
            </w:r>
          </w:p>
        </w:tc>
        <w:tc>
          <w:tcPr/>
          <w:p>
            <w:pPr>
              <w:pStyle w:val="Compact"/>
              <w:jc w:val="left"/>
            </w:pPr>
            <w:r>
              <w:rPr>
                <w:rFonts w:ascii="Times New Roman" w:hAnsi="Times New Roman"/>
                <w:sz w:val="16"/>
              </w:rPr>
              <w:t xml:space="preserve">64</w:t>
            </w:r>
          </w:p>
        </w:tc>
      </w:tr>
      <w:tr>
        <w:tc>
          <w:tcPr/>
          <w:p>
            <w:pPr>
              <w:pStyle w:val="Compact"/>
              <w:jc w:val="left"/>
            </w:pPr>
            <w:r>
              <w:rPr>
                <w:rFonts w:ascii="Times New Roman" w:hAnsi="Times New Roman"/>
                <w:sz w:val="16"/>
              </w:rPr>
              <w:t xml:space="preserve">19367-20088</w:t>
            </w:r>
          </w:p>
        </w:tc>
        <w:tc>
          <w:tcPr/>
          <w:p>
            <w:pPr>
              <w:pStyle w:val="Compact"/>
              <w:jc w:val="left"/>
            </w:pPr>
            <w:r>
              <w:rPr>
                <w:rFonts w:ascii="Times New Roman" w:hAnsi="Times New Roman"/>
                <w:sz w:val="16"/>
              </w:rPr>
              <w:t xml:space="preserve">eval</w:t>
            </w:r>
          </w:p>
        </w:tc>
        <w:tc>
          <w:tcPr/>
          <w:p>
            <w:pPr>
              <w:pStyle w:val="Compact"/>
              <w:jc w:val="left"/>
            </w:pPr>
            <w:r>
              <w:rPr>
                <w:rFonts w:ascii="Times New Roman" w:hAnsi="Times New Roman"/>
                <w:sz w:val="16"/>
              </w:rPr>
              <w:t xml:space="preserve">98</w:t>
            </w:r>
          </w:p>
        </w:tc>
      </w:tr>
      <w:tr>
        <w:tc>
          <w:tcPr/>
          <w:p>
            <w:pPr>
              <w:pStyle w:val="Compact"/>
              <w:jc w:val="left"/>
            </w:pPr>
            <w:r>
              <w:rPr>
                <w:rFonts w:ascii="Times New Roman" w:hAnsi="Times New Roman"/>
                <w:sz w:val="16"/>
              </w:rPr>
              <w:t xml:space="preserve">20786-21195</w:t>
            </w:r>
          </w:p>
        </w:tc>
        <w:tc>
          <w:tcPr/>
          <w:p>
            <w:pPr>
              <w:pStyle w:val="Compact"/>
              <w:jc w:val="left"/>
            </w:pPr>
            <w:r>
              <w:rPr>
                <w:rFonts w:ascii="Times New Roman" w:hAnsi="Times New Roman"/>
                <w:sz w:val="16"/>
              </w:rPr>
              <w:t xml:space="preserve">eval</w:t>
            </w:r>
          </w:p>
        </w:tc>
        <w:tc>
          <w:tcPr/>
          <w:p>
            <w:pPr>
              <w:pStyle w:val="Compact"/>
              <w:jc w:val="left"/>
            </w:pPr>
            <w:r>
              <w:rPr>
                <w:bCs/>
                <w:rFonts w:ascii="Times New Roman" w:hAnsi="Times New Roman"/>
                <w:b/>
                <w:sz w:val="16"/>
              </w:rPr>
              <w:t xml:space="preserve">missed</w:t>
            </w:r>
          </w:p>
        </w:tc>
      </w:tr>
      <w:tr>
        <w:tc>
          <w:tcPr/>
          <w:p>
            <w:pPr>
              <w:pStyle w:val="Compact"/>
              <w:jc w:val="left"/>
            </w:pPr>
            <w:r>
              <w:rPr>
                <w:rFonts w:ascii="Times New Roman" w:hAnsi="Times New Roman"/>
                <w:sz w:val="16"/>
              </w:rPr>
              <w:t xml:space="preserve">24679-24682</w:t>
            </w:r>
          </w:p>
        </w:tc>
        <w:tc>
          <w:tcPr/>
          <w:p>
            <w:pPr>
              <w:pStyle w:val="Compact"/>
              <w:jc w:val="left"/>
            </w:pPr>
            <w:r>
              <w:rPr>
                <w:rFonts w:ascii="Times New Roman" w:hAnsi="Times New Roman"/>
                <w:sz w:val="16"/>
              </w:rPr>
              <w:t xml:space="preserve">calib</w:t>
            </w:r>
          </w:p>
        </w:tc>
        <w:tc>
          <w:tcPr/>
          <w:p>
            <w:pPr>
              <w:pStyle w:val="Compact"/>
              <w:jc w:val="left"/>
            </w:pPr>
            <w:r>
              <w:rPr>
                <w:rFonts w:ascii="Times New Roman" w:hAnsi="Times New Roman"/>
                <w:sz w:val="16"/>
              </w:rPr>
              <w:t xml:space="preserve">2</w:t>
            </w:r>
          </w:p>
        </w:tc>
      </w:tr>
      <w:tr>
        <w:tc>
          <w:tcPr/>
          <w:p>
            <w:pPr>
              <w:pStyle w:val="Compact"/>
              <w:jc w:val="left"/>
            </w:pPr>
            <w:r>
              <w:rPr>
                <w:rFonts w:ascii="Times New Roman" w:hAnsi="Times New Roman"/>
                <w:sz w:val="16"/>
              </w:rPr>
              <w:t xml:space="preserve">26114-26116</w:t>
            </w:r>
          </w:p>
        </w:tc>
        <w:tc>
          <w:tcPr/>
          <w:p>
            <w:pPr>
              <w:pStyle w:val="Compact"/>
              <w:jc w:val="left"/>
            </w:pPr>
            <w:r>
              <w:rPr>
                <w:rFonts w:ascii="Times New Roman" w:hAnsi="Times New Roman"/>
                <w:sz w:val="16"/>
              </w:rPr>
              <w:t xml:space="preserve">calib</w:t>
            </w:r>
          </w:p>
        </w:tc>
        <w:tc>
          <w:tcPr/>
          <w:p>
            <w:pPr>
              <w:pStyle w:val="Compact"/>
              <w:jc w:val="left"/>
            </w:pPr>
            <w:r>
              <w:rPr>
                <w:rFonts w:ascii="Times New Roman" w:hAnsi="Times New Roman"/>
                <w:sz w:val="16"/>
              </w:rPr>
              <w:t xml:space="preserve">27</w:t>
            </w:r>
          </w:p>
        </w:tc>
      </w:tr>
      <w:tr>
        <w:tc>
          <w:tcPr/>
          <w:p>
            <w:pPr>
              <w:pStyle w:val="Compact"/>
              <w:jc w:val="left"/>
            </w:pPr>
            <w:r>
              <w:rPr>
                <w:rFonts w:ascii="Times New Roman" w:hAnsi="Times New Roman"/>
                <w:sz w:val="16"/>
              </w:rPr>
              <w:t xml:space="preserve">27554-27556</w:t>
            </w:r>
          </w:p>
        </w:tc>
        <w:tc>
          <w:tcPr/>
          <w:p>
            <w:pPr>
              <w:pStyle w:val="Compact"/>
              <w:jc w:val="left"/>
            </w:pPr>
            <w:r>
              <w:rPr>
                <w:rFonts w:ascii="Times New Roman" w:hAnsi="Times New Roman"/>
                <w:sz w:val="16"/>
              </w:rPr>
              <w:t xml:space="preserve">calib</w:t>
            </w:r>
          </w:p>
        </w:tc>
        <w:tc>
          <w:tcPr/>
          <w:p>
            <w:pPr>
              <w:pStyle w:val="Compact"/>
              <w:jc w:val="left"/>
            </w:pPr>
            <w:r>
              <w:rPr>
                <w:rFonts w:ascii="Times New Roman" w:hAnsi="Times New Roman"/>
                <w:sz w:val="16"/>
              </w:rPr>
              <w:t xml:space="preserve">42</w:t>
            </w:r>
          </w:p>
        </w:tc>
      </w:tr>
    </w:tbl>
    <w:p>
      <w:pPr>
        <w:pStyle w:val="BodyText"/>
      </w:pPr>
      <w:r>
        <w:drawing>
          <wp:inline>
            <wp:extent cx="3108960" cy="2182177"/>
            <wp:effectExtent b="0" l="0" r="0" t="0"/>
            <wp:docPr descr="" title="" id="80" name="Picture"/>
            <a:graphic>
              <a:graphicData uri="http://schemas.openxmlformats.org/drawingml/2006/picture">
                <pic:pic>
                  <pic:nvPicPr>
                    <pic:cNvPr descr="figures/fig11_case_study_timeline.png" id="81" name="Picture"/>
                    <pic:cNvPicPr>
                      <a:picLocks noChangeArrowheads="1" noChangeAspect="1"/>
                    </pic:cNvPicPr>
                  </pic:nvPicPr>
                  <pic:blipFill>
                    <a:blip r:embed="rId79"/>
                    <a:stretch>
                      <a:fillRect/>
                    </a:stretch>
                  </pic:blipFill>
                  <pic:spPr bwMode="auto">
                    <a:xfrm>
                      <a:off x="0" y="0"/>
                      <a:ext cx="3108960" cy="2182177"/>
                    </a:xfrm>
                    <a:prstGeom prst="rect">
                      <a:avLst/>
                    </a:prstGeom>
                    <a:noFill/>
                    <a:ln w="9525">
                      <a:noFill/>
                      <a:headEnd/>
                      <a:tailEnd/>
                    </a:ln>
                  </pic:spPr>
                </pic:pic>
              </a:graphicData>
            </a:graphic>
          </wp:inline>
        </w:drawing>
      </w:r>
    </w:p>
    <w:p>
      <w:pPr>
        <w:pStyle w:val="BodyText"/>
      </w:pPr>
      <w:r>
        <w:rPr>
          <w:iCs/>
          <w:i/>
        </w:rPr>
        <w:t xml:space="preserve">Figure 11. Risk score against ground truth for segment 19367-20088, the</w:t>
      </w:r>
      <w:r>
        <w:rPr>
          <w:iCs/>
          <w:i/>
        </w:rPr>
        <w:t xml:space="preserve"> </w:t>
      </w:r>
      <w:r>
        <w:rPr>
          <w:iCs/>
          <w:i/>
        </w:rPr>
        <w:t xml:space="preserve">incident with the longest measured lead time.</w:t>
      </w:r>
    </w:p>
    <w:p>
      <w:pPr>
        <w:pStyle w:val="BodyText"/>
      </w:pPr>
      <w:r>
        <w:t xml:space="preserve">Lead time is highly heterogeneous rather than uniform: one incident is</w:t>
      </w:r>
      <w:r>
        <w:t xml:space="preserve"> </w:t>
      </w:r>
      <w:r>
        <w:t xml:space="preserve">flagged 98 minutes early with a clean ramp-up, one CALIB-block incident is</w:t>
      </w:r>
      <w:r>
        <w:t xml:space="preserve"> </w:t>
      </w:r>
      <w:r>
        <w:t xml:space="preserve">caught only ~2 minutes early (essentially at onset), and one incident’s risk</w:t>
      </w:r>
      <w:r>
        <w:t xml:space="preserve"> </w:t>
      </w:r>
      <w:r>
        <w:t xml:space="preserve">score jumps from ~0.001 to ~0.98 in a single step with no gradual precursor</w:t>
      </w:r>
      <w:r>
        <w:t xml:space="preserve"> </w:t>
      </w:r>
      <w:r>
        <w:t xml:space="preserve">within the model’s 20-minute lookback and is missed by the lead-time rule</w:t>
      </w:r>
      <w:r>
        <w:t xml:space="preserve"> </w:t>
      </w:r>
      <w:r>
        <w:t xml:space="preserve">entirely. We report this variance explicitly rather than only the mean,</w:t>
      </w:r>
      <w:r>
        <w:t xml:space="preserve"> </w:t>
      </w:r>
      <w:r>
        <w:t xml:space="preserve">since averaging it away would misrepresent the system’s actual, uneven</w:t>
      </w:r>
      <w:r>
        <w:t xml:space="preserve"> </w:t>
      </w:r>
      <w:r>
        <w:t xml:space="preserve">early-warning capability — itself a trustworthiness finding, not only a</w:t>
      </w:r>
      <w:r>
        <w:t xml:space="preserve"> </w:t>
      </w:r>
      <w:r>
        <w:t xml:space="preserve">performance number. The TelecomTS runway analysis of Section VI.1 is the same</w:t>
      </w:r>
      <w:r>
        <w:t xml:space="preserve"> </w:t>
      </w:r>
      <w:r>
        <w:t xml:space="preserve">observation at a different time scale: what the system can anticipate is</w:t>
      </w:r>
      <w:r>
        <w:t xml:space="preserve"> </w:t>
      </w:r>
      <w:r>
        <w:t xml:space="preserve">bounded by what the incident telegraphs.</w:t>
      </w:r>
    </w:p>
    <w:bookmarkEnd w:id="82"/>
    <w:bookmarkStart w:id="83" w:name="Xc8ec02c85b889e8775789157f99a7127cdb37cc"/>
    <w:p>
      <w:pPr>
        <w:pStyle w:val="Heading2"/>
      </w:pPr>
      <w:r>
        <w:t xml:space="preserve">H. Component 2, graph view — illustrative topology-based ranking</w:t>
      </w:r>
    </w:p>
    <w:p>
      <w:pPr>
        <w:pStyle w:val="FirstParagraph"/>
      </w:pPr>
      <w:r>
        <w:t xml:space="preserve">Neither SMD nor the reconstructed TelecomTS sessions provide a</w:t>
      </w:r>
      <w:r>
        <w:t xml:space="preserve"> </w:t>
      </w:r>
      <w:r>
        <w:t xml:space="preserve">network-element topology, so this experiment is explicitly illustrative: a</w:t>
      </w:r>
      <w:r>
        <w:t xml:space="preserve"> </w:t>
      </w:r>
      <w:r>
        <w:t xml:space="preserve">synthetic Core</w:t>
      </w:r>
      <w:r>
        <w:t xml:space="preserve"> </w:t>
      </w:r>
      <m:oMath>
        <m:r>
          <m:rPr>
            <m:sty m:val="p"/>
          </m:rPr>
          <m:t>→</m:t>
        </m:r>
      </m:oMath>
      <w:r>
        <w:t xml:space="preserve"> </w:t>
      </w:r>
      <w:r>
        <w:t xml:space="preserve">Aggregation</w:t>
      </w:r>
      <w:r>
        <w:t xml:space="preserve"> </w:t>
      </w:r>
      <m:oMath>
        <m:r>
          <m:rPr>
            <m:sty m:val="p"/>
          </m:rPr>
          <m:t>→</m:t>
        </m:r>
      </m:oMath>
      <w:r>
        <w:t xml:space="preserve"> </w:t>
      </w:r>
      <w:r>
        <w:t xml:space="preserve">BaseStation</w:t>
      </w:r>
      <w:r>
        <w:t xml:space="preserve"> </w:t>
      </w:r>
      <m:oMath>
        <m:r>
          <m:rPr>
            <m:sty m:val="p"/>
          </m:rPr>
          <m:t>→</m:t>
        </m:r>
      </m:oMath>
      <w:r>
        <w:t xml:space="preserve"> </w:t>
      </w:r>
      <w:r>
        <w:t xml:space="preserve">Cell graph with an injected</w:t>
      </w:r>
      <w:r>
        <w:t xml:space="preserve"> </w:t>
      </w:r>
      <w:r>
        <w:t xml:space="preserve">root cause at Aggregation and severity decaying (with noise) along</w:t>
      </w:r>
      <w:r>
        <w:t xml:space="preserve"> </w:t>
      </w:r>
      <w:r>
        <w:t xml:space="preserve">descendants. Personalized PageRank on the reversed graph, seeded by observed</w:t>
      </w:r>
      <w:r>
        <w:t xml:space="preserve"> </w:t>
      </w:r>
      <w:r>
        <w:t xml:space="preserve">node severity, ranks Aggregation first (score 0.319), correctly recovering</w:t>
      </w:r>
      <w:r>
        <w:t xml:space="preserve"> </w:t>
      </w:r>
      <w:r>
        <w:t xml:space="preserve">the injected root cause and demonstrating the topology-propagation mechanism</w:t>
      </w:r>
      <w:r>
        <w:t xml:space="preserve"> </w:t>
      </w:r>
      <w:r>
        <w:t xml:space="preserve">that a learned graph neural network would generalize with data-driven edge</w:t>
      </w:r>
      <w:r>
        <w:t xml:space="preserve"> </w:t>
      </w:r>
      <w:r>
        <w:t xml:space="preserve">weights. It demonstrates a mechanism, not a validated capability.</w:t>
      </w:r>
    </w:p>
    <w:bookmarkEnd w:id="83"/>
    <w:bookmarkEnd w:id="84"/>
    <w:bookmarkStart w:id="85" w:name="vii.-discussion"/>
    <w:p>
      <w:pPr>
        <w:pStyle w:val="Heading1"/>
      </w:pPr>
      <w:r>
        <w:t xml:space="preserve">VII. Discussion</w:t>
      </w:r>
    </w:p>
    <w:p>
      <w:pPr>
        <w:pStyle w:val="FirstParagraph"/>
      </w:pPr>
      <w:r>
        <w:t xml:space="preserve">Taken together, the results in Section VI show that each layer of</w:t>
      </w:r>
      <w:r>
        <w:t xml:space="preserve"> </w:t>
      </w:r>
      <w:r>
        <w:t xml:space="preserve">TrustNet-RCA produces measurable, distinguishable evidence rather than a</w:t>
      </w:r>
      <w:r>
        <w:t xml:space="preserve"> </w:t>
      </w:r>
      <w:r>
        <w:t xml:space="preserve">single opaque score. The predictor’s discrimination (Section VI.1) is</w:t>
      </w:r>
      <w:r>
        <w:t xml:space="preserve"> </w:t>
      </w:r>
      <w:r>
        <w:t xml:space="preserve">separable from the attribution stage’s correctness against ground truth</w:t>
      </w:r>
      <w:r>
        <w:t xml:space="preserve"> </w:t>
      </w:r>
      <w:r>
        <w:t xml:space="preserve">(6.3), which is separable again from the causal filter’s ability to prune</w:t>
      </w:r>
      <w:r>
        <w:t xml:space="preserve"> </w:t>
      </w:r>
      <w:r>
        <w:t xml:space="preserve">spurious candidates (6.4), from the explanation layer’s faithfulness and</w:t>
      </w:r>
      <w:r>
        <w:t xml:space="preserve"> </w:t>
      </w:r>
      <w:r>
        <w:t xml:space="preserve">stability (6.5), from the calibration layer’s coverage guarantee (6.6), and</w:t>
      </w:r>
      <w:r>
        <w:t xml:space="preserve"> </w:t>
      </w:r>
      <w:r>
        <w:t xml:space="preserve">from the system’s actual, uneven early-warning behavior (6.7). That</w:t>
      </w:r>
      <w:r>
        <w:t xml:space="preserve"> </w:t>
      </w:r>
      <w:r>
        <w:t xml:space="preserve">separability is the practical value of decomposing trustworthiness: a 0.920</w:t>
      </w:r>
      <w:r>
        <w:t xml:space="preserve"> </w:t>
      </w:r>
      <w:r>
        <w:t xml:space="preserve">AUROC headline alone would not have revealed that root-cause precision</w:t>
      </w:r>
      <w:r>
        <w:t xml:space="preserve"> </w:t>
      </w:r>
      <w:r>
        <w:t xml:space="preserve">plateaus at 0.529, that per-anomaly-type AUPRC spans an eightfold range,</w:t>
      </w:r>
      <w:r>
        <w:t xml:space="preserve"> </w:t>
      </w:r>
      <w:r>
        <w:t xml:space="preserve">that no TelecomTS incident affords a 30 s runway, or that 20% of predictions</w:t>
      </w:r>
      <w:r>
        <w:t xml:space="preserve"> </w:t>
      </w:r>
      <w:r>
        <w:t xml:space="preserve">should be escalated rather than acted on automatically.</w:t>
      </w:r>
    </w:p>
    <w:p>
      <w:pPr>
        <w:pStyle w:val="BodyText"/>
      </w:pPr>
      <w:r>
        <w:t xml:space="preserve">Two findings cut against the paper’s own initial expectations, and both are</w:t>
      </w:r>
      <w:r>
        <w:t xml:space="preserve"> </w:t>
      </w:r>
      <w:r>
        <w:t xml:space="preserve">more useful than the confirmations. The first is architectural: attention</w:t>
      </w:r>
      <w:r>
        <w:t xml:space="preserve"> </w:t>
      </w:r>
      <w:r>
        <w:t xml:space="preserve">models lose to gradient-boosted trees on all three legs, at 4-82x the</w:t>
      </w:r>
      <w:r>
        <w:t xml:space="preserve"> </w:t>
      </w:r>
      <w:r>
        <w:t xml:space="preserve">training cost. Reporting this rather than burying it has a concrete payoff</w:t>
      </w:r>
      <w:r>
        <w:t xml:space="preserve"> </w:t>
      </w:r>
      <w:r>
        <w:t xml:space="preserve">for the framework, because a tree predictor makes Component 2’s</w:t>
      </w:r>
      <w:r>
        <w:t xml:space="preserve"> </w:t>
      </w:r>
      <w:r>
        <w:t xml:space="preserve">TreeExplainer attribution exact rather than approximate, and keeps</w:t>
      </w:r>
      <w:r>
        <w:t xml:space="preserve"> </w:t>
      </w:r>
      <w:r>
        <w:t xml:space="preserve">attribution comparable across datasets instead of switching explainer family</w:t>
      </w:r>
      <w:r>
        <w:t xml:space="preserve"> </w:t>
      </w:r>
      <w:r>
        <w:t xml:space="preserve">per leg. The negative result and the design are aligned rather than in</w:t>
      </w:r>
      <w:r>
        <w:t xml:space="preserve"> </w:t>
      </w:r>
      <w:r>
        <w:t xml:space="preserve">tension.</w:t>
      </w:r>
    </w:p>
    <w:p>
      <w:pPr>
        <w:pStyle w:val="BodyText"/>
      </w:pPr>
      <w:r>
        <w:t xml:space="preserve">The second is the one an operator should act on. Section VI.5 finds that</w:t>
      </w:r>
      <w:r>
        <w:t xml:space="preserve"> </w:t>
      </w:r>
      <w:r>
        <w:t xml:space="preserve">none of the four confidence and explanation-quality signals the framework</w:t>
      </w:r>
      <w:r>
        <w:t xml:space="preserve"> </w:t>
      </w:r>
      <w:r>
        <w:t xml:space="preserve">produces — predicted probability, attribution entropy, rank stability,</w:t>
      </w:r>
      <w:r>
        <w:t xml:space="preserve"> </w:t>
      </w:r>
      <w:r>
        <w:t xml:space="preserve">deletion-test faithfulness — separates the events where localization was</w:t>
      </w:r>
      <w:r>
        <w:t xml:space="preserve"> </w:t>
      </w:r>
      <w:r>
        <w:t xml:space="preserve">correct from those where it was wrong; two of the four point marginally in</w:t>
      </w:r>
      <w:r>
        <w:t xml:space="preserve"> </w:t>
      </w:r>
      <w:r>
        <w:t xml:space="preserve">the wrong direction. This matters because the intuitive next engineering</w:t>
      </w:r>
      <w:r>
        <w:t xml:space="preserve"> </w:t>
      </w:r>
      <w:r>
        <w:t xml:space="preserve">step, once a pipeline emits several quality signals, is to combine them into</w:t>
      </w:r>
      <w:r>
        <w:t xml:space="preserve"> </w:t>
      </w:r>
      <w:r>
        <w:t xml:space="preserve">a composite trust score and gate escalation on it. On this evidence that</w:t>
      </w:r>
      <w:r>
        <w:t xml:space="preserve"> </w:t>
      </w:r>
      <w:r>
        <w:t xml:space="preserve">score would not work, and would be worse than no score at all, since it</w:t>
      </w:r>
      <w:r>
        <w:t xml:space="preserve"> </w:t>
      </w:r>
      <w:r>
        <w:t xml:space="preserve">would attach unwarranted confidence to the dangerous cases: prediction</w:t>
      </w:r>
      <w:r>
        <w:t xml:space="preserve"> </w:t>
      </w:r>
      <w:r>
        <w:t xml:space="preserve">correct, diagnosis wrong. The one signal not yet tested in that role is the</w:t>
      </w:r>
      <w:r>
        <w:t xml:space="preserve"> </w:t>
      </w:r>
      <w:r>
        <w:t xml:space="preserve">causal-evidence agreement of Component 3, which is the natural next</w:t>
      </w:r>
      <w:r>
        <w:t xml:space="preserve"> </w:t>
      </w:r>
      <w:r>
        <w:t xml:space="preserve">candidate precisely because it draws on temporal structure rather than on</w:t>
      </w:r>
      <w:r>
        <w:t xml:space="preserve"> </w:t>
      </w:r>
      <w:r>
        <w:t xml:space="preserve">the attribution the other signals all derive from.</w:t>
      </w:r>
    </w:p>
    <w:p>
      <w:pPr>
        <w:pStyle w:val="BodyText"/>
      </w:pPr>
      <w:r>
        <w:t xml:space="preserve">There is a methodological point here too. The confidence-quality gap is only</w:t>
      </w:r>
      <w:r>
        <w:t xml:space="preserve"> </w:t>
      </w:r>
      <w:r>
        <w:t xml:space="preserve">visible because localization ground truth existed to partition events</w:t>
      </w:r>
      <w:r>
        <w:t xml:space="preserve"> </w:t>
      </w:r>
      <w:r>
        <w:t xml:space="preserve">against. A study without such labels would have observed stable, faithful,</w:t>
      </w:r>
      <w:r>
        <w:t xml:space="preserve"> </w:t>
      </w:r>
      <w:r>
        <w:t xml:space="preserve">confident explanations and concluded the explanation layer was working. This</w:t>
      </w:r>
      <w:r>
        <w:t xml:space="preserve"> </w:t>
      </w:r>
      <w:r>
        <w:t xml:space="preserve">is the argument for insisting on datasets with root-cause ground truth even</w:t>
      </w:r>
      <w:r>
        <w:t xml:space="preserve"> </w:t>
      </w:r>
      <w:r>
        <w:t xml:space="preserve">when they are less realistic than the alternative — and, conversely, the</w:t>
      </w:r>
      <w:r>
        <w:t xml:space="preserve"> </w:t>
      </w:r>
      <w:r>
        <w:t xml:space="preserve">reason the localization scores in this paper carry a caveat: they exist for</w:t>
      </w:r>
      <w:r>
        <w:t xml:space="preserve"> </w:t>
      </w:r>
      <w:r>
        <w:t xml:space="preserve">SMD, the least telecom-like of the three legs.</w:t>
      </w:r>
    </w:p>
    <w:p>
      <w:pPr>
        <w:pStyle w:val="BodyText"/>
      </w:pPr>
      <w:r>
        <w:t xml:space="preserve">These results establish that a joint pipeline is measurable and</w:t>
      </w:r>
      <w:r>
        <w:t xml:space="preserve"> </w:t>
      </w:r>
      <w:r>
        <w:t xml:space="preserve">instrumentable across three domains under one method, not that it</w:t>
      </w:r>
      <w:r>
        <w:t xml:space="preserve"> </w:t>
      </w:r>
      <w:r>
        <w:t xml:space="preserve">outperforms simpler alternatives. Section VIII states the limitations directly,</w:t>
      </w:r>
      <w:r>
        <w:t xml:space="preserve"> </w:t>
      </w:r>
      <w:r>
        <w:t xml:space="preserve">and Section IX defines the multi-seed, multi-baseline study required to make</w:t>
      </w:r>
      <w:r>
        <w:t xml:space="preserve"> </w:t>
      </w:r>
      <w:r>
        <w:t xml:space="preserve">a comparative claim.</w:t>
      </w:r>
    </w:p>
    <w:bookmarkEnd w:id="85"/>
    <w:bookmarkStart w:id="86" w:name="Xf0a46c65489b409fcc43747e33df480de4adfc0"/>
    <w:p>
      <w:pPr>
        <w:pStyle w:val="Heading1"/>
      </w:pPr>
      <w:r>
        <w:t xml:space="preserve">VIII. Limitations and Threats to Validity</w:t>
      </w:r>
    </w:p>
    <w:p>
      <w:pPr>
        <w:pStyle w:val="FirstParagraph"/>
      </w:pPr>
      <w:r>
        <w:rPr>
          <w:bCs/>
          <w:b/>
        </w:rPr>
        <w:t xml:space="preserve">The early-warning anchor rests on a single dataset.</w:t>
      </w:r>
      <w:r>
        <w:t xml:space="preserve"> </w:t>
      </w:r>
      <w:r>
        <w:t xml:space="preserve">Section VI.1 records</w:t>
      </w:r>
      <w:r>
        <w:t xml:space="preserve"> </w:t>
      </w:r>
      <w:r>
        <w:t xml:space="preserve">why: RCAEval’s scheduled fault injections make anticipation ill-posed, so</w:t>
      </w:r>
      <w:r>
        <w:t xml:space="preserve"> </w:t>
      </w:r>
      <w:r>
        <w:t xml:space="preserve">TelecomTS alone carries the 5G early-warning claim. A single dataset</w:t>
      </w:r>
      <w:r>
        <w:t xml:space="preserve"> </w:t>
      </w:r>
      <w:r>
        <w:t xml:space="preserve">carrying a core claim is a real concentration of risk, not a formality.</w:t>
      </w:r>
    </w:p>
    <w:p>
      <w:pPr>
        <w:pStyle w:val="BodyText"/>
      </w:pPr>
      <w:r>
        <w:rPr>
          <w:bCs/>
          <w:b/>
        </w:rPr>
        <w:t xml:space="preserve">TelecomTS anomalies are largely synthetic.</w:t>
      </w:r>
      <w:r>
        <w:t xml:space="preserve"> </w:t>
      </w:r>
      <w:r>
        <w:t xml:space="preserve">Ten of its eleven anomaly</w:t>
      </w:r>
      <w:r>
        <w:t xml:space="preserve"> </w:t>
      </w:r>
      <w:r>
        <w:t xml:space="preserve">types are injected; Jamming is the one real over-the-air phenomenon, and</w:t>
      </w:r>
      <w:r>
        <w:t xml:space="preserve"> </w:t>
      </w:r>
      <w:r>
        <w:t xml:space="preserve">those seven events have zero pre-onset runway. Results on injected faults</w:t>
      </w:r>
      <w:r>
        <w:t xml:space="preserve"> </w:t>
      </w:r>
      <w:r>
        <w:t xml:space="preserve">may not transfer to naturally occurring RAN degradation. The dataset is also</w:t>
      </w:r>
      <w:r>
        <w:t xml:space="preserve"> </w:t>
      </w:r>
      <w:r>
        <w:t xml:space="preserve">testbed-derived, not operator-network data, and involves no O-RAN interfaces</w:t>
      </w:r>
      <w:r>
        <w:t xml:space="preserve"> </w:t>
      </w:r>
      <w:r>
        <w:t xml:space="preserve">or components — we make no O-RAN claim.</w:t>
      </w:r>
    </w:p>
    <w:p>
      <w:pPr>
        <w:pStyle w:val="BodyText"/>
      </w:pPr>
      <w:r>
        <w:rPr>
          <w:bCs/>
          <w:b/>
        </w:rPr>
        <w:t xml:space="preserve">SMD is not telecom data and is not treated as such.</w:t>
      </w:r>
      <w:r>
        <w:t xml:space="preserve"> </w:t>
      </w:r>
      <w:r>
        <w:t xml:space="preserve">Its 38 dimensions</w:t>
      </w:r>
      <w:r>
        <w:t xml:space="preserve"> </w:t>
      </w:r>
      <w:r>
        <w:t xml:space="preserve">are generic server metrics, not named radio KPIs. It is reported strictly as</w:t>
      </w:r>
      <w:r>
        <w:t xml:space="preserve"> </w:t>
      </w:r>
      <w:r>
        <w:t xml:space="preserve">an out-of-domain generalization check, and no SMD number in this paper</w:t>
      </w:r>
      <w:r>
        <w:t xml:space="preserve"> </w:t>
      </w:r>
      <w:r>
        <w:t xml:space="preserve">should be read as a measurement about radio behavior.</w:t>
      </w:r>
    </w:p>
    <w:p>
      <w:pPr>
        <w:pStyle w:val="BodyText"/>
      </w:pPr>
      <w:r>
        <w:rPr>
          <w:bCs/>
          <w:b/>
        </w:rPr>
        <w:t xml:space="preserve">Localization is scored on one leg only.</w:t>
      </w:r>
      <w:r>
        <w:t xml:space="preserve"> </w:t>
      </w:r>
      <w:r>
        <w:t xml:space="preserve">Section VI.3’s attribution</w:t>
      </w:r>
      <w:r>
        <w:t xml:space="preserve"> </w:t>
      </w:r>
      <w:r>
        <w:t xml:space="preserve">results are SMD-only. TelecomTS and RCAEval both ship localization ground</w:t>
      </w:r>
      <w:r>
        <w:t xml:space="preserve"> </w:t>
      </w:r>
      <w:r>
        <w:t xml:space="preserve">truth, and both loaders expose it, but the root-cause ranking is not yet</w:t>
      </w:r>
      <w:r>
        <w:t xml:space="preserve"> </w:t>
      </w:r>
      <w:r>
        <w:t xml:space="preserve">scored on either — so</w:t>
      </w:r>
      <w:r>
        <w:t xml:space="preserve"> </w:t>
      </w:r>
      <w:r>
        <w:t xml:space="preserve">“</w:t>
      </w:r>
      <w:r>
        <w:t xml:space="preserve">RCA rigor</w:t>
      </w:r>
      <w:r>
        <w:t xml:space="preserve">”</w:t>
      </w:r>
      <w:r>
        <w:t xml:space="preserve"> </w:t>
      </w:r>
      <w:r>
        <w:t xml:space="preserve">is not yet earned on the leg assigned to</w:t>
      </w:r>
      <w:r>
        <w:t xml:space="preserve"> </w:t>
      </w:r>
      <w:r>
        <w:t xml:space="preserve">carry it.</w:t>
      </w:r>
    </w:p>
    <w:p>
      <w:pPr>
        <w:pStyle w:val="BodyText"/>
      </w:pPr>
      <w:r>
        <w:rPr>
          <w:bCs/>
          <w:b/>
        </w:rPr>
        <w:t xml:space="preserve">One RCAEval system of nine.</w:t>
      </w:r>
      <w:r>
        <w:t xml:space="preserve"> </w:t>
      </w:r>
      <w:r>
        <w:t xml:space="preserve">Only RE1 / Online Boutique is used: 123 of</w:t>
      </w:r>
      <w:r>
        <w:t xml:space="preserve"> </w:t>
      </w:r>
      <w:r>
        <w:t xml:space="preserve">735 available cases. Sock Shop, Train Ticket, and the RE2/RE3 multi-source</w:t>
      </w:r>
      <w:r>
        <w:t xml:space="preserve"> </w:t>
      </w:r>
      <w:r>
        <w:t xml:space="preserve">suites are untouched.</w:t>
      </w:r>
    </w:p>
    <w:p>
      <w:pPr>
        <w:pStyle w:val="BodyText"/>
      </w:pPr>
      <w:r>
        <w:rPr>
          <w:bCs/>
          <w:b/>
        </w:rPr>
        <w:t xml:space="preserve">No conformal layer on the new legs.</w:t>
      </w:r>
      <w:r>
        <w:t xml:space="preserve"> </w:t>
      </w:r>
      <w:r>
        <w:t xml:space="preserve">CALIB blocks are built and held out</w:t>
      </w:r>
      <w:r>
        <w:t xml:space="preserve"> </w:t>
      </w:r>
      <w:r>
        <w:t xml:space="preserve">for TelecomTS and RCAEval, but the coverage guarantee is demonstrated on SMD</w:t>
      </w:r>
      <w:r>
        <w:t xml:space="preserve"> </w:t>
      </w:r>
      <w:r>
        <w:t xml:space="preserve">only.</w:t>
      </w:r>
    </w:p>
    <w:p>
      <w:pPr>
        <w:pStyle w:val="BodyText"/>
      </w:pPr>
      <w:r>
        <w:rPr>
          <w:bCs/>
          <w:b/>
        </w:rPr>
        <w:t xml:space="preserve">No statistical validation.</w:t>
      </w:r>
      <w:r>
        <w:t xml:space="preserve"> </w:t>
      </w:r>
      <w:r>
        <w:t xml:space="preserve">Every leg is a single seed and a single</w:t>
      </w:r>
      <w:r>
        <w:t xml:space="preserve"> </w:t>
      </w:r>
      <w:r>
        <w:t xml:space="preserve">split. No significance testing, confidence intervals, or effect sizes are</w:t>
      </w:r>
      <w:r>
        <w:t xml:space="preserve"> </w:t>
      </w:r>
      <w:r>
        <w:t xml:space="preserve">computed, and hyperparameters were fixed by hand on SMD and reused verbatim</w:t>
      </w:r>
      <w:r>
        <w:t xml:space="preserve"> </w:t>
      </w:r>
      <w:r>
        <w:t xml:space="preserve">elsewhere — deliberately, to keep the legs comparable, but it means no leg</w:t>
      </w:r>
      <w:r>
        <w:t xml:space="preserve"> </w:t>
      </w:r>
      <w:r>
        <w:t xml:space="preserve">is tuned and all numbers are untuned-baseline numbers.</w:t>
      </w:r>
    </w:p>
    <w:p>
      <w:pPr>
        <w:pStyle w:val="BodyText"/>
      </w:pPr>
      <w:r>
        <w:rPr>
          <w:bCs/>
          <w:b/>
        </w:rPr>
        <w:t xml:space="preserve">The Component 4 audit is underpowered.</w:t>
      </w:r>
      <w:r>
        <w:t xml:space="preserve"> </w:t>
      </w:r>
      <w:r>
        <w:t xml:space="preserve">The confidence-quality result in</w:t>
      </w:r>
      <w:r>
        <w:t xml:space="preserve"> </w:t>
      </w:r>
      <w:r>
        <w:t xml:space="preserve">Section VI.5 rests on eight events on one machine, partitioned four against</w:t>
      </w:r>
      <w:r>
        <w:t xml:space="preserve"> </w:t>
      </w:r>
      <w:r>
        <w:t xml:space="preserve">four. It is descriptive of that machine, not a population-level test. We</w:t>
      </w:r>
      <w:r>
        <w:t xml:space="preserve"> </w:t>
      </w:r>
      <w:r>
        <w:t xml:space="preserve">draw a cautionary conclusion from it rather than a quantitative one; a</w:t>
      </w:r>
      <w:r>
        <w:t xml:space="preserve"> </w:t>
      </w:r>
      <w:r>
        <w:t xml:space="preserve">larger sample could reveal a small effect these groups cannot resolve.</w:t>
      </w:r>
    </w:p>
    <w:p>
      <w:pPr>
        <w:pStyle w:val="BodyText"/>
      </w:pPr>
      <w:r>
        <w:rPr>
          <w:bCs/>
          <w:b/>
        </w:rPr>
        <w:t xml:space="preserve">No external baselines.</w:t>
      </w:r>
      <w:r>
        <w:t xml:space="preserve"> </w:t>
      </w:r>
      <w:r>
        <w:t xml:space="preserve">We compare models within our own hierarchy but do</w:t>
      </w:r>
      <w:r>
        <w:t xml:space="preserve"> </w:t>
      </w:r>
      <w:r>
        <w:t xml:space="preserve">not compare the full pipeline against established RCA methods such as</w:t>
      </w:r>
      <w:r>
        <w:t xml:space="preserve"> </w:t>
      </w:r>
      <w:r>
        <w:t xml:space="preserve">MicroRCA [13], CausalRCA, RCD, or epsilon-Diagnosis. No comparative claim</w:t>
      </w:r>
      <w:r>
        <w:t xml:space="preserve"> </w:t>
      </w:r>
      <w:r>
        <w:t xml:space="preserve">is made.</w:t>
      </w:r>
    </w:p>
    <w:p>
      <w:pPr>
        <w:pStyle w:val="BodyText"/>
      </w:pPr>
      <w:r>
        <w:rPr>
          <w:bCs/>
          <w:b/>
        </w:rPr>
        <w:t xml:space="preserve">Granger causality is not proof of causation.</w:t>
      </w:r>
      <w:r>
        <w:t xml:space="preserve"> </w:t>
      </w:r>
      <w:r>
        <w:t xml:space="preserve">The verdicts in Section VI.4</w:t>
      </w:r>
      <w:r>
        <w:t xml:space="preserve"> </w:t>
      </w:r>
      <w:r>
        <w:t xml:space="preserve">reflect temporal-precedence evidence from an observational test, not</w:t>
      </w:r>
      <w:r>
        <w:t xml:space="preserve"> </w:t>
      </w:r>
      <w:r>
        <w:t xml:space="preserve">intervention. Neither dataset provides a configuration-change log that could</w:t>
      </w:r>
      <w:r>
        <w:t xml:space="preserve"> </w:t>
      </w:r>
      <w:r>
        <w:t xml:space="preserve">serve as a quasi-experiment.</w:t>
      </w:r>
    </w:p>
    <w:p>
      <w:pPr>
        <w:pStyle w:val="BodyText"/>
      </w:pPr>
      <w:r>
        <w:rPr>
          <w:bCs/>
          <w:b/>
        </w:rPr>
        <w:t xml:space="preserve">Illustrative, not fitted, topology experiment.</w:t>
      </w:r>
      <w:r>
        <w:t xml:space="preserve"> </w:t>
      </w:r>
      <w:r>
        <w:t xml:space="preserve">Section VI.8 uses a</w:t>
      </w:r>
      <w:r>
        <w:t xml:space="preserve"> </w:t>
      </w:r>
      <w:r>
        <w:t xml:space="preserve">hand-specified synthetic topology and injected severities. It demonstrates a</w:t>
      </w:r>
      <w:r>
        <w:t xml:space="preserve"> </w:t>
      </w:r>
      <w:r>
        <w:t xml:space="preserve">mechanism, not a validated capability on real network topology.</w:t>
      </w:r>
    </w:p>
    <w:p>
      <w:pPr>
        <w:pStyle w:val="BodyText"/>
      </w:pPr>
      <w:r>
        <w:rPr>
          <w:bCs/>
          <w:b/>
        </w:rPr>
        <w:t xml:space="preserve">No production or robustness evaluation.</w:t>
      </w:r>
      <w:r>
        <w:t xml:space="preserve"> </w:t>
      </w:r>
      <w:r>
        <w:t xml:space="preserve">No deployed system exists to</w:t>
      </w:r>
      <w:r>
        <w:t xml:space="preserve"> </w:t>
      </w:r>
      <w:r>
        <w:t xml:space="preserve">report latency or throughput SLAs against, and no adversarial-input,</w:t>
      </w:r>
      <w:r>
        <w:t xml:space="preserve"> </w:t>
      </w:r>
      <w:r>
        <w:t xml:space="preserve">alarm-storm, missing-telemetry, or drift tests were run.</w:t>
      </w:r>
    </w:p>
    <w:bookmarkEnd w:id="86"/>
    <w:bookmarkStart w:id="87" w:name="Xd3ffd8d7854b4d1774f80580cf68f0c098a48ba"/>
    <w:p>
      <w:pPr>
        <w:pStyle w:val="Heading1"/>
      </w:pPr>
      <w:r>
        <w:t xml:space="preserve">IX. Practical Implications and Future Work</w:t>
      </w:r>
    </w:p>
    <w:p>
      <w:pPr>
        <w:pStyle w:val="FirstParagraph"/>
      </w:pPr>
      <w:r>
        <w:t xml:space="preserve">For practitioners, four design choices in TrustNet-RCA are directly</w:t>
      </w:r>
      <w:r>
        <w:t xml:space="preserve"> </w:t>
      </w:r>
      <w:r>
        <w:t xml:space="preserve">actionable regardless of the specific models used. First, treat prediction,</w:t>
      </w:r>
      <w:r>
        <w:t xml:space="preserve"> </w:t>
      </w:r>
      <w:r>
        <w:t xml:space="preserve">attribution, causal filtering, explanation, and calibration as separately</w:t>
      </w:r>
      <w:r>
        <w:t xml:space="preserve"> </w:t>
      </w:r>
      <w:r>
        <w:t xml:space="preserve">monitored pipeline stages, so that a regression in one is not masked by</w:t>
      </w:r>
      <w:r>
        <w:t xml:space="preserve"> </w:t>
      </w:r>
      <w:r>
        <w:t xml:space="preserve">another. Second, report lead time, root-cause accuracy, and per-fault-type</w:t>
      </w:r>
      <w:r>
        <w:t xml:space="preserve"> </w:t>
      </w:r>
      <w:r>
        <w:t xml:space="preserve">performance per incident rather than only pooled: Section VI.1 shows AUPRC</w:t>
      </w:r>
      <w:r>
        <w:t xml:space="preserve"> </w:t>
      </w:r>
      <w:r>
        <w:t xml:space="preserve">spanning 0.101 to 0.823 across anomaly types while AUROC stays within a</w:t>
      </w:r>
      <w:r>
        <w:t xml:space="preserve"> </w:t>
      </w:r>
      <w:r>
        <w:t xml:space="preserve">narrow 0.877-0.971 band, so an aggregate score — particularly an aggregate</w:t>
      </w:r>
      <w:r>
        <w:t xml:space="preserve"> </w:t>
      </w:r>
      <w:r>
        <w:t xml:space="preserve">AUROC — can conceal that a system is close to unusable on entire fault</w:t>
      </w:r>
      <w:r>
        <w:t xml:space="preserve"> </w:t>
      </w:r>
      <w:r>
        <w:t xml:space="preserve">families. Third, use a conformal or similarly calibrated abstention signal</w:t>
      </w:r>
      <w:r>
        <w:t xml:space="preserve"> </w:t>
      </w:r>
      <w:r>
        <w:t xml:space="preserve">to route low-confidence cases to a human rather than resolving them</w:t>
      </w:r>
      <w:r>
        <w:t xml:space="preserve"> </w:t>
      </w:r>
      <w:r>
        <w:t xml:space="preserve">silently. Fourth, and following directly from Section VI.5: do not gate that</w:t>
      </w:r>
      <w:r>
        <w:t xml:space="preserve"> </w:t>
      </w:r>
      <w:r>
        <w:t xml:space="preserve">escalation on a composite trust score assembled from the model’s own</w:t>
      </w:r>
      <w:r>
        <w:t xml:space="preserve"> </w:t>
      </w:r>
      <w:r>
        <w:t xml:space="preserve">confidence and explanation-quality signals until that score has been</w:t>
      </w:r>
      <w:r>
        <w:t xml:space="preserve"> </w:t>
      </w:r>
      <w:r>
        <w:t xml:space="preserve">validated against localization ground truth, because on this evidence it</w:t>
      </w:r>
      <w:r>
        <w:t xml:space="preserve"> </w:t>
      </w:r>
      <w:r>
        <w:t xml:space="preserve">would not separate correct diagnoses from incorrect ones.</w:t>
      </w:r>
    </w:p>
    <w:p>
      <w:pPr>
        <w:pStyle w:val="BodyText"/>
      </w:pPr>
      <w:r>
        <w:t xml:space="preserve">Four experiments follow immediately from what Section VI does not establish,</w:t>
      </w:r>
      <w:r>
        <w:t xml:space="preserve"> </w:t>
      </w:r>
      <w:r>
        <w:t xml:space="preserve">in rough order of how much they would change the paper’s claims.</w:t>
      </w:r>
    </w:p>
    <w:p>
      <w:pPr>
        <w:pStyle w:val="BodyText"/>
      </w:pPr>
      <w:r>
        <w:rPr>
          <w:iCs/>
          <w:i/>
        </w:rPr>
        <w:t xml:space="preserve">Score localization on the telecom legs.</w:t>
      </w:r>
      <w:r>
        <w:t xml:space="preserve"> </w:t>
      </w:r>
      <w:r>
        <w:t xml:space="preserve">This is the largest gap. Both</w:t>
      </w:r>
      <w:r>
        <w:t xml:space="preserve"> </w:t>
      </w:r>
      <w:r>
        <w:t xml:space="preserve">TelecomTS (named</w:t>
      </w:r>
      <w:r>
        <w:t xml:space="preserve"> </w:t>
      </w:r>
      <w:r>
        <w:rPr>
          <w:rStyle w:val="VerbatimChar"/>
        </w:rPr>
        <w:t xml:space="preserve">affected_kpis</w:t>
      </w:r>
      <w:r>
        <w:t xml:space="preserve">) and RCAEval (root-cause service and</w:t>
      </w:r>
      <w:r>
        <w:t xml:space="preserve"> </w:t>
      </w:r>
      <w:r>
        <w:t xml:space="preserve">indicator) ship localization ground truth, and both loaders already expose</w:t>
      </w:r>
      <w:r>
        <w:t xml:space="preserve"> </w:t>
      </w:r>
      <w:r>
        <w:t xml:space="preserve">it; the fixed-k metrics of Section V.6 are implemented. Until this is run,</w:t>
      </w:r>
      <w:r>
        <w:t xml:space="preserve"> </w:t>
      </w:r>
      <w:r>
        <w:t xml:space="preserve">attribution quality is a claim about server telemetry only, and the</w:t>
      </w:r>
      <w:r>
        <w:t xml:space="preserve"> </w:t>
      </w:r>
      <w:r>
        <w:t xml:space="preserve">confidence-quality finding of Section VI.5 rests on eight events.</w:t>
      </w:r>
    </w:p>
    <w:p>
      <w:pPr>
        <w:pStyle w:val="BodyText"/>
      </w:pPr>
      <w:r>
        <w:rPr>
          <w:iCs/>
          <w:i/>
        </w:rPr>
        <w:t xml:space="preserve">Extend the conformal layer to the telecom legs.</w:t>
      </w:r>
      <w:r>
        <w:t xml:space="preserve"> </w:t>
      </w:r>
      <w:r>
        <w:t xml:space="preserve">CALIB blocks are built</w:t>
      </w:r>
      <w:r>
        <w:t xml:space="preserve"> </w:t>
      </w:r>
      <w:r>
        <w:t xml:space="preserve">and held out for TelecomTS and RCAEval but unused. The coverage guarantee is</w:t>
      </w:r>
      <w:r>
        <w:t xml:space="preserve"> </w:t>
      </w:r>
      <w:r>
        <w:t xml:space="preserve">distribution-free in theory; demonstrating it at 10 Hz on radio telemetry is</w:t>
      </w:r>
      <w:r>
        <w:t xml:space="preserve"> </w:t>
      </w:r>
      <w:r>
        <w:t xml:space="preserve">the test that matters operationally.</w:t>
      </w:r>
    </w:p>
    <w:p>
      <w:pPr>
        <w:pStyle w:val="BodyText"/>
      </w:pPr>
      <w:r>
        <w:rPr>
          <w:iCs/>
          <w:i/>
        </w:rPr>
        <w:t xml:space="preserve">Statistical validation.</w:t>
      </w:r>
      <w:r>
        <w:t xml:space="preserve"> </w:t>
      </w:r>
      <w:r>
        <w:t xml:space="preserve">Multi-seed runs with paired significance tests and</w:t>
      </w:r>
      <w:r>
        <w:t xml:space="preserve"> </w:t>
      </w:r>
      <w:r>
        <w:t xml:space="preserve">effect sizes across all three legs, which no result in this paper currently</w:t>
      </w:r>
      <w:r>
        <w:t xml:space="preserve"> </w:t>
      </w:r>
      <w:r>
        <w:t xml:space="preserve">carries, and which the eight-event Component 4 analysis needs most.</w:t>
      </w:r>
    </w:p>
    <w:p>
      <w:pPr>
        <w:pStyle w:val="BodyText"/>
      </w:pPr>
      <w:r>
        <w:rPr>
          <w:iCs/>
          <w:i/>
        </w:rPr>
        <w:t xml:space="preserve">Broaden the RCA leg and add external baselines.</w:t>
      </w:r>
      <w:r>
        <w:t xml:space="preserve"> </w:t>
      </w:r>
      <w:r>
        <w:t xml:space="preserve">RE1 / Online Boutique is</w:t>
      </w:r>
      <w:r>
        <w:t xml:space="preserve"> </w:t>
      </w:r>
      <w:r>
        <w:t xml:space="preserve">123 of RCAEval’s 735 cases; Sock Shop, Train Ticket, and the RE2/RE3</w:t>
      </w:r>
      <w:r>
        <w:t xml:space="preserve"> </w:t>
      </w:r>
      <w:r>
        <w:t xml:space="preserve">multi-source suites remain untouched. Comparison against MicroRCA [13],</w:t>
      </w:r>
      <w:r>
        <w:t xml:space="preserve"> </w:t>
      </w:r>
      <w:r>
        <w:t xml:space="preserve">CausalRCA, RCD, and epsilon-Diagnosis is required before any comparative</w:t>
      </w:r>
      <w:r>
        <w:t xml:space="preserve"> </w:t>
      </w:r>
      <w:r>
        <w:t xml:space="preserve">claim, as is the joint ablation — does causal filtering plus conformal</w:t>
      </w:r>
      <w:r>
        <w:t xml:space="preserve"> </w:t>
      </w:r>
      <w:r>
        <w:t xml:space="preserve">calibration measurably improve root-cause precision and selective-prediction</w:t>
      </w:r>
      <w:r>
        <w:t xml:space="preserve"> </w:t>
      </w:r>
      <w:r>
        <w:t xml:space="preserve">risk over attribution alone — that this paper’s related-work review found</w:t>
      </w:r>
      <w:r>
        <w:t xml:space="preserve"> </w:t>
      </w:r>
      <w:r>
        <w:t xml:space="preserve">no prior study to have reported.</w:t>
      </w:r>
    </w:p>
    <w:p>
      <w:pPr>
        <w:pStyle w:val="BodyText"/>
      </w:pPr>
      <w:r>
        <w:t xml:space="preserve">Beyond that, two lines are worth naming. The causal-evidence signal of</w:t>
      </w:r>
      <w:r>
        <w:t xml:space="preserve"> </w:t>
      </w:r>
      <w:r>
        <w:t xml:space="preserve">Component 3 should be tested as the localization-quality signal that</w:t>
      </w:r>
      <w:r>
        <w:t xml:space="preserve"> </w:t>
      </w:r>
      <w:r>
        <w:t xml:space="preserve">Section VI.5’s candidates failed to provide. And a controlled human-subjects</w:t>
      </w:r>
      <w:r>
        <w:t xml:space="preserve"> </w:t>
      </w:r>
      <w:r>
        <w:t xml:space="preserve">study should test whether exposing the causal-versus-correlational</w:t>
      </w:r>
      <w:r>
        <w:t xml:space="preserve"> </w:t>
      </w:r>
      <w:r>
        <w:t xml:space="preserve">distinction and the abstention flag actually changes engineer diagnostic</w:t>
      </w:r>
      <w:r>
        <w:t xml:space="preserve"> </w:t>
      </w:r>
      <w:r>
        <w:t xml:space="preserve">accuracy and calibrated trust — a gap independently identified by a</w:t>
      </w:r>
      <w:r>
        <w:t xml:space="preserve"> </w:t>
      </w:r>
      <w:r>
        <w:t xml:space="preserve">systematic review of XAI human-evaluation methodology [21]. A third,</w:t>
      </w:r>
      <w:r>
        <w:t xml:space="preserve"> </w:t>
      </w:r>
      <w:r>
        <w:t xml:space="preserve">higher-risk line, contingent on data access, is validation on real</w:t>
      </w:r>
      <w:r>
        <w:t xml:space="preserve"> </w:t>
      </w:r>
      <w:r>
        <w:t xml:space="preserve">RAN-level KPI telemetry against the published GNN+Transformer RAN RCA</w:t>
      </w:r>
      <w:r>
        <w:t xml:space="preserve"> </w:t>
      </w:r>
      <w:r>
        <w:t xml:space="preserve">system [12].</w:t>
      </w:r>
    </w:p>
    <w:bookmarkEnd w:id="87"/>
    <w:bookmarkStart w:id="88" w:name="x.-conclusion"/>
    <w:p>
      <w:pPr>
        <w:pStyle w:val="Heading1"/>
      </w:pPr>
      <w:r>
        <w:t xml:space="preserve">X. Conclusion</w:t>
      </w:r>
    </w:p>
    <w:p>
      <w:pPr>
        <w:pStyle w:val="FirstParagraph"/>
      </w:pPr>
      <w:r>
        <w:t xml:space="preserve">We presented TrustNet-RCA, a five-component framework that treats</w:t>
      </w:r>
      <w:r>
        <w:t xml:space="preserve"> </w:t>
      </w:r>
      <w:r>
        <w:t xml:space="preserve">trustworthiness as a set of separately measurable properties — prediction,</w:t>
      </w:r>
      <w:r>
        <w:t xml:space="preserve"> </w:t>
      </w:r>
      <w:r>
        <w:t xml:space="preserve">attribution, causal filtering, explanation, and calibrated uncertainty —</w:t>
      </w:r>
      <w:r>
        <w:t xml:space="preserve"> </w:t>
      </w:r>
      <w:r>
        <w:t xml:space="preserve">rather than as an emergent quality of one opaque model, and evaluated it</w:t>
      </w:r>
      <w:r>
        <w:t xml:space="preserve"> </w:t>
      </w:r>
      <w:r>
        <w:t xml:space="preserve">under one identical method across a 5G RAN benchmark (TelecomTS), a</w:t>
      </w:r>
      <w:r>
        <w:t xml:space="preserve"> </w:t>
      </w:r>
      <w:r>
        <w:t xml:space="preserve">service-management RCA benchmark (RCAEval), and an out-of-domain server</w:t>
      </w:r>
      <w:r>
        <w:t xml:space="preserve"> </w:t>
      </w:r>
      <w:r>
        <w:t xml:space="preserve">telemetry benchmark (SMD).</w:t>
      </w:r>
    </w:p>
    <w:p>
      <w:pPr>
        <w:pStyle w:val="BodyText"/>
      </w:pPr>
      <w:r>
        <w:t xml:space="preserve">Three results are worth carrying forward. First, gradient-boosted trees beat</w:t>
      </w:r>
      <w:r>
        <w:t xml:space="preserve"> </w:t>
      </w:r>
      <w:r>
        <w:t xml:space="preserve">attention models on all three legs at a fraction of the training cost; we</w:t>
      </w:r>
      <w:r>
        <w:t xml:space="preserve"> </w:t>
      </w:r>
      <w:r>
        <w:t xml:space="preserve">report this negative result as one, and note that it keeps exact</w:t>
      </w:r>
      <w:r>
        <w:t xml:space="preserve"> </w:t>
      </w:r>
      <w:r>
        <w:t xml:space="preserve">TreeExplainer attribution available throughout. Second, accuracy and</w:t>
      </w:r>
      <w:r>
        <w:t xml:space="preserve"> </w:t>
      </w:r>
      <w:r>
        <w:t xml:space="preserve">calibration pull against each other, and conformal prediction resolves the</w:t>
      </w:r>
      <w:r>
        <w:t xml:space="preserve"> </w:t>
      </w:r>
      <w:r>
        <w:t xml:space="preserve">tension rather than trading it off — delivering tree accuracy under a</w:t>
      </w:r>
      <w:r>
        <w:t xml:space="preserve"> </w:t>
      </w:r>
      <w:r>
        <w:t xml:space="preserve">distribution-free coverage guarantee, which is the strongest case this work</w:t>
      </w:r>
      <w:r>
        <w:t xml:space="preserve"> </w:t>
      </w:r>
      <w:r>
        <w:t xml:space="preserve">makes for conformal methods as a management-plane primitive. Third, and most</w:t>
      </w:r>
      <w:r>
        <w:t xml:space="preserve"> </w:t>
      </w:r>
      <w:r>
        <w:t xml:space="preserve">consequentially, none of the confidence or explanation-quality signals the</w:t>
      </w:r>
      <w:r>
        <w:t xml:space="preserve"> </w:t>
      </w:r>
      <w:r>
        <w:t xml:space="preserve">framework produces distinguishes a correct root-cause localization from an</w:t>
      </w:r>
      <w:r>
        <w:t xml:space="preserve"> </w:t>
      </w:r>
      <w:r>
        <w:t xml:space="preserve">incorrect one. A system can be maximally confident, stable under</w:t>
      </w:r>
      <w:r>
        <w:t xml:space="preserve"> </w:t>
      </w:r>
      <w:r>
        <w:t xml:space="preserve">perturbation, and faithful by deletion test, and still name the wrong KPI.</w:t>
      </w:r>
    </w:p>
    <w:p>
      <w:pPr>
        <w:pStyle w:val="BodyText"/>
      </w:pPr>
      <w:r>
        <w:t xml:space="preserve">That third finding is the one we would most want an operator to take</w:t>
      </w:r>
      <w:r>
        <w:t xml:space="preserve"> </w:t>
      </w:r>
      <w:r>
        <w:t xml:space="preserve">seriously, and it argues against the intuitive design it rules out: a</w:t>
      </w:r>
      <w:r>
        <w:t xml:space="preserve"> </w:t>
      </w:r>
      <w:r>
        <w:t xml:space="preserve">composite trust score assembled from predicted probability, attribution</w:t>
      </w:r>
      <w:r>
        <w:t xml:space="preserve"> </w:t>
      </w:r>
      <w:r>
        <w:t xml:space="preserve">entropy, and rank stability would not, on this evidence, tell an engineer</w:t>
      </w:r>
      <w:r>
        <w:t xml:space="preserve"> </w:t>
      </w:r>
      <w:r>
        <w:t xml:space="preserve">when to doubt the diagnosis. The causal-evidence layer is the one signal not</w:t>
      </w:r>
      <w:r>
        <w:t xml:space="preserve"> </w:t>
      </w:r>
      <w:r>
        <w:t xml:space="preserve">yet tested in that role and is the natural next candidate.</w:t>
      </w:r>
    </w:p>
    <w:p>
      <w:pPr>
        <w:pStyle w:val="BodyText"/>
      </w:pPr>
      <w:r>
        <w:t xml:space="preserve">These results establish that the proposed decomposition is measurable and</w:t>
      </w:r>
      <w:r>
        <w:t xml:space="preserve"> </w:t>
      </w:r>
      <w:r>
        <w:t xml:space="preserve">instrumentable against ground truth on a public 5G benchmark. They do not</w:t>
      </w:r>
      <w:r>
        <w:t xml:space="preserve"> </w:t>
      </w:r>
      <w:r>
        <w:t xml:space="preserve">establish that it outperforms simpler alternatives, that localization</w:t>
      </w:r>
      <w:r>
        <w:t xml:space="preserve"> </w:t>
      </w:r>
      <w:r>
        <w:t xml:space="preserve">transfers beyond SMD, or that any of it survives contact with an operator</w:t>
      </w:r>
      <w:r>
        <w:t xml:space="preserve"> </w:t>
      </w:r>
      <w:r>
        <w:t xml:space="preserve">network — claims requiring the multi-seed, multi-system, statistically</w:t>
      </w:r>
      <w:r>
        <w:t xml:space="preserve"> </w:t>
      </w:r>
      <w:r>
        <w:t xml:space="preserve">validated study defined in Section IX, which we intend as the next stage of</w:t>
      </w:r>
      <w:r>
        <w:t xml:space="preserve"> </w:t>
      </w:r>
      <w:r>
        <w:t xml:space="preserve">this work.</w:t>
      </w:r>
    </w:p>
    <w:bookmarkEnd w:id="88"/>
    <w:bookmarkStart w:id="89" w:name="references"/>
    <w:p>
      <w:pPr>
        <w:pStyle w:val="Heading1"/>
      </w:pPr>
      <w:r>
        <w:t xml:space="preserve">References</w:t>
      </w:r>
    </w:p>
    <w:p>
      <w:pPr>
        <w:pStyle w:val="FirstParagraph"/>
      </w:pPr>
      <w:r>
        <w:t xml:space="preserve">[1] S. M. Lundberg and S.-I. Lee, "A unified approach to interpreting</w:t>
      </w:r>
      <w:r>
        <w:t xml:space="preserve"> </w:t>
      </w:r>
      <w:r>
        <w:t xml:space="preserve">model predictions," in Proc. NeurIPS, 2017.</w:t>
      </w:r>
    </w:p>
    <w:p>
      <w:pPr>
        <w:pStyle w:val="BodyText"/>
      </w:pPr>
      <w:r>
        <w:t xml:space="preserve">[2] C. W. J. Granger, "Investigating causal relations by econometric</w:t>
      </w:r>
      <w:r>
        <w:t xml:space="preserve"> </w:t>
      </w:r>
      <w:r>
        <w:t xml:space="preserve">models and cross-spectral methods," Econometrica, vol. 37, no. 3, pp.</w:t>
      </w:r>
      <w:r>
        <w:t xml:space="preserve"> </w:t>
      </w:r>
      <w:r>
        <w:t xml:space="preserve">424-438, 1969.</w:t>
      </w:r>
    </w:p>
    <w:p>
      <w:pPr>
        <w:pStyle w:val="BodyText"/>
      </w:pPr>
      <w:r>
        <w:t xml:space="preserve">[3] P. Spirtes, C. Glymour, and R. Scheines, Causation, Prediction,</w:t>
      </w:r>
      <w:r>
        <w:t xml:space="preserve"> </w:t>
      </w:r>
      <w:r>
        <w:t xml:space="preserve">and Search, 2nd ed. Cambridge, MA, USA: MIT Press, 2000.</w:t>
      </w:r>
    </w:p>
    <w:p>
      <w:pPr>
        <w:pStyle w:val="BodyText"/>
      </w:pPr>
      <w:r>
        <w:t xml:space="preserve">[4] A. N. Angelopoulos and S. Bates, "A gentle introduction to</w:t>
      </w:r>
      <w:r>
        <w:t xml:space="preserve"> </w:t>
      </w:r>
      <w:r>
        <w:t xml:space="preserve">conformal prediction and distribution-free uncertainty quantification,"</w:t>
      </w:r>
      <w:r>
        <w:t xml:space="preserve"> </w:t>
      </w:r>
      <w:r>
        <w:t xml:space="preserve">arXiv:2107.07511, 2021.</w:t>
      </w:r>
    </w:p>
    <w:p>
      <w:pPr>
        <w:pStyle w:val="BodyText"/>
      </w:pPr>
      <w:r>
        <w:t xml:space="preserve">[5] L. Pham, H. Zhang, H. Ha, F. Salim, and X. Zhang, "RCAEval: A</w:t>
      </w:r>
      <w:r>
        <w:t xml:space="preserve"> </w:t>
      </w:r>
      <w:r>
        <w:t xml:space="preserve">benchmark for root cause analysis of microservice systems with telemetry</w:t>
      </w:r>
      <w:r>
        <w:t xml:space="preserve"> </w:t>
      </w:r>
      <w:r>
        <w:t xml:space="preserve">data," arXiv:2412.17015, 2024.</w:t>
      </w:r>
    </w:p>
    <w:p>
      <w:pPr>
        <w:pStyle w:val="BodyText"/>
      </w:pPr>
      <w:r>
        <w:t xml:space="preserve">[6] L. Zheng, Z. Chen, D. Wang, C. Deng, R. Matsuoka, and H. Chen,</w:t>
      </w:r>
      <w:r>
        <w:t xml:space="preserve"> </w:t>
      </w:r>
      <w:r>
        <w:t xml:space="preserve">"LEMMA-RCA: A large multi-modal multi-domain dataset for root cause</w:t>
      </w:r>
      <w:r>
        <w:t xml:space="preserve"> </w:t>
      </w:r>
      <w:r>
        <w:t xml:space="preserve">analysis," arXiv:2406.05375, 2024.</w:t>
      </w:r>
    </w:p>
    <w:p>
      <w:pPr>
        <w:pStyle w:val="BodyText"/>
      </w:pPr>
      <w:r>
        <w:t xml:space="preserve">[7] Y. Su, Y. Zhao, C. Niu, R. Liu, W. Sun, and D. Pei, "Robust</w:t>
      </w:r>
      <w:r>
        <w:t xml:space="preserve"> </w:t>
      </w:r>
      <w:r>
        <w:t xml:space="preserve">anomaly detection for multivariate time series via stochastic recurrent</w:t>
      </w:r>
      <w:r>
        <w:t xml:space="preserve"> </w:t>
      </w:r>
      <w:r>
        <w:t xml:space="preserve">neural network," in Proc. ACM SIGKDD, 2019.</w:t>
      </w:r>
    </w:p>
    <w:p>
      <w:pPr>
        <w:pStyle w:val="BodyText"/>
      </w:pPr>
      <w:r>
        <w:t xml:space="preserve">[8] P. Schummer, A. del Rio Ponce, J. Serrano Romero, D. Jimenez</w:t>
      </w:r>
      <w:r>
        <w:t xml:space="preserve"> </w:t>
      </w:r>
      <w:r>
        <w:t xml:space="preserve">Bermejo, G. Sanchez, and A. Llorente, "Machine learning-based network</w:t>
      </w:r>
      <w:r>
        <w:t xml:space="preserve"> </w:t>
      </w:r>
      <w:r>
        <w:t xml:space="preserve">anomaly detection: Design, implementation, and evaluation," AI (MDPI),</w:t>
      </w:r>
      <w:r>
        <w:t xml:space="preserve"> </w:t>
      </w:r>
      <w:r>
        <w:t xml:space="preserve">vol. 5, no. 4, art. 143, 2024.</w:t>
      </w:r>
    </w:p>
    <w:p>
      <w:pPr>
        <w:pStyle w:val="BodyText"/>
      </w:pPr>
      <w:r>
        <w:t xml:space="preserve">[9] K. Hundman, V. Constantinou, C. Laporte, I. Colwell, and T.</w:t>
      </w:r>
      <w:r>
        <w:t xml:space="preserve"> </w:t>
      </w:r>
      <w:r>
        <w:t xml:space="preserve">Soderstrom, "Detecting spacecraft anomalies using LSTMs and</w:t>
      </w:r>
      <w:r>
        <w:t xml:space="preserve"> </w:t>
      </w:r>
      <w:r>
        <w:t xml:space="preserve">nonparametric dynamic thresholding," in Proc. ACM SIGKDD, 2018.</w:t>
      </w:r>
    </w:p>
    <w:p>
      <w:pPr>
        <w:pStyle w:val="BodyText"/>
      </w:pPr>
      <w:r>
        <w:t xml:space="preserve">[10] Q. Wen et al., "Transformers in time series: A survey,"</w:t>
      </w:r>
      <w:r>
        <w:t xml:space="preserve"> </w:t>
      </w:r>
      <w:r>
        <w:t xml:space="preserve">arXiv:2202.07125, 2022.</w:t>
      </w:r>
    </w:p>
    <w:p>
      <w:pPr>
        <w:pStyle w:val="BodyText"/>
      </w:pPr>
      <w:r>
        <w:t xml:space="preserve">[11] S. Tuli, G. Casale, and N. R. Jennings, "TranAD: Deep</w:t>
      </w:r>
      <w:r>
        <w:t xml:space="preserve"> </w:t>
      </w:r>
      <w:r>
        <w:t xml:space="preserve">transformer networks for anomaly detection in multivariate time series</w:t>
      </w:r>
      <w:r>
        <w:t xml:space="preserve"> </w:t>
      </w:r>
      <w:r>
        <w:t xml:space="preserve">data," Proc. VLDB Endowment, vol. 15, no. 6, 2022.</w:t>
      </w:r>
    </w:p>
    <w:p>
      <w:pPr>
        <w:pStyle w:val="BodyText"/>
      </w:pPr>
      <w:r>
        <w:t xml:space="preserve">[12] A. Hasan, C. Boeira, K. Papry, Y. Ju, Z. Zhu, and I. Haque,</w:t>
      </w:r>
      <w:r>
        <w:t xml:space="preserve"> </w:t>
      </w:r>
      <w:r>
        <w:t xml:space="preserve">"Root cause analysis of anomalies in 5G RAN using graph neural network</w:t>
      </w:r>
      <w:r>
        <w:t xml:space="preserve"> </w:t>
      </w:r>
      <w:r>
        <w:t xml:space="preserve">and transformer," arXiv:2406.15638, 2024.</w:t>
      </w:r>
    </w:p>
    <w:p>
      <w:pPr>
        <w:pStyle w:val="BodyText"/>
      </w:pPr>
      <w:r>
        <w:t xml:space="preserve">[13] L. Wu, J. Tordsson, E. Elmroth, and O. Kao, "MicroRCA: Root</w:t>
      </w:r>
      <w:r>
        <w:t xml:space="preserve"> </w:t>
      </w:r>
      <w:r>
        <w:t xml:space="preserve">cause localization of performance issues in microservices," in Proc.</w:t>
      </w:r>
      <w:r>
        <w:t xml:space="preserve"> </w:t>
      </w:r>
      <w:r>
        <w:t xml:space="preserve">IEEE/IFIP NOMS, 2020.</w:t>
      </w:r>
    </w:p>
    <w:p>
      <w:pPr>
        <w:pStyle w:val="BodyText"/>
      </w:pPr>
      <w:r>
        <w:t xml:space="preserve">[14] A. Deng and B. Hooi, "Graph neural network-based anomaly</w:t>
      </w:r>
      <w:r>
        <w:t xml:space="preserve"> </w:t>
      </w:r>
      <w:r>
        <w:t xml:space="preserve">detection in multivariate time series," in Proc. AAAI, 2021.</w:t>
      </w:r>
    </w:p>
    <w:p>
      <w:pPr>
        <w:pStyle w:val="BodyText"/>
      </w:pPr>
      <w:r>
        <w:t xml:space="preserve">[15] C.-M. Lin, C. Chang, W.-Y. Wang, K.-D. Wang, and W.-C. Peng,</w:t>
      </w:r>
      <w:r>
        <w:t xml:space="preserve"> </w:t>
      </w:r>
      <w:r>
        <w:t xml:space="preserve">"Root cause analysis in microservice using neural Granger causal</w:t>
      </w:r>
      <w:r>
        <w:t xml:space="preserve"> </w:t>
      </w:r>
      <w:r>
        <w:t xml:space="preserve">discovery," in Proc. AAAI, 2024. arXiv:2402.01140.</w:t>
      </w:r>
    </w:p>
    <w:p>
      <w:pPr>
        <w:pStyle w:val="BodyText"/>
      </w:pPr>
      <w:r>
        <w:t xml:space="preserve">[16] L. Pham, H. Ha, and H. Zhang, "Root cause analysis for</w:t>
      </w:r>
      <w:r>
        <w:t xml:space="preserve"> </w:t>
      </w:r>
      <w:r>
        <w:t xml:space="preserve">microservice system based on causal inference: How far are we?,"</w:t>
      </w:r>
      <w:r>
        <w:t xml:space="preserve"> </w:t>
      </w:r>
      <w:r>
        <w:t xml:space="preserve">arXiv:2408.13729, 2024.</w:t>
      </w:r>
    </w:p>
    <w:p>
      <w:pPr>
        <w:pStyle w:val="BodyText"/>
      </w:pPr>
      <w:r>
        <w:t xml:space="preserve">[17] A. Shan, J. Kaur, R. Singh, T. Banka, R. Yavatkar, and T.</w:t>
      </w:r>
      <w:r>
        <w:t xml:space="preserve"> </w:t>
      </w:r>
      <w:r>
        <w:t xml:space="preserve">Sridhar, "RCA Copilot: Transforming network data into actionable</w:t>
      </w:r>
      <w:r>
        <w:t xml:space="preserve"> </w:t>
      </w:r>
      <w:r>
        <w:t xml:space="preserve">insights via large language models," arXiv:2507.03224, 2025.</w:t>
      </w:r>
    </w:p>
    <w:p>
      <w:pPr>
        <w:pStyle w:val="BodyText"/>
      </w:pPr>
      <w:r>
        <w:t xml:space="preserve">[18] D. Roy et al., "Exploring LLM-based agents for root cause</w:t>
      </w:r>
      <w:r>
        <w:t xml:space="preserve"> </w:t>
      </w:r>
      <w:r>
        <w:t xml:space="preserve">analysis," arXiv:2403.04123, 2024.</w:t>
      </w:r>
    </w:p>
    <w:p>
      <w:pPr>
        <w:pStyle w:val="BodyText"/>
      </w:pPr>
      <w:r>
        <w:t xml:space="preserve">[19] A. Bellotti and X. Zhao, "Conformal prediction and trustworthy</w:t>
      </w:r>
      <w:r>
        <w:t xml:space="preserve"> </w:t>
      </w:r>
      <w:r>
        <w:t xml:space="preserve">AI," arXiv:2508.06885, 2025.</w:t>
      </w:r>
    </w:p>
    <w:p>
      <w:pPr>
        <w:pStyle w:val="BodyText"/>
      </w:pPr>
      <w:r>
        <w:t xml:space="preserve">[20] F. O. Catak, U. Cali, M. Kuzlu, and S. Sarp, "Uncertainty aware</w:t>
      </w:r>
      <w:r>
        <w:t xml:space="preserve"> </w:t>
      </w:r>
      <w:r>
        <w:t xml:space="preserve">deep learning model for secure and trustworthy channel estimation in 5G</w:t>
      </w:r>
      <w:r>
        <w:t xml:space="preserve"> </w:t>
      </w:r>
      <w:r>
        <w:t xml:space="preserve">networks," arXiv:2305.02741, 2023.</w:t>
      </w:r>
    </w:p>
    <w:p>
      <w:pPr>
        <w:pStyle w:val="BodyText"/>
      </w:pPr>
      <w:r>
        <w:t xml:space="preserve">[21] J. Kim, H. Maathuis, and D. Sent, "Human-centered evaluation of</w:t>
      </w:r>
      <w:r>
        <w:t xml:space="preserve"> </w:t>
      </w:r>
      <w:r>
        <w:t xml:space="preserve">explainable AI applications: A systematic review," Frontiers in</w:t>
      </w:r>
      <w:r>
        <w:t xml:space="preserve"> </w:t>
      </w:r>
      <w:r>
        <w:t xml:space="preserve">Artificial Intelligence, 2024.</w:t>
      </w:r>
    </w:p>
    <w:p>
      <w:pPr>
        <w:pStyle w:val="BodyText"/>
      </w:pPr>
      <w:r>
        <w:t xml:space="preserve">[22] S. Feng et al.,</w:t>
      </w:r>
      <w:r>
        <w:t xml:space="preserve"> </w:t>
      </w:r>
      <w:r>
        <w:t xml:space="preserve">“</w:t>
      </w:r>
      <w:r>
        <w:t xml:space="preserve">TelecomTS: A multimodal observability dataset for time series reasoning in telecom networks,</w:t>
      </w:r>
      <w:r>
        <w:t xml:space="preserve">”</w:t>
      </w:r>
      <w:r>
        <w:t xml:space="preserve"> </w:t>
      </w:r>
      <w:r>
        <w:t xml:space="preserve">arXiv:2510.06063, 2025.</w:t>
      </w:r>
    </w:p>
    <w:bookmarkEnd w:id="89"/>
    <w:sectPr w:rsidR="00FC693F" w:rsidRPr="0006063C" w:rsidSect="00034616">
      <w:type w:val="continuous"/>
      <w:pgSz w:h="15840" w:w="12240"/>
      <w:pgMar w:bottom="1440" w:footer="720" w:gutter="0" w:header="720" w:left="900" w:right="900" w:top="1080"/>
      <w:cols w:equalWidth="1"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0" w:before="0" w:line="240" w:lineRule="auto"/>
      <w:ind w:firstLine="288"/>
      <w:jc w:val="both"/>
    </w:pPr>
    <w:rPr>
      <w:rFonts w:ascii="Times New Roman" w:cs="Times New Roman" w:eastAsia="Times New Roman" w:hAnsi="Times New Roman"/>
      <w:b w:val="0"/>
      <w:i w:val="0"/>
      <w:color w:val="00000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40" w:line="240" w:lineRule="auto"/>
      <w:jc w:val="center"/>
      <w:outlineLvl w:val="0"/>
    </w:pPr>
    <w:rPr>
      <w:rFonts w:ascii="Times New Roman" w:asciiTheme="majorHAnsi" w:cs="Times New Roman" w:cstheme="majorBidi" w:eastAsia="Times New Roman" w:eastAsiaTheme="majorEastAsia" w:hAnsi="Times New Roman" w:hAnsiTheme="majorHAnsi"/>
      <w:b w:val="0"/>
      <w:bCs/>
      <w:i w:val="0"/>
      <w:color w:val="000000"/>
      <w:sz w:val="20"/>
      <w:szCs w:val="28"/>
      <w:smallCaps w:val="1"/>
    </w:rPr>
  </w:style>
  <w:style w:styleId="Heading2" w:type="paragraph">
    <w:name w:val="heading 2"/>
    <w:basedOn w:val="Normal"/>
    <w:next w:val="Normal"/>
    <w:link w:val="Heading2Char"/>
    <w:uiPriority w:val="9"/>
    <w:unhideWhenUsed/>
    <w:qFormat/>
    <w:rsid w:val="00FC693F"/>
    <w:pPr>
      <w:keepNext/>
      <w:keepLines/>
      <w:widowControl/>
      <w:spacing w:after="60" w:before="160" w:line="240" w:lineRule="auto"/>
      <w:jc w:val="left"/>
      <w:outlineLvl w:val="1"/>
    </w:pPr>
    <w:rPr>
      <w:rFonts w:ascii="Times New Roman" w:asciiTheme="majorHAnsi" w:cs="Times New Roman" w:cstheme="majorBidi" w:eastAsia="Times New Roman" w:eastAsiaTheme="majorEastAsia" w:hAnsi="Times New Roman" w:hAnsiTheme="majorHAnsi"/>
      <w:b w:val="0"/>
      <w:bCs/>
      <w:i/>
      <w:color w:val="000000"/>
      <w:sz w:val="20"/>
      <w:szCs w:val="26"/>
    </w:rPr>
  </w:style>
  <w:style w:styleId="Heading3" w:type="paragraph">
    <w:name w:val="heading 3"/>
    <w:basedOn w:val="Normal"/>
    <w:next w:val="Normal"/>
    <w:link w:val="Heading3Char"/>
    <w:uiPriority w:val="9"/>
    <w:unhideWhenUsed/>
    <w:qFormat/>
    <w:rsid w:val="00FC693F"/>
    <w:pPr>
      <w:keepNext/>
      <w:keepLines/>
      <w:widowControl/>
      <w:spacing w:after="40" w:before="120" w:line="240" w:lineRule="auto"/>
      <w:ind w:firstLine="288"/>
      <w:jc w:val="left"/>
      <w:outlineLvl w:val="2"/>
    </w:pPr>
    <w:rPr>
      <w:rFonts w:ascii="Times New Roman" w:asciiTheme="majorHAnsi" w:cs="Times New Roman" w:cstheme="majorBidi" w:eastAsia="Times New Roman" w:eastAsiaTheme="majorEastAsia" w:hAnsi="Times New Roman" w:hAnsiTheme="majorHAnsi"/>
      <w:b w:val="0"/>
      <w:bCs/>
      <w:i/>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0" w:before="0" w:line="240" w:lineRule="auto"/>
      <w:ind w:firstLine="288"/>
      <w:jc w:val="both"/>
    </w:pPr>
    <w:rPr>
      <w:rFonts w:ascii="Times New Roman" w:cs="Times New Roman" w:eastAsia="Times New Roman" w:hAnsi="Times New Roman"/>
      <w:b w:val="0"/>
      <w:i w:val="0"/>
      <w:color w:val="00000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keepNext w:val="0"/>
      <w:widowControl/>
      <w:spacing w:after="0" w:before="0" w:line="240" w:lineRule="auto"/>
      <w:jc w:val="both"/>
    </w:pPr>
    <w:rPr>
      <w:rFonts w:ascii="Times New Roman" w:cs="Times New Roman" w:eastAsia="Times New Roman" w:hAnsi="Times New Roman"/>
      <w:b w:val="0"/>
      <w:i w:val="0"/>
      <w:color w:val="000000"/>
      <w:sz w:val="20"/>
    </w:rPr>
  </w:style>
  <w:style w:customStyle="1" w:styleId="Compact" w:type="paragraph">
    <w:name w:val="Compact"/>
    <w:basedOn w:val="Normal"/>
    <w:pPr>
      <w:keepNext w:val="0"/>
      <w:widowControl/>
      <w:spacing w:after="0" w:before="0" w:line="240" w:lineRule="auto"/>
      <w:ind w:firstLine="288"/>
      <w:jc w:val="both"/>
    </w:pPr>
    <w:rPr>
      <w:rFonts w:ascii="Times New Roman" w:cs="Times New Roman" w:eastAsia="Times New Roman" w:hAnsi="Times New Roman"/>
      <w:b w:val="0"/>
      <w:i w:val="0"/>
      <w:color w:val="000000"/>
      <w:sz w:val="20"/>
    </w:rPr>
  </w:style>
  <w:style w:customStyle="1" w:styleId="ImageCaption" w:type="paragraph">
    <w:name w:val="Image Caption"/>
    <w:basedOn w:val="Normal"/>
    <w:pPr>
      <w:keepNext w:val="0"/>
      <w:widowControl/>
      <w:spacing w:after="200" w:before="120" w:line="240" w:lineRule="auto"/>
      <w:jc w:val="left"/>
    </w:pPr>
    <w:rPr>
      <w:rFonts w:ascii="Times New Roman" w:cs="Times New Roman" w:eastAsia="Times New Roman" w:hAnsi="Times New Roman"/>
      <w:b w:val="0"/>
      <w:i w:val="0"/>
      <w:color w:val="000000"/>
      <w:sz w:val="16"/>
    </w:rPr>
  </w:style>
  <w:style w:customStyle="1" w:styleId="TableCaption" w:type="paragraph">
    <w:name w:val="Table Caption"/>
    <w:basedOn w:val="Normal"/>
    <w:pPr>
      <w:keepNext w:val="0"/>
      <w:widowControl/>
      <w:spacing w:after="60" w:before="160" w:line="240" w:lineRule="auto"/>
      <w:jc w:val="left"/>
    </w:pPr>
    <w:rPr>
      <w:rFonts w:ascii="Times New Roman" w:cs="Times New Roman" w:eastAsia="Times New Roman" w:hAnsi="Times New Roman"/>
      <w:b w:val="0"/>
      <w:i w:val="0"/>
      <w:color w:val="000000"/>
      <w:sz w:val="16"/>
    </w:rPr>
  </w:style>
  <w:style w:customStyle="1" w:styleId="Bibliography" w:type="paragraph">
    <w:name w:val="Bibliography"/>
    <w:basedOn w:val="Normal"/>
    <w:pPr>
      <w:keepNext w:val="0"/>
      <w:widowControl/>
      <w:spacing w:after="40" w:before="0" w:line="240" w:lineRule="auto"/>
      <w:ind w:hanging="317" w:left="317"/>
      <w:jc w:val="both"/>
    </w:pPr>
    <w:rPr>
      <w:rFonts w:ascii="Times New Roman" w:cs="Times New Roman" w:eastAsia="Times New Roman" w:hAnsi="Times New Roman"/>
      <w:b w:val="0"/>
      <w:i w:val="0"/>
      <w:color w:val="000000"/>
      <w:sz w:val="16"/>
    </w:rPr>
  </w:style>
  <w:style w:customStyle="1" w:styleId="IEEETitle" w:type="paragraph">
    <w:name w:val="IEEE Title"/>
    <w:basedOn w:val="Normal"/>
    <w:pPr>
      <w:keepNext w:val="0"/>
      <w:widowControl/>
      <w:spacing w:after="160" w:before="0" w:line="240" w:lineRule="auto"/>
      <w:jc w:val="center"/>
    </w:pPr>
    <w:rPr>
      <w:rFonts w:ascii="Times New Roman" w:cs="Times New Roman" w:eastAsia="Times New Roman" w:hAnsi="Times New Roman"/>
      <w:b w:val="0"/>
      <w:i w:val="0"/>
      <w:color w:val="000000"/>
      <w:sz w:val="48"/>
    </w:rPr>
  </w:style>
  <w:style w:customStyle="1" w:styleId="IEEEAuthor" w:type="paragraph">
    <w:name w:val="IEEE Author"/>
    <w:basedOn w:val="Normal"/>
    <w:pPr>
      <w:keepNext w:val="0"/>
      <w:widowControl/>
      <w:spacing w:after="80" w:before="0" w:line="240" w:lineRule="auto"/>
      <w:jc w:val="center"/>
    </w:pPr>
    <w:rPr>
      <w:rFonts w:ascii="Times New Roman" w:cs="Times New Roman" w:eastAsia="Times New Roman" w:hAnsi="Times New Roman"/>
      <w:b w:val="0"/>
      <w:i w:val="0"/>
      <w:color w:val="000000"/>
      <w:sz w:val="22"/>
    </w:rPr>
  </w:style>
  <w:style w:customStyle="1" w:styleId="IEEEAffil" w:type="paragraph">
    <w:name w:val="IEEE Affil"/>
    <w:basedOn w:val="Normal"/>
    <w:pPr>
      <w:keepNext w:val="0"/>
      <w:widowControl/>
      <w:spacing w:after="280" w:before="0" w:line="240" w:lineRule="auto"/>
      <w:jc w:val="center"/>
    </w:pPr>
    <w:rPr>
      <w:rFonts w:ascii="Times New Roman" w:cs="Times New Roman" w:eastAsia="Times New Roman" w:hAnsi="Times New Roman"/>
      <w:b w:val="0"/>
      <w:i/>
      <w:color w:val="000000"/>
      <w:sz w:val="18"/>
    </w:rPr>
  </w:style>
  <w:style w:customStyle="1" w:styleId="IEEEAbstract" w:type="paragraph">
    <w:name w:val="IEEE Abstract"/>
    <w:basedOn w:val="Normal"/>
    <w:pPr>
      <w:keepNext w:val="0"/>
      <w:widowControl/>
      <w:spacing w:after="120" w:before="0" w:line="240" w:lineRule="auto"/>
      <w:ind w:firstLine="288"/>
      <w:jc w:val="both"/>
    </w:pPr>
    <w:rPr>
      <w:rFonts w:ascii="Times New Roman" w:cs="Times New Roman" w:eastAsia="Times New Roman" w:hAnsi="Times New Roman"/>
      <w:b/>
      <w:i w:val="0"/>
      <w:color w:val="000000"/>
      <w:sz w:val="18"/>
    </w:rPr>
  </w:style>
  <w:style w:customStyle="1" w:styleId="IEEETerms" w:type="paragraph">
    <w:name w:val="IEEE Terms"/>
    <w:basedOn w:val="Normal"/>
    <w:pPr>
      <w:keepNext w:val="0"/>
      <w:widowControl/>
      <w:spacing w:after="200" w:before="0" w:line="240" w:lineRule="auto"/>
      <w:ind w:firstLine="288"/>
      <w:jc w:val="both"/>
    </w:pPr>
    <w:rPr>
      <w:rFonts w:ascii="Times New Roman" w:cs="Times New Roman" w:eastAsia="Times New Roman" w:hAnsi="Times New Roman"/>
      <w:b/>
      <w:i/>
      <w:color w:val="000000"/>
      <w:sz w:val="18"/>
    </w:rPr>
  </w:style>
  <w:style w:customStyle="1" w:styleId="VerbatimChar" w:type="character">
    <w:name w:val="VerbatimChar"/>
    <w:rPr>
      <w:rFonts w:ascii="Courier New" w:hAnsi="Courier New"/>
      <w:sz w:val="17"/>
      <w:rFonts w:ascii="Courier New" w:cs="Courier New" w:hAnsi="Courier Ne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79" Type="http://schemas.openxmlformats.org/officeDocument/2006/relationships/image" Target="media/rId79.png"/><Relationship Id="rId68" Type="http://schemas.openxmlformats.org/officeDocument/2006/relationships/image" Target="media/rId68.png"/><Relationship Id="rId27" Type="http://schemas.openxmlformats.org/officeDocument/2006/relationships/image" Target="media/rId27.png"/><Relationship Id="rId36" Type="http://schemas.openxmlformats.org/officeDocument/2006/relationships/image" Target="media/rId36.png"/><Relationship Id="rId46" Type="http://schemas.openxmlformats.org/officeDocument/2006/relationships/image" Target="media/rId46.png"/><Relationship Id="rId62" Type="http://schemas.openxmlformats.org/officeDocument/2006/relationships/image" Target="media/rId62.png"/><Relationship Id="rId55" Type="http://schemas.openxmlformats.org/officeDocument/2006/relationships/image" Target="media/rId55.png"/><Relationship Id="rId49" Type="http://schemas.openxmlformats.org/officeDocument/2006/relationships/image" Target="media/rId49.png"/><Relationship Id="rId65" Type="http://schemas.openxmlformats.org/officeDocument/2006/relationships/image" Target="media/rId65.png"/><Relationship Id="rId75" Type="http://schemas.openxmlformats.org/officeDocument/2006/relationships/image" Target="media/rId75.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2026-09-05T14:51:03Z</dcterms:created>
  <dcterms:modified xsi:type="dcterms:W3CDTF">2026-09-05T14:51:03Z</dcterms:modified>
</cp:coreProperties>
</file>

<file path=docProps/custom.xml><?xml version="1.0" encoding="utf-8"?>
<Properties xmlns="http://schemas.openxmlformats.org/officeDocument/2006/custom-properties" xmlns:vt="http://schemas.openxmlformats.org/officeDocument/2006/docPropsVTypes"/>
</file>