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Análisis CRC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Estación de Radio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utilizara en las clases, ya que es la entidad donde se encontrará el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donde se encontrará el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Músicos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sustituida por Artistas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Artista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agrupada por un solo campo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Sustituida para ser Artistas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Artista 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Canción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Álbumes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Álbum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Tablaturas de canciones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una funcionalidad, no una entidad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Género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 de nacimiento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Biografía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Sitio web del Artista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Album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 de lanzamiento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pistas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Estudio de Grabación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Estudio de Grabación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compañía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 la compañía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general, no puede ser una clase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canción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que le pertenece a la canción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 y le pertenece a la clase canción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pista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 y le pertenece a la clase canción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Abstracción clave candidata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 de la portada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atributo muy general y le pertenece a la clase canción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Seleccionado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