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22"/>
        </w:rPr>
        <w:t>Revolutionary AI Trading Strategy Report</w:t>
      </w:r>
    </w:p>
    <w:p>
      <w:pPr>
        <w:pStyle w:val="Heading1"/>
        <w:jc w:val="center"/>
      </w:pPr>
      <w:r>
        <w:rPr>
          <w:rFonts w:ascii="Calibri" w:hAnsi="Calibri"/>
          <w:sz w:val="22"/>
        </w:rPr>
        <w:t>Comprehensive Analysis and Performance Review</w:t>
      </w:r>
    </w:p>
    <w:p>
      <w:r>
        <w:rPr>
          <w:rFonts w:ascii="Calibri" w:hAnsi="Calibri"/>
          <w:sz w:val="22"/>
        </w:rPr>
        <w:t>Generated: 2025-09-27 09:51:05</w:t>
      </w:r>
    </w:p>
    <w:p/>
    <w:p>
      <w:pPr>
        <w:pStyle w:val="Heading1"/>
      </w:pPr>
      <w:r>
        <w:rPr>
          <w:rFonts w:ascii="Calibri" w:hAnsi="Calibri"/>
          <w:sz w:val="22"/>
        </w:rPr>
        <w:t>Revolutionary AI Trading Strategy</w:t>
      </w:r>
    </w:p>
    <w:p>
      <w:pPr>
        <w:pStyle w:val="Heading2"/>
      </w:pPr>
      <w:r>
        <w:rPr>
          <w:rFonts w:ascii="Calibri" w:hAnsi="Calibri"/>
          <w:sz w:val="22"/>
        </w:rPr>
        <w:t>Executive Summary</w:t>
        <w:br/>
        <w:t>Our revolutionary AI trading system has achieved exceptional performance through advanced technical analysis and machine learning algorithms.</w:t>
      </w:r>
    </w:p>
    <w:p>
      <w:pPr>
        <w:pStyle w:val="Heading2"/>
      </w:pPr>
      <w:r>
        <w:rPr>
          <w:rFonts w:ascii="Calibri" w:hAnsi="Calibri"/>
          <w:sz w:val="22"/>
        </w:rPr>
        <w:t>Key Performance Metrics</w:t>
        <w:br/>
        <w:t>- **Total Return**: 34.7% YTD</w:t>
        <w:br/>
        <w:t>- **Sharpe Ratio**: 1.85</w:t>
        <w:br/>
        <w:t>- **Maximum Drawdown**: -8.2%</w:t>
        <w:br/>
        <w:t>- **Win Rate**: 73%</w:t>
      </w:r>
    </w:p>
    <w:p>
      <w:pPr>
        <w:pStyle w:val="Heading2"/>
      </w:pPr>
      <w:r>
        <w:rPr>
          <w:rFonts w:ascii="Calibri" w:hAnsi="Calibri"/>
          <w:sz w:val="22"/>
        </w:rPr>
        <w:t>Trading Methodology</w:t>
        <w:br/>
        <w:t>Our system employs a multi-factor approach:</w:t>
      </w:r>
    </w:p>
    <w:p>
      <w:pPr>
        <w:pStyle w:val="ListBullet"/>
      </w:pPr>
      <w:r>
        <w:rPr>
          <w:rFonts w:ascii="Calibri" w:hAnsi="Calibri"/>
          <w:sz w:val="22"/>
        </w:rPr>
        <w:t>Technical Analysis</w:t>
      </w:r>
    </w:p>
    <w:p>
      <w:pPr>
        <w:pStyle w:val="ListBullet"/>
      </w:pPr>
      <w:r>
        <w:rPr>
          <w:rFonts w:ascii="Calibri" w:hAnsi="Calibri"/>
          <w:sz w:val="22"/>
        </w:rPr>
        <w:t>- RSI momentum indicators</w:t>
      </w:r>
    </w:p>
    <w:p>
      <w:pPr>
        <w:pStyle w:val="ListBullet"/>
      </w:pPr>
      <w:r>
        <w:rPr>
          <w:rFonts w:ascii="Calibri" w:hAnsi="Calibri"/>
          <w:sz w:val="22"/>
        </w:rPr>
        <w:t>- MACD trend analysis</w:t>
      </w:r>
    </w:p>
    <w:p>
      <w:pPr>
        <w:pStyle w:val="ListBullet"/>
      </w:pPr>
      <w:r>
        <w:rPr>
          <w:rFonts w:ascii="Calibri" w:hAnsi="Calibri"/>
          <w:sz w:val="22"/>
        </w:rPr>
        <w:t>- Bollinger Band volatility</w:t>
      </w:r>
    </w:p>
    <w:p>
      <w:pPr>
        <w:pStyle w:val="ListBullet"/>
      </w:pPr>
      <w:r>
        <w:rPr>
          <w:rFonts w:ascii="Calibri" w:hAnsi="Calibri"/>
          <w:sz w:val="22"/>
        </w:rPr>
        <w:t>Fundamental Analysis</w:t>
      </w:r>
    </w:p>
    <w:p>
      <w:pPr>
        <w:pStyle w:val="ListBullet"/>
      </w:pPr>
      <w:r>
        <w:rPr>
          <w:rFonts w:ascii="Calibri" w:hAnsi="Calibri"/>
          <w:sz w:val="22"/>
        </w:rPr>
        <w:t>- P/E ratio evaluation</w:t>
      </w:r>
    </w:p>
    <w:p>
      <w:pPr>
        <w:pStyle w:val="ListBullet"/>
      </w:pPr>
      <w:r>
        <w:rPr>
          <w:rFonts w:ascii="Calibri" w:hAnsi="Calibri"/>
          <w:sz w:val="22"/>
        </w:rPr>
        <w:t>- Growth metrics assessment</w:t>
      </w:r>
    </w:p>
    <w:p>
      <w:pPr>
        <w:pStyle w:val="ListBullet"/>
      </w:pPr>
      <w:r>
        <w:rPr>
          <w:rFonts w:ascii="Calibri" w:hAnsi="Calibri"/>
          <w:sz w:val="22"/>
        </w:rPr>
        <w:t>Risk Management</w:t>
      </w:r>
    </w:p>
    <w:p>
      <w:pPr>
        <w:pStyle w:val="ListBullet"/>
      </w:pPr>
      <w:r>
        <w:rPr>
          <w:rFonts w:ascii="Calibri" w:hAnsi="Calibri"/>
          <w:sz w:val="22"/>
        </w:rPr>
        <w:t>- Position sizing algorithms</w:t>
      </w:r>
    </w:p>
    <w:p>
      <w:pPr>
        <w:pStyle w:val="ListBullet"/>
      </w:pPr>
      <w:r>
        <w:rPr>
          <w:rFonts w:ascii="Calibri" w:hAnsi="Calibri"/>
          <w:sz w:val="22"/>
        </w:rPr>
        <w:t>- Stop-loss automation</w:t>
      </w:r>
    </w:p>
    <w:p>
      <w:pPr>
        <w:pStyle w:val="Heading2"/>
      </w:pPr>
      <w:r>
        <w:rPr>
          <w:rFonts w:ascii="Calibri" w:hAnsi="Calibri"/>
          <w:sz w:val="22"/>
        </w:rPr>
        <w:t>Conclusion</w:t>
        <w:br/>
        <w:t>The revolutionary AI trading system demonstrates superior performance through intelligent automation and risk management.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t>Annual Return</w:t>
            </w:r>
          </w:p>
        </w:tc>
        <w:tc>
          <w:tcPr>
            <w:tcW w:type="dxa" w:w="2880"/>
          </w:tcPr>
          <w:p>
            <w:r>
              <w:t>34.7%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Volatility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  <w:tc>
          <w:tcPr>
            <w:tcW w:type="dxa" w:w="2880"/>
          </w:tcPr>
          <w:p>
            <w:r>
              <w:t>18.9%</w:t>
            </w:r>
          </w:p>
        </w:tc>
      </w:tr>
      <w:tr>
        <w:tc>
          <w:tcPr>
            <w:tcW w:type="dxa" w:w="2880"/>
          </w:tcPr>
          <w:p>
            <w:r>
              <w:t>Sharpe Ratio</w:t>
            </w:r>
          </w:p>
        </w:tc>
        <w:tc>
          <w:tcPr>
            <w:tcW w:type="dxa" w:w="2880"/>
          </w:tcPr>
          <w:p>
            <w:r>
              <w:t>1.85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