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5E82" w14:textId="77777777" w:rsidR="002B7D8E" w:rsidRDefault="00000000">
      <w:pPr>
        <w:spacing w:after="100"/>
      </w:pPr>
      <w:r>
        <w:rPr>
          <w:b/>
          <w:bCs/>
          <w:sz w:val="32"/>
          <w:szCs w:val="32"/>
        </w:rPr>
        <w:t xml:space="preserve">Strategy Document: </w:t>
      </w:r>
      <w:r>
        <w:rPr>
          <w:b/>
          <w:bCs/>
          <w:color w:val="1F3864"/>
          <w:sz w:val="32"/>
          <w:szCs w:val="32"/>
        </w:rPr>
        <w:t>Open Banking in Canada — Threat/Opportunity Analysis for the Big Six</w:t>
      </w:r>
    </w:p>
    <w:p w14:paraId="2CA78615" w14:textId="77777777" w:rsidR="002B7D8E" w:rsidRDefault="00000000">
      <w:pPr>
        <w:spacing w:after="300"/>
      </w:pPr>
      <w:r>
        <w:rPr>
          <w:i/>
          <w:iCs/>
          <w:color w:val="595959"/>
        </w:rPr>
        <w:t>Portfolio project — mock engagement for demonstration purposes</w:t>
      </w:r>
    </w:p>
    <w:p w14:paraId="31CF99D7" w14:textId="77777777" w:rsidR="002B7D8E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Sign-off matrix: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7D8E" w14:paraId="3C0FC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1F3864"/>
          </w:tcPr>
          <w:p w14:paraId="044D8827" w14:textId="77777777" w:rsidR="002B7D8E" w:rsidRDefault="00000000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1650" w:type="pct"/>
            <w:shd w:val="clear" w:color="auto" w:fill="1F3864"/>
          </w:tcPr>
          <w:p w14:paraId="2D6CF8BE" w14:textId="77777777" w:rsidR="002B7D8E" w:rsidRDefault="00000000">
            <w:r>
              <w:rPr>
                <w:b/>
                <w:bCs/>
                <w:color w:val="FFFFFF"/>
                <w:sz w:val="22"/>
                <w:szCs w:val="22"/>
              </w:rPr>
              <w:t>Team / Role</w:t>
            </w:r>
          </w:p>
        </w:tc>
        <w:tc>
          <w:tcPr>
            <w:tcW w:w="1650" w:type="pct"/>
            <w:shd w:val="clear" w:color="auto" w:fill="1F3864"/>
          </w:tcPr>
          <w:p w14:paraId="488F49D2" w14:textId="77777777" w:rsidR="002B7D8E" w:rsidRDefault="00000000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2B7D8E" w14:paraId="63A8EDD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4EB339C" w14:textId="6BC5C9F7" w:rsidR="002B7D8E" w:rsidRDefault="002E5839">
            <w:r>
              <w:t>Jatin Sagwal</w:t>
            </w:r>
          </w:p>
        </w:tc>
        <w:tc>
          <w:tcPr>
            <w:tcW w:w="1650" w:type="pct"/>
          </w:tcPr>
          <w:p w14:paraId="0E27D080" w14:textId="6B6954E8" w:rsidR="002B7D8E" w:rsidRDefault="002E5839">
            <w:r>
              <w:t>Business Analyst</w:t>
            </w:r>
          </w:p>
        </w:tc>
        <w:tc>
          <w:tcPr>
            <w:tcW w:w="1650" w:type="pct"/>
          </w:tcPr>
          <w:p w14:paraId="28767666" w14:textId="3DA3C8A2" w:rsidR="002B7D8E" w:rsidRDefault="002E5839">
            <w:r>
              <w:t>14/07/2026</w:t>
            </w:r>
          </w:p>
        </w:tc>
      </w:tr>
      <w:tr w:rsidR="002B7D8E" w14:paraId="70347CE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2BA03B6" w14:textId="77777777" w:rsidR="002B7D8E" w:rsidRDefault="002B7D8E"/>
        </w:tc>
        <w:tc>
          <w:tcPr>
            <w:tcW w:w="1650" w:type="pct"/>
          </w:tcPr>
          <w:p w14:paraId="152D4173" w14:textId="77777777" w:rsidR="002B7D8E" w:rsidRDefault="002B7D8E"/>
        </w:tc>
        <w:tc>
          <w:tcPr>
            <w:tcW w:w="1650" w:type="pct"/>
          </w:tcPr>
          <w:p w14:paraId="04349493" w14:textId="77777777" w:rsidR="002B7D8E" w:rsidRDefault="002B7D8E"/>
        </w:tc>
      </w:tr>
      <w:tr w:rsidR="002B7D8E" w14:paraId="12868BC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8A992C6" w14:textId="77777777" w:rsidR="002B7D8E" w:rsidRDefault="002B7D8E"/>
        </w:tc>
        <w:tc>
          <w:tcPr>
            <w:tcW w:w="1650" w:type="pct"/>
          </w:tcPr>
          <w:p w14:paraId="0C708761" w14:textId="77777777" w:rsidR="002B7D8E" w:rsidRDefault="002B7D8E"/>
        </w:tc>
        <w:tc>
          <w:tcPr>
            <w:tcW w:w="1650" w:type="pct"/>
          </w:tcPr>
          <w:p w14:paraId="540658B9" w14:textId="77777777" w:rsidR="002B7D8E" w:rsidRDefault="002B7D8E"/>
        </w:tc>
      </w:tr>
    </w:tbl>
    <w:p w14:paraId="4EADDBBD" w14:textId="2387FDBA" w:rsidR="002B7D8E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Proposer: </w:t>
      </w:r>
      <w:r w:rsidR="002E5839">
        <w:rPr>
          <w:sz w:val="24"/>
          <w:szCs w:val="24"/>
        </w:rPr>
        <w:t>Jatin Sagwal</w:t>
      </w:r>
    </w:p>
    <w:p w14:paraId="7ED3B833" w14:textId="77777777" w:rsidR="002B7D8E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Status: </w:t>
      </w:r>
      <w:proofErr w:type="gramStart"/>
      <w:r>
        <w:rPr>
          <w:sz w:val="24"/>
          <w:szCs w:val="24"/>
        </w:rPr>
        <w:t>Draft  &gt;</w:t>
      </w:r>
      <w:proofErr w:type="gramEnd"/>
      <w:r>
        <w:rPr>
          <w:sz w:val="24"/>
          <w:szCs w:val="24"/>
        </w:rPr>
        <w:t xml:space="preserve">  Under </w:t>
      </w:r>
      <w:proofErr w:type="gramStart"/>
      <w:r>
        <w:rPr>
          <w:sz w:val="24"/>
          <w:szCs w:val="24"/>
        </w:rPr>
        <w:t>review  &gt;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Implemented  |</w:t>
      </w:r>
      <w:proofErr w:type="gramEnd"/>
      <w:r>
        <w:rPr>
          <w:sz w:val="24"/>
          <w:szCs w:val="24"/>
        </w:rPr>
        <w:t xml:space="preserve">  Not implemented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current status: Draft)</w:t>
      </w:r>
    </w:p>
    <w:p w14:paraId="1B4E74DD" w14:textId="77777777" w:rsidR="002B7D8E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Primary dataset: </w:t>
      </w:r>
      <w:r>
        <w:rPr>
          <w:sz w:val="24"/>
          <w:szCs w:val="24"/>
        </w:rPr>
        <w:t>Project data tracking workbook — Canada regulatory/market data (Canada Gazette, Open Banking Tracker, FinTech Magazine, SEDAR+ filings) and UK/US/Australia/India open banking adoption statistics (Open Banking Ltd, FDX/</w:t>
      </w:r>
      <w:proofErr w:type="spellStart"/>
      <w:r>
        <w:rPr>
          <w:sz w:val="24"/>
          <w:szCs w:val="24"/>
        </w:rPr>
        <w:t>CoinLaw</w:t>
      </w:r>
      <w:proofErr w:type="spellEnd"/>
      <w:r>
        <w:rPr>
          <w:sz w:val="24"/>
          <w:szCs w:val="24"/>
        </w:rPr>
        <w:t xml:space="preserve">, CDR.gov.au, </w:t>
      </w:r>
      <w:proofErr w:type="spellStart"/>
      <w:r>
        <w:rPr>
          <w:sz w:val="24"/>
          <w:szCs w:val="24"/>
        </w:rPr>
        <w:t>Sahamati</w:t>
      </w:r>
      <w:proofErr w:type="spellEnd"/>
      <w:r>
        <w:rPr>
          <w:sz w:val="24"/>
          <w:szCs w:val="24"/>
        </w:rPr>
        <w:t>).</w:t>
      </w:r>
    </w:p>
    <w:p w14:paraId="2BE61156" w14:textId="77777777" w:rsidR="002B7D8E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Secondary dataset: </w:t>
      </w:r>
      <w:r>
        <w:rPr>
          <w:sz w:val="24"/>
          <w:szCs w:val="24"/>
        </w:rPr>
        <w:t>Narrative/qualitative source log — trade press and industry-event coverage (Open Banking Expo, The Logic, McMillan LLP, Payments Association) used for competitive and regulatory context rather than quantitative modeling.</w:t>
      </w:r>
    </w:p>
    <w:p w14:paraId="3433DBEC" w14:textId="77777777" w:rsidR="002B7D8E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User Profiles</w:t>
      </w:r>
    </w:p>
    <w:p w14:paraId="4488B1BE" w14:textId="77777777" w:rsidR="002B7D8E" w:rsidRDefault="00000000">
      <w:pPr>
        <w:spacing w:after="160"/>
      </w:pPr>
      <w:r>
        <w:rPr>
          <w:sz w:val="22"/>
          <w:szCs w:val="22"/>
        </w:rPr>
        <w:t xml:space="preserve">The intended audience is Strategy &amp; Innovation leadership at a Big Six bank, along with Risk, Compliance, and Digital Banking leads. They are expected to use this dashboard in quarterly strategy reviews and ad hoc board-briefing prep — checking regulatory milestone status </w:t>
      </w:r>
      <w:proofErr w:type="gramStart"/>
      <w:r>
        <w:rPr>
          <w:sz w:val="22"/>
          <w:szCs w:val="22"/>
        </w:rPr>
        <w:t>at a glance</w:t>
      </w:r>
      <w:proofErr w:type="gramEnd"/>
      <w:r>
        <w:rPr>
          <w:sz w:val="22"/>
          <w:szCs w:val="22"/>
        </w:rPr>
        <w:t xml:space="preserve">, drilling into revenue-at-risk by product line when preparing investment cases, and comparing the bank's competitive posture (e.g., </w:t>
      </w:r>
      <w:proofErr w:type="spellStart"/>
      <w:r>
        <w:rPr>
          <w:sz w:val="22"/>
          <w:szCs w:val="22"/>
        </w:rPr>
        <w:t>Cor.Connect</w:t>
      </w:r>
      <w:proofErr w:type="spellEnd"/>
      <w:r>
        <w:rPr>
          <w:sz w:val="22"/>
          <w:szCs w:val="22"/>
        </w:rPr>
        <w:t xml:space="preserve"> participation) against peers. Usage is expected to be periodic (monthly/quarterly) rather than daily, so the dashboard should prioritize clarity and defensibility of each number over real-time refresh.</w:t>
      </w:r>
    </w:p>
    <w:p w14:paraId="4B17AB07" w14:textId="77777777" w:rsidR="002B7D8E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Dashboard Functionality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2B7D8E" w14:paraId="4D19B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</w:tcPr>
          <w:p w14:paraId="6608FFAF" w14:textId="77777777" w:rsidR="002B7D8E" w:rsidRDefault="00000000">
            <w:r>
              <w:rPr>
                <w:b/>
                <w:bCs/>
                <w:color w:val="FFFFFF"/>
                <w:sz w:val="22"/>
                <w:szCs w:val="22"/>
              </w:rPr>
              <w:t>Dashboard Feature</w:t>
            </w:r>
          </w:p>
        </w:tc>
        <w:tc>
          <w:tcPr>
            <w:tcW w:w="1500" w:type="pct"/>
            <w:shd w:val="clear" w:color="auto" w:fill="1F3864"/>
          </w:tcPr>
          <w:p w14:paraId="0245DC1B" w14:textId="77777777" w:rsidR="002B7D8E" w:rsidRDefault="00000000">
            <w:r>
              <w:rPr>
                <w:b/>
                <w:bCs/>
                <w:color w:val="FFFFFF"/>
                <w:sz w:val="22"/>
                <w:szCs w:val="22"/>
              </w:rPr>
              <w:t>Your Request</w:t>
            </w:r>
          </w:p>
        </w:tc>
      </w:tr>
      <w:tr w:rsidR="002B7D8E" w14:paraId="035C844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6DAD171B" w14:textId="77777777" w:rsidR="002B7D8E" w:rsidRDefault="00000000">
            <w:r>
              <w:rPr>
                <w:b/>
                <w:bCs/>
                <w:sz w:val="22"/>
                <w:szCs w:val="22"/>
              </w:rPr>
              <w:t>Reference dashboard</w:t>
            </w:r>
          </w:p>
        </w:tc>
        <w:tc>
          <w:tcPr>
            <w:tcW w:w="3500" w:type="pct"/>
          </w:tcPr>
          <w:p w14:paraId="245C48AB" w14:textId="77777777" w:rsidR="002B7D8E" w:rsidRDefault="00000000">
            <w:r>
              <w:rPr>
                <w:sz w:val="22"/>
                <w:szCs w:val="22"/>
              </w:rPr>
              <w:t xml:space="preserve">Loosely modeled on Open Banking </w:t>
            </w:r>
            <w:proofErr w:type="spellStart"/>
            <w:r>
              <w:rPr>
                <w:sz w:val="22"/>
                <w:szCs w:val="22"/>
              </w:rPr>
              <w:t>Ltd's</w:t>
            </w:r>
            <w:proofErr w:type="spellEnd"/>
            <w:r>
              <w:rPr>
                <w:sz w:val="22"/>
                <w:szCs w:val="22"/>
              </w:rPr>
              <w:t xml:space="preserve"> public API Performance dashboard (openbanking.org.uk/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-performance) for the regulatory-tracking panel, combined with a standard executive revenue-at-risk summary panel (single-page, KPI-tile-driven layout).</w:t>
            </w:r>
          </w:p>
        </w:tc>
      </w:tr>
      <w:tr w:rsidR="002B7D8E" w14:paraId="313A85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0F4BDF41" w14:textId="77777777" w:rsidR="002B7D8E" w:rsidRDefault="00000000">
            <w:r>
              <w:rPr>
                <w:b/>
                <w:bCs/>
                <w:sz w:val="22"/>
                <w:szCs w:val="22"/>
              </w:rPr>
              <w:t>Access</w:t>
            </w:r>
          </w:p>
        </w:tc>
        <w:tc>
          <w:tcPr>
            <w:tcW w:w="3500" w:type="pct"/>
          </w:tcPr>
          <w:p w14:paraId="6CC08851" w14:textId="77777777" w:rsidR="002B7D8E" w:rsidRDefault="00000000">
            <w:r>
              <w:rPr>
                <w:sz w:val="22"/>
                <w:szCs w:val="22"/>
              </w:rPr>
              <w:t>Portfolio version: public, view-only (this is a demonstration project). In a real deployment: limited to Strategy, Risk, Compliance, and Digital Banking leadership.</w:t>
            </w:r>
          </w:p>
        </w:tc>
      </w:tr>
      <w:tr w:rsidR="002B7D8E" w14:paraId="0C2B7C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2D115C6A" w14:textId="77777777" w:rsidR="002B7D8E" w:rsidRDefault="00000000">
            <w:r>
              <w:rPr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3500" w:type="pct"/>
          </w:tcPr>
          <w:p w14:paraId="0E130ECD" w14:textId="77777777" w:rsidR="002B7D8E" w:rsidRDefault="00000000">
            <w:r>
              <w:rPr>
                <w:sz w:val="22"/>
                <w:szCs w:val="22"/>
              </w:rPr>
              <w:t>Included: Big Six retail banking segment, Canada regulatory timeline, UK/US/Australia adoption benchmarks, India/EU as contextual footnotes. Excluded: commercial/business banking, wealth management, and markets outside the five benchmarked countries.</w:t>
            </w:r>
          </w:p>
        </w:tc>
      </w:tr>
      <w:tr w:rsidR="002B7D8E" w14:paraId="0E952D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7B44E309" w14:textId="77777777" w:rsidR="002B7D8E" w:rsidRDefault="00000000">
            <w:r>
              <w:rPr>
                <w:b/>
                <w:bCs/>
                <w:sz w:val="22"/>
                <w:szCs w:val="22"/>
              </w:rPr>
              <w:lastRenderedPageBreak/>
              <w:t>Date filters and granularity</w:t>
            </w:r>
          </w:p>
        </w:tc>
        <w:tc>
          <w:tcPr>
            <w:tcW w:w="3500" w:type="pct"/>
          </w:tcPr>
          <w:p w14:paraId="1CC6B833" w14:textId="77777777" w:rsidR="002B7D8E" w:rsidRDefault="00000000">
            <w:r>
              <w:rPr>
                <w:sz w:val="22"/>
                <w:szCs w:val="22"/>
              </w:rPr>
              <w:t>Yes — a date range filter defaulting to 2018-present (to show full UK adoption history) with a granularity toggle (yearly / quarterly) for the adoption-curve chart. Canada panel defaults to 2026-2027 (the CDBA rollout window).</w:t>
            </w:r>
          </w:p>
        </w:tc>
      </w:tr>
    </w:tbl>
    <w:p w14:paraId="0C036C2D" w14:textId="77777777" w:rsidR="002B7D8E" w:rsidRDefault="00000000">
      <w:pPr>
        <w:pStyle w:val="Heading1"/>
        <w:spacing w:before="300" w:after="160"/>
      </w:pPr>
      <w:r>
        <w:rPr>
          <w:b/>
          <w:bCs/>
          <w:color w:val="1F3864"/>
          <w:sz w:val="30"/>
          <w:szCs w:val="30"/>
        </w:rPr>
        <w:t>Metrics and Charts</w:t>
      </w:r>
    </w:p>
    <w:p w14:paraId="7A59BE28" w14:textId="77777777" w:rsidR="002B7D8E" w:rsidRDefault="00000000">
      <w:pPr>
        <w:spacing w:after="160"/>
      </w:pPr>
      <w:r>
        <w:rPr>
          <w:sz w:val="22"/>
          <w:szCs w:val="22"/>
        </w:rPr>
        <w:t>Create a table for each chart to include in the dashboard.</w:t>
      </w:r>
    </w:p>
    <w:p w14:paraId="5FE0ED21" w14:textId="77777777" w:rsidR="002B7D8E" w:rsidRDefault="00000000">
      <w:pPr>
        <w:pStyle w:val="Heading3"/>
        <w:spacing w:before="240" w:after="100"/>
      </w:pPr>
      <w:r>
        <w:rPr>
          <w:b/>
          <w:bCs/>
        </w:rPr>
        <w:t>Chart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2B7D8E" w14:paraId="2952836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52F5FAB5" w14:textId="77777777" w:rsidR="002B7D8E" w:rsidRDefault="00000000">
            <w:r>
              <w:rPr>
                <w:b/>
                <w:bCs/>
                <w:sz w:val="22"/>
                <w:szCs w:val="22"/>
              </w:rPr>
              <w:t>Chart title</w:t>
            </w:r>
          </w:p>
        </w:tc>
        <w:tc>
          <w:tcPr>
            <w:tcW w:w="3500" w:type="pct"/>
          </w:tcPr>
          <w:p w14:paraId="419FC4ED" w14:textId="77777777" w:rsidR="002B7D8E" w:rsidRDefault="00000000">
            <w:r>
              <w:rPr>
                <w:sz w:val="22"/>
                <w:szCs w:val="22"/>
              </w:rPr>
              <w:t>Open Banking Adoption Curves: Canada Forecast vs. UK / US / Australia</w:t>
            </w:r>
          </w:p>
        </w:tc>
      </w:tr>
      <w:tr w:rsidR="002B7D8E" w14:paraId="2FC8CDF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5D87CEF2" w14:textId="77777777" w:rsidR="002B7D8E" w:rsidRDefault="00000000">
            <w:r>
              <w:rPr>
                <w:b/>
                <w:bCs/>
                <w:sz w:val="22"/>
                <w:szCs w:val="22"/>
              </w:rPr>
              <w:t>Chart type</w:t>
            </w:r>
          </w:p>
        </w:tc>
        <w:tc>
          <w:tcPr>
            <w:tcW w:w="3500" w:type="pct"/>
          </w:tcPr>
          <w:p w14:paraId="3E1B1386" w14:textId="77777777" w:rsidR="002B7D8E" w:rsidRDefault="00000000">
            <w:r>
              <w:rPr>
                <w:sz w:val="22"/>
                <w:szCs w:val="22"/>
              </w:rPr>
              <w:t>Multi-line time series chart (years since launch on x-axis, so curves are aligned regardless of calendar year).</w:t>
            </w:r>
          </w:p>
        </w:tc>
      </w:tr>
      <w:tr w:rsidR="002B7D8E" w14:paraId="176CAA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4591CE0D" w14:textId="77777777" w:rsidR="002B7D8E" w:rsidRDefault="00000000">
            <w:r>
              <w:rPr>
                <w:b/>
                <w:bCs/>
                <w:sz w:val="22"/>
                <w:szCs w:val="22"/>
              </w:rPr>
              <w:t>Dimension(s)</w:t>
            </w:r>
          </w:p>
        </w:tc>
        <w:tc>
          <w:tcPr>
            <w:tcW w:w="3500" w:type="pct"/>
          </w:tcPr>
          <w:p w14:paraId="059A9C59" w14:textId="77777777" w:rsidR="002B7D8E" w:rsidRDefault="00000000">
            <w:r>
              <w:rPr>
                <w:sz w:val="22"/>
                <w:szCs w:val="22"/>
              </w:rPr>
              <w:t>Country (UK, US, Australia, Canada-forecast), Years since launch.</w:t>
            </w:r>
          </w:p>
        </w:tc>
      </w:tr>
      <w:tr w:rsidR="002B7D8E" w14:paraId="5ED522A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3EDE2B03" w14:textId="77777777" w:rsidR="002B7D8E" w:rsidRDefault="00000000">
            <w:r>
              <w:rPr>
                <w:b/>
                <w:bCs/>
                <w:sz w:val="22"/>
                <w:szCs w:val="22"/>
              </w:rPr>
              <w:t>Metric(s)</w:t>
            </w:r>
          </w:p>
        </w:tc>
        <w:tc>
          <w:tcPr>
            <w:tcW w:w="3500" w:type="pct"/>
          </w:tcPr>
          <w:p w14:paraId="6C24E795" w14:textId="77777777" w:rsidR="002B7D8E" w:rsidRDefault="00000000">
            <w:r>
              <w:rPr>
                <w:sz w:val="22"/>
                <w:szCs w:val="22"/>
              </w:rPr>
              <w:t>Cumulative users/connections (UK), FDX connections (US), active CDR consumers (Australia), forecast adoption scenarios — conservative / base / optimistic (Canada).</w:t>
            </w:r>
          </w:p>
        </w:tc>
      </w:tr>
    </w:tbl>
    <w:p w14:paraId="319E8315" w14:textId="77777777" w:rsidR="002B7D8E" w:rsidRDefault="00000000">
      <w:pPr>
        <w:pStyle w:val="Heading3"/>
        <w:spacing w:before="240" w:after="100"/>
      </w:pPr>
      <w:r>
        <w:rPr>
          <w:b/>
          <w:bCs/>
        </w:rPr>
        <w:t>Chart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2B7D8E" w14:paraId="7B65FFC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29179B7D" w14:textId="77777777" w:rsidR="002B7D8E" w:rsidRDefault="00000000">
            <w:r>
              <w:rPr>
                <w:b/>
                <w:bCs/>
                <w:sz w:val="22"/>
                <w:szCs w:val="22"/>
              </w:rPr>
              <w:t>Chart title</w:t>
            </w:r>
          </w:p>
        </w:tc>
        <w:tc>
          <w:tcPr>
            <w:tcW w:w="3500" w:type="pct"/>
          </w:tcPr>
          <w:p w14:paraId="09B4E29B" w14:textId="77777777" w:rsidR="002B7D8E" w:rsidRDefault="00000000">
            <w:r>
              <w:rPr>
                <w:sz w:val="22"/>
                <w:szCs w:val="22"/>
              </w:rPr>
              <w:t>Estimated Revenue-at-Risk by Product Line (Big Six, Base Case Scenario)</w:t>
            </w:r>
          </w:p>
        </w:tc>
      </w:tr>
      <w:tr w:rsidR="002B7D8E" w14:paraId="6B08C4B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1311E988" w14:textId="77777777" w:rsidR="002B7D8E" w:rsidRDefault="00000000">
            <w:r>
              <w:rPr>
                <w:b/>
                <w:bCs/>
                <w:sz w:val="22"/>
                <w:szCs w:val="22"/>
              </w:rPr>
              <w:t>Chart type</w:t>
            </w:r>
          </w:p>
        </w:tc>
        <w:tc>
          <w:tcPr>
            <w:tcW w:w="3500" w:type="pct"/>
          </w:tcPr>
          <w:p w14:paraId="3138CC77" w14:textId="77777777" w:rsidR="002B7D8E" w:rsidRDefault="00000000">
            <w:r>
              <w:rPr>
                <w:sz w:val="22"/>
                <w:szCs w:val="22"/>
              </w:rPr>
              <w:t>Stacked bar chart.</w:t>
            </w:r>
          </w:p>
        </w:tc>
      </w:tr>
      <w:tr w:rsidR="002B7D8E" w14:paraId="6B81819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4A6EEE34" w14:textId="77777777" w:rsidR="002B7D8E" w:rsidRDefault="00000000">
            <w:r>
              <w:rPr>
                <w:b/>
                <w:bCs/>
                <w:sz w:val="22"/>
                <w:szCs w:val="22"/>
              </w:rPr>
              <w:t>Dimension(s)</w:t>
            </w:r>
          </w:p>
        </w:tc>
        <w:tc>
          <w:tcPr>
            <w:tcW w:w="3500" w:type="pct"/>
          </w:tcPr>
          <w:p w14:paraId="1CB51F61" w14:textId="77777777" w:rsidR="002B7D8E" w:rsidRDefault="00000000">
            <w:r>
              <w:rPr>
                <w:sz w:val="22"/>
                <w:szCs w:val="22"/>
              </w:rPr>
              <w:t>Product line (payments, lending, deposits/account fees), Bank (representative Big Six bank or aggregate).</w:t>
            </w:r>
          </w:p>
        </w:tc>
      </w:tr>
      <w:tr w:rsidR="002B7D8E" w14:paraId="45C767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62553DEB" w14:textId="77777777" w:rsidR="002B7D8E" w:rsidRDefault="00000000">
            <w:r>
              <w:rPr>
                <w:b/>
                <w:bCs/>
                <w:sz w:val="22"/>
                <w:szCs w:val="22"/>
              </w:rPr>
              <w:t>Metric(s)</w:t>
            </w:r>
          </w:p>
        </w:tc>
        <w:tc>
          <w:tcPr>
            <w:tcW w:w="3500" w:type="pct"/>
          </w:tcPr>
          <w:p w14:paraId="7B3545E5" w14:textId="77777777" w:rsidR="002B7D8E" w:rsidRDefault="00000000">
            <w:r>
              <w:rPr>
                <w:sz w:val="22"/>
                <w:szCs w:val="22"/>
              </w:rPr>
              <w:t>Estimated CAD revenue at risk under base-case adoption scenario, as % of total segment revenue.</w:t>
            </w:r>
          </w:p>
        </w:tc>
      </w:tr>
    </w:tbl>
    <w:p w14:paraId="0DCBA65E" w14:textId="77777777" w:rsidR="002B7D8E" w:rsidRDefault="00000000">
      <w:pPr>
        <w:pStyle w:val="Heading3"/>
        <w:spacing w:before="240" w:after="100"/>
      </w:pPr>
      <w:r>
        <w:rPr>
          <w:b/>
          <w:bCs/>
        </w:rPr>
        <w:t>Chart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2B7D8E" w14:paraId="6FFFE6C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58BA2E07" w14:textId="77777777" w:rsidR="002B7D8E" w:rsidRDefault="00000000">
            <w:r>
              <w:rPr>
                <w:b/>
                <w:bCs/>
                <w:sz w:val="22"/>
                <w:szCs w:val="22"/>
              </w:rPr>
              <w:t>Chart title</w:t>
            </w:r>
          </w:p>
        </w:tc>
        <w:tc>
          <w:tcPr>
            <w:tcW w:w="3500" w:type="pct"/>
          </w:tcPr>
          <w:p w14:paraId="7984A020" w14:textId="77777777" w:rsidR="002B7D8E" w:rsidRDefault="00000000">
            <w:r>
              <w:rPr>
                <w:sz w:val="22"/>
                <w:szCs w:val="22"/>
              </w:rPr>
              <w:t>CDBA Regulatory Milestone Tracker</w:t>
            </w:r>
          </w:p>
        </w:tc>
      </w:tr>
      <w:tr w:rsidR="002B7D8E" w14:paraId="693059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47465E5A" w14:textId="77777777" w:rsidR="002B7D8E" w:rsidRDefault="00000000">
            <w:r>
              <w:rPr>
                <w:b/>
                <w:bCs/>
                <w:sz w:val="22"/>
                <w:szCs w:val="22"/>
              </w:rPr>
              <w:t>Chart type</w:t>
            </w:r>
          </w:p>
        </w:tc>
        <w:tc>
          <w:tcPr>
            <w:tcW w:w="3500" w:type="pct"/>
          </w:tcPr>
          <w:p w14:paraId="719E83BA" w14:textId="77777777" w:rsidR="002B7D8E" w:rsidRDefault="00000000">
            <w:r>
              <w:rPr>
                <w:sz w:val="22"/>
                <w:szCs w:val="22"/>
              </w:rPr>
              <w:t>Horizontal timeline / Gantt-style milestone chart.</w:t>
            </w:r>
          </w:p>
        </w:tc>
      </w:tr>
      <w:tr w:rsidR="002B7D8E" w14:paraId="2D50B0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7ED42F17" w14:textId="77777777" w:rsidR="002B7D8E" w:rsidRDefault="00000000">
            <w:r>
              <w:rPr>
                <w:b/>
                <w:bCs/>
                <w:sz w:val="22"/>
                <w:szCs w:val="22"/>
              </w:rPr>
              <w:t>Dimension(s)</w:t>
            </w:r>
          </w:p>
        </w:tc>
        <w:tc>
          <w:tcPr>
            <w:tcW w:w="3500" w:type="pct"/>
          </w:tcPr>
          <w:p w14:paraId="2D1F857C" w14:textId="77777777" w:rsidR="002B7D8E" w:rsidRDefault="00000000">
            <w:r>
              <w:rPr>
                <w:sz w:val="22"/>
                <w:szCs w:val="22"/>
              </w:rPr>
              <w:t>Milestone (Royal Assent, Phase 1 read-access, Phase 2 write-access/payments), Status (complete / in progress / upcoming).</w:t>
            </w:r>
          </w:p>
        </w:tc>
      </w:tr>
      <w:tr w:rsidR="002B7D8E" w14:paraId="0724AA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0B9F5301" w14:textId="77777777" w:rsidR="002B7D8E" w:rsidRDefault="00000000">
            <w:r>
              <w:rPr>
                <w:b/>
                <w:bCs/>
                <w:sz w:val="22"/>
                <w:szCs w:val="22"/>
              </w:rPr>
              <w:t>Metric(s)</w:t>
            </w:r>
          </w:p>
        </w:tc>
        <w:tc>
          <w:tcPr>
            <w:tcW w:w="3500" w:type="pct"/>
          </w:tcPr>
          <w:p w14:paraId="7A4012F8" w14:textId="77777777" w:rsidR="002B7D8E" w:rsidRDefault="00000000">
            <w:r>
              <w:rPr>
                <w:sz w:val="22"/>
                <w:szCs w:val="22"/>
              </w:rPr>
              <w:t>Target date, days remaining to next milestone.</w:t>
            </w:r>
          </w:p>
        </w:tc>
      </w:tr>
    </w:tbl>
    <w:p w14:paraId="24AD0A3A" w14:textId="77777777" w:rsidR="002B7D8E" w:rsidRDefault="00000000">
      <w:pPr>
        <w:pStyle w:val="Heading3"/>
        <w:spacing w:before="240" w:after="100"/>
      </w:pPr>
      <w:r>
        <w:rPr>
          <w:b/>
          <w:bCs/>
        </w:rPr>
        <w:t>Chart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2B7D8E" w14:paraId="2507DF6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1D6E08DF" w14:textId="77777777" w:rsidR="002B7D8E" w:rsidRDefault="00000000">
            <w:r>
              <w:rPr>
                <w:b/>
                <w:bCs/>
                <w:sz w:val="22"/>
                <w:szCs w:val="22"/>
              </w:rPr>
              <w:t>Chart title</w:t>
            </w:r>
          </w:p>
        </w:tc>
        <w:tc>
          <w:tcPr>
            <w:tcW w:w="3500" w:type="pct"/>
          </w:tcPr>
          <w:p w14:paraId="21571686" w14:textId="77777777" w:rsidR="002B7D8E" w:rsidRDefault="00000000">
            <w:r>
              <w:rPr>
                <w:sz w:val="22"/>
                <w:szCs w:val="22"/>
              </w:rPr>
              <w:t>Big Six Strategic Posture Map</w:t>
            </w:r>
          </w:p>
        </w:tc>
      </w:tr>
      <w:tr w:rsidR="002B7D8E" w14:paraId="2C90EE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3A12729F" w14:textId="77777777" w:rsidR="002B7D8E" w:rsidRDefault="00000000">
            <w:r>
              <w:rPr>
                <w:b/>
                <w:bCs/>
                <w:sz w:val="22"/>
                <w:szCs w:val="22"/>
              </w:rPr>
              <w:t>Chart type</w:t>
            </w:r>
          </w:p>
        </w:tc>
        <w:tc>
          <w:tcPr>
            <w:tcW w:w="3500" w:type="pct"/>
          </w:tcPr>
          <w:p w14:paraId="70C40F6E" w14:textId="77777777" w:rsidR="002B7D8E" w:rsidRDefault="00000000">
            <w:r>
              <w:rPr>
                <w:sz w:val="22"/>
                <w:szCs w:val="22"/>
              </w:rPr>
              <w:t>Quadrant / matrix chart.</w:t>
            </w:r>
          </w:p>
        </w:tc>
      </w:tr>
      <w:tr w:rsidR="002B7D8E" w14:paraId="61F540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4F22B0C8" w14:textId="77777777" w:rsidR="002B7D8E" w:rsidRDefault="00000000">
            <w:r>
              <w:rPr>
                <w:b/>
                <w:bCs/>
                <w:sz w:val="22"/>
                <w:szCs w:val="22"/>
              </w:rPr>
              <w:t>Dimension(s)</w:t>
            </w:r>
          </w:p>
        </w:tc>
        <w:tc>
          <w:tcPr>
            <w:tcW w:w="3500" w:type="pct"/>
          </w:tcPr>
          <w:p w14:paraId="00E4BB62" w14:textId="77777777" w:rsidR="002B7D8E" w:rsidRDefault="00000000">
            <w:r>
              <w:rPr>
                <w:sz w:val="22"/>
                <w:szCs w:val="22"/>
              </w:rPr>
              <w:t>Bank (RBC, TD, BMO, CIBC, Scotiabank/Tangerine, National Bank).</w:t>
            </w:r>
          </w:p>
        </w:tc>
      </w:tr>
      <w:tr w:rsidR="002B7D8E" w14:paraId="68C0118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9E1F2"/>
          </w:tcPr>
          <w:p w14:paraId="18A8B9FB" w14:textId="77777777" w:rsidR="002B7D8E" w:rsidRDefault="00000000">
            <w:r>
              <w:rPr>
                <w:b/>
                <w:bCs/>
                <w:sz w:val="22"/>
                <w:szCs w:val="22"/>
              </w:rPr>
              <w:t>Metric(s)</w:t>
            </w:r>
          </w:p>
        </w:tc>
        <w:tc>
          <w:tcPr>
            <w:tcW w:w="3500" w:type="pct"/>
          </w:tcPr>
          <w:p w14:paraId="1BF38849" w14:textId="77777777" w:rsidR="002B7D8E" w:rsidRDefault="00000000">
            <w:r>
              <w:rPr>
                <w:sz w:val="22"/>
                <w:szCs w:val="22"/>
              </w:rPr>
              <w:t>Axis 1: Public commitment level (low to high, based on disclosed statements/JV participation). Axis 2: Digital/fintech exposure (estimated share of digital-native customer base).</w:t>
            </w:r>
          </w:p>
        </w:tc>
      </w:tr>
    </w:tbl>
    <w:p w14:paraId="2B6DBDBD" w14:textId="77777777" w:rsidR="002B7D8E" w:rsidRDefault="00000000">
      <w:pPr>
        <w:pStyle w:val="Heading3"/>
        <w:spacing w:before="240" w:after="100"/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mockup</w:t>
      </w:r>
      <w:proofErr w:type="spellEnd"/>
    </w:p>
    <w:p w14:paraId="2C14D700" w14:textId="77777777" w:rsidR="002B7D8E" w:rsidRDefault="00000000">
      <w:pPr>
        <w:spacing w:after="160"/>
      </w:pPr>
      <w:r>
        <w:rPr>
          <w:sz w:val="22"/>
          <w:szCs w:val="22"/>
        </w:rPr>
        <w:t xml:space="preserve">[Wireframe sketch to be inserted once layout is finalized: top row = KPI tiles (at-risk population, days to Phase 1, estimated revenue-at-risk); middle = adoption curve chart (Chart 1) and milestone tracker (Chart </w:t>
      </w:r>
      <w:r>
        <w:rPr>
          <w:sz w:val="22"/>
          <w:szCs w:val="22"/>
        </w:rPr>
        <w:lastRenderedPageBreak/>
        <w:t>3) side by side; bottom = revenue-at-risk breakdown (Chart 2) and strategic posture map (Chart 4) side by side.]</w:t>
      </w:r>
    </w:p>
    <w:sectPr w:rsidR="002B7D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D7114"/>
    <w:multiLevelType w:val="hybridMultilevel"/>
    <w:tmpl w:val="DE7E3928"/>
    <w:lvl w:ilvl="0" w:tplc="34143E5E">
      <w:start w:val="1"/>
      <w:numFmt w:val="bullet"/>
      <w:lvlText w:val="●"/>
      <w:lvlJc w:val="left"/>
      <w:pPr>
        <w:ind w:left="720" w:hanging="360"/>
      </w:pPr>
    </w:lvl>
    <w:lvl w:ilvl="1" w:tplc="2096702E">
      <w:start w:val="1"/>
      <w:numFmt w:val="bullet"/>
      <w:lvlText w:val="○"/>
      <w:lvlJc w:val="left"/>
      <w:pPr>
        <w:ind w:left="1440" w:hanging="360"/>
      </w:pPr>
    </w:lvl>
    <w:lvl w:ilvl="2" w:tplc="322AE21E">
      <w:start w:val="1"/>
      <w:numFmt w:val="bullet"/>
      <w:lvlText w:val="■"/>
      <w:lvlJc w:val="left"/>
      <w:pPr>
        <w:ind w:left="2160" w:hanging="360"/>
      </w:pPr>
    </w:lvl>
    <w:lvl w:ilvl="3" w:tplc="17080676">
      <w:start w:val="1"/>
      <w:numFmt w:val="bullet"/>
      <w:lvlText w:val="●"/>
      <w:lvlJc w:val="left"/>
      <w:pPr>
        <w:ind w:left="2880" w:hanging="360"/>
      </w:pPr>
    </w:lvl>
    <w:lvl w:ilvl="4" w:tplc="5B30AA18">
      <w:start w:val="1"/>
      <w:numFmt w:val="bullet"/>
      <w:lvlText w:val="○"/>
      <w:lvlJc w:val="left"/>
      <w:pPr>
        <w:ind w:left="3600" w:hanging="360"/>
      </w:pPr>
    </w:lvl>
    <w:lvl w:ilvl="5" w:tplc="DBCC9E04">
      <w:start w:val="1"/>
      <w:numFmt w:val="bullet"/>
      <w:lvlText w:val="■"/>
      <w:lvlJc w:val="left"/>
      <w:pPr>
        <w:ind w:left="4320" w:hanging="360"/>
      </w:pPr>
    </w:lvl>
    <w:lvl w:ilvl="6" w:tplc="66E24370">
      <w:start w:val="1"/>
      <w:numFmt w:val="bullet"/>
      <w:lvlText w:val="●"/>
      <w:lvlJc w:val="left"/>
      <w:pPr>
        <w:ind w:left="5040" w:hanging="360"/>
      </w:pPr>
    </w:lvl>
    <w:lvl w:ilvl="7" w:tplc="76D654AA">
      <w:start w:val="1"/>
      <w:numFmt w:val="bullet"/>
      <w:lvlText w:val="●"/>
      <w:lvlJc w:val="left"/>
      <w:pPr>
        <w:ind w:left="5760" w:hanging="360"/>
      </w:pPr>
    </w:lvl>
    <w:lvl w:ilvl="8" w:tplc="7504A768">
      <w:start w:val="1"/>
      <w:numFmt w:val="bullet"/>
      <w:lvlText w:val="●"/>
      <w:lvlJc w:val="left"/>
      <w:pPr>
        <w:ind w:left="6480" w:hanging="360"/>
      </w:pPr>
    </w:lvl>
  </w:abstractNum>
  <w:num w:numId="1" w16cid:durableId="140316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D8E"/>
    <w:rsid w:val="002B7D8E"/>
    <w:rsid w:val="002E5839"/>
    <w:rsid w:val="00F7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EF93"/>
  <w15:docId w15:val="{CCA2AEB3-0AD2-46D0-8EE8-69A294C5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Sagwal</cp:lastModifiedBy>
  <cp:revision>2</cp:revision>
  <dcterms:created xsi:type="dcterms:W3CDTF">2026-07-14T17:11:00Z</dcterms:created>
  <dcterms:modified xsi:type="dcterms:W3CDTF">2026-07-14T17:21:00Z</dcterms:modified>
</cp:coreProperties>
</file>