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C2B80" w14:textId="77777777" w:rsidR="007969C2" w:rsidRPr="007969C2" w:rsidRDefault="00000000">
      <w:pPr>
        <w:rPr>
          <w:color w:val="auto"/>
          <w:sz w:val="32"/>
          <w:szCs w:val="32"/>
        </w:rPr>
      </w:pPr>
      <w:r w:rsidRPr="007969C2">
        <w:rPr>
          <w:color w:val="auto"/>
          <w:sz w:val="32"/>
          <w:szCs w:val="32"/>
        </w:rPr>
        <w:t xml:space="preserve">Project Requirements Document: </w:t>
      </w:r>
    </w:p>
    <w:p w14:paraId="7E006FAC" w14:textId="70ECAF40" w:rsidR="00A05C41" w:rsidRPr="007969C2" w:rsidRDefault="00000000">
      <w:pPr>
        <w:rPr>
          <w:color w:val="auto"/>
          <w:sz w:val="32"/>
          <w:szCs w:val="32"/>
        </w:rPr>
      </w:pPr>
      <w:r w:rsidRPr="007969C2">
        <w:rPr>
          <w:color w:val="auto"/>
          <w:sz w:val="32"/>
          <w:szCs w:val="32"/>
        </w:rPr>
        <w:t>Canadian Federal Procurement Analysis — Competition, Vendor Concentration, and Spending Trends</w:t>
      </w:r>
    </w:p>
    <w:p w14:paraId="3FC48344" w14:textId="77777777" w:rsidR="007969C2" w:rsidRPr="007969C2" w:rsidRDefault="007969C2">
      <w:pPr>
        <w:rPr>
          <w:color w:val="auto"/>
        </w:rPr>
      </w:pPr>
    </w:p>
    <w:p w14:paraId="71C92213" w14:textId="3F286B60" w:rsidR="00A05C41" w:rsidRPr="007969C2" w:rsidRDefault="00000000">
      <w:pPr>
        <w:pStyle w:val="Heading2"/>
        <w:rPr>
          <w:color w:val="auto"/>
        </w:rPr>
      </w:pPr>
      <w:bookmarkStart w:id="0" w:name="bi-analyst-your-name"/>
      <w:r w:rsidRPr="007969C2">
        <w:rPr>
          <w:b/>
          <w:bCs/>
          <w:color w:val="auto"/>
        </w:rPr>
        <w:t>BI Analyst:</w:t>
      </w:r>
      <w:r w:rsidRPr="007969C2">
        <w:rPr>
          <w:color w:val="auto"/>
        </w:rPr>
        <w:t xml:space="preserve"> </w:t>
      </w:r>
      <w:r w:rsidR="007969C2">
        <w:rPr>
          <w:color w:val="auto"/>
        </w:rPr>
        <w:t>Jatin Sagwal</w:t>
      </w:r>
    </w:p>
    <w:p w14:paraId="4C2D3833" w14:textId="77777777" w:rsidR="00A05C41" w:rsidRPr="007969C2" w:rsidRDefault="00000000">
      <w:pPr>
        <w:pStyle w:val="Heading2"/>
        <w:rPr>
          <w:color w:val="auto"/>
          <w:sz w:val="24"/>
          <w:szCs w:val="24"/>
        </w:rPr>
      </w:pPr>
      <w:bookmarkStart w:id="1" w:name="Xa3949efe1d464455d17856574e6b877bb88e23c"/>
      <w:bookmarkEnd w:id="0"/>
      <w:r w:rsidRPr="007969C2">
        <w:rPr>
          <w:b/>
          <w:bCs/>
          <w:color w:val="auto"/>
        </w:rPr>
        <w:t>Client/Sponsor:</w:t>
      </w:r>
      <w:r w:rsidRPr="007969C2">
        <w:rPr>
          <w:color w:val="auto"/>
        </w:rPr>
        <w:t xml:space="preserve"> </w:t>
      </w:r>
      <w:r w:rsidRPr="007969C2">
        <w:rPr>
          <w:color w:val="auto"/>
          <w:sz w:val="24"/>
          <w:szCs w:val="24"/>
        </w:rPr>
        <w:t>Self-directed portfolio project. Simulated sponsor persona: Director, Internal Audit &amp; Procurement Oversight, Government of Canada (hypothetical, used to ground the requirements in a realistic organizational context)</w:t>
      </w:r>
    </w:p>
    <w:p w14:paraId="7DD1DBC2" w14:textId="77777777" w:rsidR="00A05C41" w:rsidRDefault="00000000">
      <w:pPr>
        <w:pStyle w:val="Heading2"/>
        <w:rPr>
          <w:color w:val="auto"/>
          <w:sz w:val="24"/>
          <w:szCs w:val="24"/>
        </w:rPr>
      </w:pPr>
      <w:bookmarkStart w:id="2" w:name="Xb38c5a4bee8ba02abc3d85d620a46eab9f0ab64"/>
      <w:bookmarkEnd w:id="1"/>
      <w:r w:rsidRPr="007969C2">
        <w:rPr>
          <w:b/>
          <w:bCs/>
          <w:color w:val="auto"/>
        </w:rPr>
        <w:t>Purpose:</w:t>
      </w:r>
      <w:r w:rsidRPr="007969C2">
        <w:rPr>
          <w:color w:val="auto"/>
        </w:rPr>
        <w:t xml:space="preserve"> </w:t>
      </w:r>
      <w:r w:rsidRPr="007969C2">
        <w:rPr>
          <w:color w:val="auto"/>
          <w:sz w:val="24"/>
          <w:szCs w:val="24"/>
        </w:rPr>
        <w:t>Federal procurement is one of the largest and most discretion-heavy categories of public spending in Canada, and it is a recognized area of fraud and inefficiency risk. Despite this, no consolidated, decision-ready dashboard currently exists that translates the raw proactive-disclosure contract files into clear insight on competition levels, vendor concentration, and spending patterns. This project is worth the investment of analyst time because it (1) produces a reusable transparency tool that oversight staff, journalists, or the public could act on, and (2) demonstrates, in a portfolio context, the practical data-cleaning, analytical, and visualization skills used in real government and corporate risk-analytics work.</w:t>
      </w:r>
    </w:p>
    <w:p w14:paraId="6C17040F" w14:textId="77777777" w:rsidR="007969C2" w:rsidRPr="007969C2" w:rsidRDefault="007969C2" w:rsidP="007969C2"/>
    <w:p w14:paraId="76E89C81" w14:textId="77777777" w:rsidR="00A05C41" w:rsidRPr="007969C2" w:rsidRDefault="00000000">
      <w:pPr>
        <w:pStyle w:val="Heading2"/>
        <w:rPr>
          <w:color w:val="auto"/>
        </w:rPr>
      </w:pPr>
      <w:bookmarkStart w:id="3" w:name="key-dependencies"/>
      <w:bookmarkEnd w:id="2"/>
      <w:r w:rsidRPr="007969C2">
        <w:rPr>
          <w:b/>
          <w:bCs/>
          <w:color w:val="auto"/>
        </w:rPr>
        <w:t>Key dependencies:</w:t>
      </w:r>
    </w:p>
    <w:p w14:paraId="54C90AF5" w14:textId="77777777" w:rsidR="00A05C41" w:rsidRPr="007969C2" w:rsidRDefault="00000000">
      <w:pPr>
        <w:numPr>
          <w:ilvl w:val="0"/>
          <w:numId w:val="2"/>
        </w:numPr>
        <w:rPr>
          <w:color w:val="auto"/>
        </w:rPr>
      </w:pPr>
      <w:r w:rsidRPr="007969C2">
        <w:rPr>
          <w:b/>
          <w:bCs/>
          <w:color w:val="auto"/>
        </w:rPr>
        <w:t>Data source:</w:t>
      </w:r>
      <w:r w:rsidRPr="007969C2">
        <w:rPr>
          <w:color w:val="auto"/>
        </w:rPr>
        <w:t xml:space="preserve"> Open Government Portal — “Proactive Publication - Contracts” dataset (contracts.csv), published by Treasury Board of Canada Secretariat, updated periodically.</w:t>
      </w:r>
    </w:p>
    <w:p w14:paraId="3FB629DA" w14:textId="77777777" w:rsidR="00A05C41" w:rsidRPr="007969C2" w:rsidRDefault="00000000">
      <w:pPr>
        <w:numPr>
          <w:ilvl w:val="0"/>
          <w:numId w:val="2"/>
        </w:numPr>
        <w:rPr>
          <w:color w:val="auto"/>
        </w:rPr>
      </w:pPr>
      <w:r w:rsidRPr="007969C2">
        <w:rPr>
          <w:b/>
          <w:bCs/>
          <w:color w:val="auto"/>
        </w:rPr>
        <w:t>Tools:</w:t>
      </w:r>
      <w:r w:rsidRPr="007969C2">
        <w:rPr>
          <w:color w:val="auto"/>
        </w:rPr>
        <w:t xml:space="preserve"> Python (pandas) or SQL for data cleaning and vendor-name standardization; Power BI or Tableau for the interactive dashboard; GitHub for version control and portfolio hosting.</w:t>
      </w:r>
    </w:p>
    <w:p w14:paraId="4A7069A9" w14:textId="77777777" w:rsidR="00A05C41" w:rsidRPr="007969C2" w:rsidRDefault="00000000">
      <w:pPr>
        <w:numPr>
          <w:ilvl w:val="0"/>
          <w:numId w:val="2"/>
        </w:numPr>
        <w:rPr>
          <w:color w:val="auto"/>
        </w:rPr>
      </w:pPr>
      <w:r w:rsidRPr="007969C2">
        <w:rPr>
          <w:b/>
          <w:bCs/>
          <w:color w:val="auto"/>
        </w:rPr>
        <w:t>Team:</w:t>
      </w:r>
      <w:r w:rsidRPr="007969C2">
        <w:rPr>
          <w:color w:val="auto"/>
        </w:rPr>
        <w:t xml:space="preserve"> Solo analyst (this project), with informal peer/mentor review at the draft-findings stage.</w:t>
      </w:r>
    </w:p>
    <w:p w14:paraId="55924D96" w14:textId="77777777" w:rsidR="00A05C41" w:rsidRPr="007969C2" w:rsidRDefault="00000000">
      <w:pPr>
        <w:numPr>
          <w:ilvl w:val="0"/>
          <w:numId w:val="2"/>
        </w:numPr>
        <w:rPr>
          <w:color w:val="auto"/>
        </w:rPr>
      </w:pPr>
      <w:r w:rsidRPr="007969C2">
        <w:rPr>
          <w:b/>
          <w:bCs/>
          <w:color w:val="auto"/>
        </w:rPr>
        <w:t>Contact for data questions:</w:t>
      </w:r>
      <w:r w:rsidRPr="007969C2">
        <w:rPr>
          <w:color w:val="auto"/>
        </w:rPr>
        <w:t xml:space="preserve"> Open Government team, Treasury Board of Canada Secretariat (open-ouvert@tbs-sct.gc.ca) — no direct departmental access is required since the data is fully public.</w:t>
      </w:r>
    </w:p>
    <w:p w14:paraId="68B7617C" w14:textId="77777777" w:rsidR="00A05C41" w:rsidRPr="007969C2" w:rsidRDefault="00000000">
      <w:pPr>
        <w:numPr>
          <w:ilvl w:val="0"/>
          <w:numId w:val="2"/>
        </w:numPr>
        <w:rPr>
          <w:color w:val="auto"/>
        </w:rPr>
      </w:pPr>
      <w:r w:rsidRPr="007969C2">
        <w:rPr>
          <w:b/>
          <w:bCs/>
          <w:color w:val="auto"/>
        </w:rPr>
        <w:t>Expected deliverables:</w:t>
      </w:r>
      <w:r w:rsidRPr="007969C2">
        <w:rPr>
          <w:color w:val="auto"/>
        </w:rPr>
        <w:t xml:space="preserve"> cleaned/documented dataset, interactive dashboard, written findings memo, and a public summary post (LinkedIn/GitHub README).</w:t>
      </w:r>
    </w:p>
    <w:p w14:paraId="5E23C4C3" w14:textId="77777777" w:rsidR="00A05C41" w:rsidRPr="007969C2" w:rsidRDefault="00000000">
      <w:pPr>
        <w:pStyle w:val="Heading2"/>
        <w:rPr>
          <w:color w:val="auto"/>
        </w:rPr>
      </w:pPr>
      <w:bookmarkStart w:id="4" w:name="X56e8cb13e08edfeb6a5bddd5d7c358d926fc3c1"/>
      <w:bookmarkEnd w:id="3"/>
      <w:r w:rsidRPr="007969C2">
        <w:rPr>
          <w:b/>
          <w:bCs/>
          <w:color w:val="auto"/>
        </w:rPr>
        <w:lastRenderedPageBreak/>
        <w:t>Stakeholder requirements:</w:t>
      </w:r>
      <w:r w:rsidRPr="007969C2">
        <w:rPr>
          <w:color w:val="auto"/>
        </w:rPr>
        <w:t xml:space="preserve"> (from the Stakeholder Requirements Document, prioritized as R – required, D – desired, N – nice to have)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8463"/>
        <w:gridCol w:w="897"/>
      </w:tblGrid>
      <w:tr w:rsidR="00A05C41" w:rsidRPr="007969C2" w14:paraId="2239F25B" w14:textId="77777777">
        <w:trPr>
          <w:tblHeader/>
        </w:trPr>
        <w:tc>
          <w:tcPr>
            <w:tcW w:w="0" w:type="auto"/>
          </w:tcPr>
          <w:p w14:paraId="1D404A34" w14:textId="77777777" w:rsidR="00A05C41" w:rsidRPr="007969C2" w:rsidRDefault="00000000">
            <w:pPr>
              <w:jc w:val="left"/>
              <w:rPr>
                <w:color w:val="auto"/>
              </w:rPr>
            </w:pPr>
            <w:r w:rsidRPr="007969C2">
              <w:rPr>
                <w:color w:val="auto"/>
              </w:rPr>
              <w:t>Requirement</w:t>
            </w:r>
          </w:p>
        </w:tc>
        <w:tc>
          <w:tcPr>
            <w:tcW w:w="0" w:type="auto"/>
          </w:tcPr>
          <w:p w14:paraId="466B6CCE" w14:textId="77777777" w:rsidR="00A05C41" w:rsidRPr="007969C2" w:rsidRDefault="00000000">
            <w:pPr>
              <w:jc w:val="left"/>
              <w:rPr>
                <w:color w:val="auto"/>
              </w:rPr>
            </w:pPr>
            <w:r w:rsidRPr="007969C2">
              <w:rPr>
                <w:color w:val="auto"/>
              </w:rPr>
              <w:t>Priority</w:t>
            </w:r>
          </w:p>
        </w:tc>
      </w:tr>
      <w:tr w:rsidR="00A05C41" w:rsidRPr="007969C2" w14:paraId="28CF74B2" w14:textId="77777777">
        <w:tc>
          <w:tcPr>
            <w:tcW w:w="0" w:type="auto"/>
          </w:tcPr>
          <w:p w14:paraId="24134688" w14:textId="77777777" w:rsidR="00A05C41" w:rsidRPr="007969C2" w:rsidRDefault="00000000">
            <w:pPr>
              <w:jc w:val="left"/>
              <w:rPr>
                <w:color w:val="auto"/>
              </w:rPr>
            </w:pPr>
            <w:r w:rsidRPr="007969C2">
              <w:rPr>
                <w:color w:val="auto"/>
              </w:rPr>
              <w:t>Filter by fiscal year, department, vendor, and contract type</w:t>
            </w:r>
          </w:p>
        </w:tc>
        <w:tc>
          <w:tcPr>
            <w:tcW w:w="0" w:type="auto"/>
          </w:tcPr>
          <w:p w14:paraId="12858F19" w14:textId="77777777" w:rsidR="00A05C41" w:rsidRPr="007969C2" w:rsidRDefault="00000000">
            <w:pPr>
              <w:jc w:val="left"/>
              <w:rPr>
                <w:color w:val="auto"/>
              </w:rPr>
            </w:pPr>
            <w:r w:rsidRPr="007969C2">
              <w:rPr>
                <w:color w:val="auto"/>
              </w:rPr>
              <w:t>R</w:t>
            </w:r>
          </w:p>
        </w:tc>
      </w:tr>
      <w:tr w:rsidR="00A05C41" w:rsidRPr="007969C2" w14:paraId="2CA6385A" w14:textId="77777777">
        <w:tc>
          <w:tcPr>
            <w:tcW w:w="0" w:type="auto"/>
          </w:tcPr>
          <w:p w14:paraId="39BC967F" w14:textId="77777777" w:rsidR="00A05C41" w:rsidRPr="007969C2" w:rsidRDefault="00000000">
            <w:pPr>
              <w:jc w:val="left"/>
              <w:rPr>
                <w:color w:val="auto"/>
              </w:rPr>
            </w:pPr>
            <w:r w:rsidRPr="007969C2">
              <w:rPr>
                <w:color w:val="auto"/>
              </w:rPr>
              <w:t>Competitive vs. sole-source breakdown by department</w:t>
            </w:r>
          </w:p>
        </w:tc>
        <w:tc>
          <w:tcPr>
            <w:tcW w:w="0" w:type="auto"/>
          </w:tcPr>
          <w:p w14:paraId="12E66B11" w14:textId="77777777" w:rsidR="00A05C41" w:rsidRPr="007969C2" w:rsidRDefault="00000000">
            <w:pPr>
              <w:jc w:val="left"/>
              <w:rPr>
                <w:color w:val="auto"/>
              </w:rPr>
            </w:pPr>
            <w:r w:rsidRPr="007969C2">
              <w:rPr>
                <w:color w:val="auto"/>
              </w:rPr>
              <w:t>R</w:t>
            </w:r>
          </w:p>
        </w:tc>
      </w:tr>
      <w:tr w:rsidR="00A05C41" w:rsidRPr="007969C2" w14:paraId="0042C26A" w14:textId="77777777">
        <w:tc>
          <w:tcPr>
            <w:tcW w:w="0" w:type="auto"/>
          </w:tcPr>
          <w:p w14:paraId="7FCCB1FA" w14:textId="77777777" w:rsidR="00A05C41" w:rsidRPr="007969C2" w:rsidRDefault="00000000">
            <w:pPr>
              <w:jc w:val="left"/>
              <w:rPr>
                <w:color w:val="auto"/>
              </w:rPr>
            </w:pPr>
            <w:r w:rsidRPr="007969C2">
              <w:rPr>
                <w:color w:val="auto"/>
              </w:rPr>
              <w:t>Top vendors by contract value, with drill-down</w:t>
            </w:r>
          </w:p>
        </w:tc>
        <w:tc>
          <w:tcPr>
            <w:tcW w:w="0" w:type="auto"/>
          </w:tcPr>
          <w:p w14:paraId="6AD4C97D" w14:textId="77777777" w:rsidR="00A05C41" w:rsidRPr="007969C2" w:rsidRDefault="00000000">
            <w:pPr>
              <w:jc w:val="left"/>
              <w:rPr>
                <w:color w:val="auto"/>
              </w:rPr>
            </w:pPr>
            <w:r w:rsidRPr="007969C2">
              <w:rPr>
                <w:color w:val="auto"/>
              </w:rPr>
              <w:t>R</w:t>
            </w:r>
          </w:p>
        </w:tc>
      </w:tr>
      <w:tr w:rsidR="00A05C41" w:rsidRPr="007969C2" w14:paraId="58CAA3CF" w14:textId="77777777">
        <w:tc>
          <w:tcPr>
            <w:tcW w:w="0" w:type="auto"/>
          </w:tcPr>
          <w:p w14:paraId="1C2915AE" w14:textId="77777777" w:rsidR="00A05C41" w:rsidRPr="007969C2" w:rsidRDefault="00000000">
            <w:pPr>
              <w:jc w:val="left"/>
              <w:rPr>
                <w:color w:val="auto"/>
              </w:rPr>
            </w:pPr>
            <w:r w:rsidRPr="007969C2">
              <w:rPr>
                <w:color w:val="auto"/>
              </w:rPr>
              <w:t>Vendor concentration metric (HHI or top-10 share), government-wide and by department</w:t>
            </w:r>
          </w:p>
        </w:tc>
        <w:tc>
          <w:tcPr>
            <w:tcW w:w="0" w:type="auto"/>
          </w:tcPr>
          <w:p w14:paraId="6F317E64" w14:textId="77777777" w:rsidR="00A05C41" w:rsidRPr="007969C2" w:rsidRDefault="00000000">
            <w:pPr>
              <w:jc w:val="left"/>
              <w:rPr>
                <w:color w:val="auto"/>
              </w:rPr>
            </w:pPr>
            <w:r w:rsidRPr="007969C2">
              <w:rPr>
                <w:color w:val="auto"/>
              </w:rPr>
              <w:t>R</w:t>
            </w:r>
          </w:p>
        </w:tc>
      </w:tr>
      <w:tr w:rsidR="00A05C41" w:rsidRPr="007969C2" w14:paraId="56433F03" w14:textId="77777777">
        <w:tc>
          <w:tcPr>
            <w:tcW w:w="0" w:type="auto"/>
          </w:tcPr>
          <w:p w14:paraId="70FB222D" w14:textId="77777777" w:rsidR="00A05C41" w:rsidRPr="007969C2" w:rsidRDefault="00000000">
            <w:pPr>
              <w:jc w:val="left"/>
              <w:rPr>
                <w:color w:val="auto"/>
              </w:rPr>
            </w:pPr>
            <w:r w:rsidRPr="007969C2">
              <w:rPr>
                <w:color w:val="auto"/>
              </w:rPr>
              <w:t>Five-plus year trend view</w:t>
            </w:r>
          </w:p>
        </w:tc>
        <w:tc>
          <w:tcPr>
            <w:tcW w:w="0" w:type="auto"/>
          </w:tcPr>
          <w:p w14:paraId="6D5AFA5A" w14:textId="77777777" w:rsidR="00A05C41" w:rsidRPr="007969C2" w:rsidRDefault="00000000">
            <w:pPr>
              <w:jc w:val="left"/>
              <w:rPr>
                <w:color w:val="auto"/>
              </w:rPr>
            </w:pPr>
            <w:r w:rsidRPr="007969C2">
              <w:rPr>
                <w:color w:val="auto"/>
              </w:rPr>
              <w:t>R</w:t>
            </w:r>
          </w:p>
        </w:tc>
      </w:tr>
      <w:tr w:rsidR="00A05C41" w:rsidRPr="007969C2" w14:paraId="1DC77526" w14:textId="77777777">
        <w:tc>
          <w:tcPr>
            <w:tcW w:w="0" w:type="auto"/>
          </w:tcPr>
          <w:p w14:paraId="6CD53AB7" w14:textId="77777777" w:rsidR="00A05C41" w:rsidRPr="007969C2" w:rsidRDefault="00000000">
            <w:pPr>
              <w:jc w:val="left"/>
              <w:rPr>
                <w:color w:val="auto"/>
              </w:rPr>
            </w:pPr>
            <w:r w:rsidRPr="007969C2">
              <w:rPr>
                <w:color w:val="auto"/>
              </w:rPr>
              <w:t>Year-end (March) spending-spike flag</w:t>
            </w:r>
          </w:p>
        </w:tc>
        <w:tc>
          <w:tcPr>
            <w:tcW w:w="0" w:type="auto"/>
          </w:tcPr>
          <w:p w14:paraId="4B3A7C82" w14:textId="77777777" w:rsidR="00A05C41" w:rsidRPr="007969C2" w:rsidRDefault="00000000">
            <w:pPr>
              <w:jc w:val="left"/>
              <w:rPr>
                <w:color w:val="auto"/>
              </w:rPr>
            </w:pPr>
            <w:r w:rsidRPr="007969C2">
              <w:rPr>
                <w:color w:val="auto"/>
              </w:rPr>
              <w:t>D</w:t>
            </w:r>
          </w:p>
        </w:tc>
      </w:tr>
      <w:tr w:rsidR="00A05C41" w:rsidRPr="007969C2" w14:paraId="6FCE5F45" w14:textId="77777777">
        <w:tc>
          <w:tcPr>
            <w:tcW w:w="0" w:type="auto"/>
          </w:tcPr>
          <w:p w14:paraId="07E5F831" w14:textId="77777777" w:rsidR="00A05C41" w:rsidRPr="007969C2" w:rsidRDefault="00000000">
            <w:pPr>
              <w:jc w:val="left"/>
              <w:rPr>
                <w:color w:val="auto"/>
              </w:rPr>
            </w:pPr>
            <w:r w:rsidRPr="007969C2">
              <w:rPr>
                <w:color w:val="auto"/>
              </w:rPr>
              <w:t>Refreshable as new disclosure files are published</w:t>
            </w:r>
          </w:p>
        </w:tc>
        <w:tc>
          <w:tcPr>
            <w:tcW w:w="0" w:type="auto"/>
          </w:tcPr>
          <w:p w14:paraId="1C6F2AEC" w14:textId="77777777" w:rsidR="00A05C41" w:rsidRPr="007969C2" w:rsidRDefault="00000000">
            <w:pPr>
              <w:jc w:val="left"/>
              <w:rPr>
                <w:color w:val="auto"/>
              </w:rPr>
            </w:pPr>
            <w:r w:rsidRPr="007969C2">
              <w:rPr>
                <w:color w:val="auto"/>
              </w:rPr>
              <w:t>D</w:t>
            </w:r>
          </w:p>
        </w:tc>
      </w:tr>
      <w:tr w:rsidR="00A05C41" w:rsidRPr="007969C2" w14:paraId="66BA5C2B" w14:textId="77777777">
        <w:tc>
          <w:tcPr>
            <w:tcW w:w="0" w:type="auto"/>
          </w:tcPr>
          <w:p w14:paraId="5B29DB77" w14:textId="77777777" w:rsidR="00A05C41" w:rsidRPr="007969C2" w:rsidRDefault="00000000">
            <w:pPr>
              <w:jc w:val="left"/>
              <w:rPr>
                <w:color w:val="auto"/>
              </w:rPr>
            </w:pPr>
            <w:r w:rsidRPr="007969C2">
              <w:rPr>
                <w:color w:val="auto"/>
              </w:rPr>
              <w:t>Source/methodology note on all visuals</w:t>
            </w:r>
          </w:p>
        </w:tc>
        <w:tc>
          <w:tcPr>
            <w:tcW w:w="0" w:type="auto"/>
          </w:tcPr>
          <w:p w14:paraId="6FD558BE" w14:textId="77777777" w:rsidR="00A05C41" w:rsidRPr="007969C2" w:rsidRDefault="00000000">
            <w:pPr>
              <w:jc w:val="left"/>
              <w:rPr>
                <w:color w:val="auto"/>
              </w:rPr>
            </w:pPr>
            <w:r w:rsidRPr="007969C2">
              <w:rPr>
                <w:color w:val="auto"/>
              </w:rPr>
              <w:t>R</w:t>
            </w:r>
          </w:p>
        </w:tc>
      </w:tr>
    </w:tbl>
    <w:p w14:paraId="166ED43C" w14:textId="77777777" w:rsidR="00A05C41" w:rsidRPr="007969C2" w:rsidRDefault="00000000">
      <w:pPr>
        <w:pStyle w:val="Heading2"/>
        <w:rPr>
          <w:color w:val="auto"/>
        </w:rPr>
      </w:pPr>
      <w:bookmarkStart w:id="5" w:name="success-criteria-smart"/>
      <w:bookmarkEnd w:id="4"/>
      <w:r w:rsidRPr="007969C2">
        <w:rPr>
          <w:b/>
          <w:bCs/>
          <w:color w:val="auto"/>
        </w:rPr>
        <w:t>Success criteria:</w:t>
      </w:r>
      <w:r w:rsidRPr="007969C2">
        <w:rPr>
          <w:color w:val="auto"/>
        </w:rPr>
        <w:t xml:space="preserve"> (SMART)</w:t>
      </w:r>
    </w:p>
    <w:p w14:paraId="34D0C9E1" w14:textId="77777777" w:rsidR="00A05C41" w:rsidRPr="007969C2" w:rsidRDefault="00000000">
      <w:pPr>
        <w:numPr>
          <w:ilvl w:val="0"/>
          <w:numId w:val="3"/>
        </w:numPr>
        <w:rPr>
          <w:color w:val="auto"/>
        </w:rPr>
      </w:pPr>
      <w:r w:rsidRPr="007969C2">
        <w:rPr>
          <w:color w:val="auto"/>
        </w:rPr>
        <w:t>Deliver a published, interactive dashboard covering at least five fiscal years of contract data within four weeks of project start.</w:t>
      </w:r>
    </w:p>
    <w:p w14:paraId="48DD8C89" w14:textId="77777777" w:rsidR="00A05C41" w:rsidRPr="007969C2" w:rsidRDefault="00000000">
      <w:pPr>
        <w:numPr>
          <w:ilvl w:val="0"/>
          <w:numId w:val="3"/>
        </w:numPr>
        <w:rPr>
          <w:color w:val="auto"/>
        </w:rPr>
      </w:pPr>
      <w:r w:rsidRPr="007969C2">
        <w:rPr>
          <w:color w:val="auto"/>
        </w:rPr>
        <w:t>Identify and document at least three data-backed findings (e.g., government-wide sole-source rate, top-vendor concentration %, department-level comparison) each supported by a chart.</w:t>
      </w:r>
    </w:p>
    <w:p w14:paraId="76654EC4" w14:textId="77777777" w:rsidR="00A05C41" w:rsidRPr="007969C2" w:rsidRDefault="00000000">
      <w:pPr>
        <w:numPr>
          <w:ilvl w:val="0"/>
          <w:numId w:val="3"/>
        </w:numPr>
        <w:rPr>
          <w:color w:val="auto"/>
        </w:rPr>
      </w:pPr>
      <w:r w:rsidRPr="007969C2">
        <w:rPr>
          <w:color w:val="auto"/>
        </w:rPr>
        <w:t>Ensure the dashboard remains responsive when filtering the full multi-hundred-thousand-row dataset, using pre-aggregation where needed.</w:t>
      </w:r>
    </w:p>
    <w:p w14:paraId="278B9DBB" w14:textId="77777777" w:rsidR="00A05C41" w:rsidRPr="007969C2" w:rsidRDefault="00000000">
      <w:pPr>
        <w:numPr>
          <w:ilvl w:val="0"/>
          <w:numId w:val="3"/>
        </w:numPr>
        <w:rPr>
          <w:color w:val="auto"/>
        </w:rPr>
      </w:pPr>
      <w:r w:rsidRPr="007969C2">
        <w:rPr>
          <w:color w:val="auto"/>
        </w:rPr>
        <w:t>Publish the findings write-up and a public summary within one week of dashboard completion.</w:t>
      </w:r>
    </w:p>
    <w:p w14:paraId="322ED165" w14:textId="77777777" w:rsidR="00A05C41" w:rsidRPr="007969C2" w:rsidRDefault="00000000">
      <w:pPr>
        <w:pStyle w:val="Heading2"/>
        <w:rPr>
          <w:color w:val="auto"/>
        </w:rPr>
      </w:pPr>
      <w:bookmarkStart w:id="6" w:name="user-journeys"/>
      <w:bookmarkEnd w:id="5"/>
      <w:r w:rsidRPr="007969C2">
        <w:rPr>
          <w:b/>
          <w:bCs/>
          <w:color w:val="auto"/>
        </w:rPr>
        <w:t>User journeys:</w:t>
      </w:r>
    </w:p>
    <w:p w14:paraId="4923EDF3" w14:textId="77777777" w:rsidR="00A05C41" w:rsidRPr="007969C2" w:rsidRDefault="00000000">
      <w:pPr>
        <w:numPr>
          <w:ilvl w:val="0"/>
          <w:numId w:val="4"/>
        </w:numPr>
        <w:rPr>
          <w:color w:val="auto"/>
        </w:rPr>
      </w:pPr>
      <w:r w:rsidRPr="007969C2">
        <w:rPr>
          <w:b/>
          <w:bCs/>
          <w:color w:val="auto"/>
        </w:rPr>
        <w:t>Current:</w:t>
      </w:r>
      <w:r w:rsidRPr="007969C2">
        <w:rPr>
          <w:color w:val="auto"/>
        </w:rPr>
        <w:t xml:space="preserve"> Anyone wanting this insight — oversight staff, a journalist, or a member of the public — must manually download a large raw CSV from the Open Government Portal, clean inconsistent vendor names, filter by department/year, and calculate concentration metrics by hand in a spreadsheet. This is slow, error-prone, and inaccessible to non-technical users.</w:t>
      </w:r>
    </w:p>
    <w:p w14:paraId="026C7074" w14:textId="77777777" w:rsidR="00A05C41" w:rsidRPr="007969C2" w:rsidRDefault="00000000">
      <w:pPr>
        <w:numPr>
          <w:ilvl w:val="0"/>
          <w:numId w:val="4"/>
        </w:numPr>
        <w:rPr>
          <w:color w:val="auto"/>
        </w:rPr>
      </w:pPr>
      <w:r w:rsidRPr="007969C2">
        <w:rPr>
          <w:b/>
          <w:bCs/>
          <w:color w:val="auto"/>
        </w:rPr>
        <w:t>Future:</w:t>
      </w:r>
      <w:r w:rsidRPr="007969C2">
        <w:rPr>
          <w:color w:val="auto"/>
        </w:rPr>
        <w:t xml:space="preserve"> The user opens the dashboard, selects a fiscal year and department, and immediately sees the competition rate, top vendors, and concentration index for that selection, with the option to drill into individual contract records — without touching the raw data at all.</w:t>
      </w:r>
    </w:p>
    <w:p w14:paraId="1522B835" w14:textId="77777777" w:rsidR="00A05C41" w:rsidRPr="007969C2" w:rsidRDefault="00000000">
      <w:pPr>
        <w:pStyle w:val="Heading2"/>
        <w:rPr>
          <w:color w:val="auto"/>
        </w:rPr>
      </w:pPr>
      <w:bookmarkStart w:id="7" w:name="assumptions"/>
      <w:bookmarkEnd w:id="6"/>
      <w:r w:rsidRPr="007969C2">
        <w:rPr>
          <w:b/>
          <w:bCs/>
          <w:color w:val="auto"/>
        </w:rPr>
        <w:t>Assumptions:</w:t>
      </w:r>
    </w:p>
    <w:p w14:paraId="70018738" w14:textId="77777777" w:rsidR="00A05C41" w:rsidRPr="007969C2" w:rsidRDefault="00000000">
      <w:pPr>
        <w:numPr>
          <w:ilvl w:val="0"/>
          <w:numId w:val="5"/>
        </w:numPr>
        <w:rPr>
          <w:color w:val="auto"/>
        </w:rPr>
      </w:pPr>
      <w:r w:rsidRPr="007969C2">
        <w:rPr>
          <w:color w:val="auto"/>
        </w:rPr>
        <w:t>Data published by Treasury Board Secretariat is materially complete and representative, notwithstanding the source’s “unaudited” disclaimer.</w:t>
      </w:r>
    </w:p>
    <w:p w14:paraId="05AD6882" w14:textId="77777777" w:rsidR="00A05C41" w:rsidRPr="007969C2" w:rsidRDefault="00000000">
      <w:pPr>
        <w:numPr>
          <w:ilvl w:val="0"/>
          <w:numId w:val="5"/>
        </w:numPr>
        <w:rPr>
          <w:color w:val="auto"/>
        </w:rPr>
      </w:pPr>
      <w:r w:rsidRPr="007969C2">
        <w:rPr>
          <w:color w:val="auto"/>
        </w:rPr>
        <w:lastRenderedPageBreak/>
        <w:t>The fiscal year field aligns with the Government of Canada fiscal year (April 1 – March 31), not the calendar year.</w:t>
      </w:r>
    </w:p>
    <w:p w14:paraId="688EEBC3" w14:textId="77777777" w:rsidR="00A05C41" w:rsidRPr="007969C2" w:rsidRDefault="00000000">
      <w:pPr>
        <w:numPr>
          <w:ilvl w:val="0"/>
          <w:numId w:val="5"/>
        </w:numPr>
        <w:rPr>
          <w:color w:val="auto"/>
        </w:rPr>
      </w:pPr>
      <w:r w:rsidRPr="007969C2">
        <w:rPr>
          <w:color w:val="auto"/>
        </w:rPr>
        <w:t>Vendor name variants (e.g., abbreviations, punctuation differences) can be reasonably reconciled through fuzzy matching without an authoritative vendor master list.</w:t>
      </w:r>
    </w:p>
    <w:p w14:paraId="4DF77BF2" w14:textId="77777777" w:rsidR="00A05C41" w:rsidRPr="007969C2" w:rsidRDefault="00000000">
      <w:pPr>
        <w:numPr>
          <w:ilvl w:val="0"/>
          <w:numId w:val="5"/>
        </w:numPr>
        <w:rPr>
          <w:color w:val="auto"/>
        </w:rPr>
      </w:pPr>
      <w:r w:rsidRPr="007969C2">
        <w:rPr>
          <w:color w:val="auto"/>
        </w:rPr>
        <w:t>The analysis is retrospective and observational; without access to internal procurement justifications, “sole-source” will be treated as a risk indicator, not evidence of wrongdoing.</w:t>
      </w:r>
    </w:p>
    <w:p w14:paraId="2A5AC02B" w14:textId="77777777" w:rsidR="00A05C41" w:rsidRPr="007969C2" w:rsidRDefault="00000000">
      <w:pPr>
        <w:pStyle w:val="Heading2"/>
        <w:rPr>
          <w:color w:val="auto"/>
        </w:rPr>
      </w:pPr>
      <w:bookmarkStart w:id="8" w:name="compliance-and-privacy"/>
      <w:bookmarkEnd w:id="7"/>
      <w:r w:rsidRPr="007969C2">
        <w:rPr>
          <w:b/>
          <w:bCs/>
          <w:color w:val="auto"/>
        </w:rPr>
        <w:t>Compliance and privacy:</w:t>
      </w:r>
    </w:p>
    <w:p w14:paraId="768AEF82" w14:textId="77777777" w:rsidR="00A05C41" w:rsidRPr="007969C2" w:rsidRDefault="00000000">
      <w:pPr>
        <w:numPr>
          <w:ilvl w:val="0"/>
          <w:numId w:val="6"/>
        </w:numPr>
        <w:rPr>
          <w:color w:val="auto"/>
        </w:rPr>
      </w:pPr>
      <w:r w:rsidRPr="007969C2">
        <w:rPr>
          <w:color w:val="auto"/>
        </w:rPr>
        <w:t>All data used is published under the Open Government Licence – Canada and is explicitly intended for public reuse; no additional access approval is required.</w:t>
      </w:r>
    </w:p>
    <w:p w14:paraId="4B134FC7" w14:textId="77777777" w:rsidR="00A05C41" w:rsidRPr="007969C2" w:rsidRDefault="00000000">
      <w:pPr>
        <w:numPr>
          <w:ilvl w:val="0"/>
          <w:numId w:val="6"/>
        </w:numPr>
        <w:rPr>
          <w:color w:val="auto"/>
        </w:rPr>
      </w:pPr>
      <w:r w:rsidRPr="007969C2">
        <w:rPr>
          <w:color w:val="auto"/>
        </w:rPr>
        <w:t>The dataset is business/vendor information; where individual public servants’ names appear (e.g., contracting officer fields), these will be excluded or anonymized from any public-facing dashboard or report to avoid unintended exposure of individuals.</w:t>
      </w:r>
    </w:p>
    <w:p w14:paraId="3EE86161" w14:textId="77777777" w:rsidR="00A05C41" w:rsidRPr="007969C2" w:rsidRDefault="00000000">
      <w:pPr>
        <w:numPr>
          <w:ilvl w:val="0"/>
          <w:numId w:val="6"/>
        </w:numPr>
        <w:rPr>
          <w:color w:val="auto"/>
        </w:rPr>
      </w:pPr>
      <w:r w:rsidRPr="007969C2">
        <w:rPr>
          <w:color w:val="auto"/>
        </w:rPr>
        <w:t>Findings will be framed as “patterns warranting further review” rather than claims of fraud or wrongdoing, consistent with responsible public-data analysis and journalism norms.</w:t>
      </w:r>
    </w:p>
    <w:p w14:paraId="73ECA924" w14:textId="77777777" w:rsidR="00A05C41" w:rsidRPr="007969C2" w:rsidRDefault="00000000">
      <w:pPr>
        <w:pStyle w:val="Heading2"/>
        <w:rPr>
          <w:color w:val="auto"/>
        </w:rPr>
      </w:pPr>
      <w:bookmarkStart w:id="9" w:name="accessibility"/>
      <w:bookmarkEnd w:id="8"/>
      <w:r w:rsidRPr="007969C2">
        <w:rPr>
          <w:b/>
          <w:bCs/>
          <w:color w:val="auto"/>
        </w:rPr>
        <w:t>Accessibility:</w:t>
      </w:r>
    </w:p>
    <w:p w14:paraId="5921C14A" w14:textId="77777777" w:rsidR="00A05C41" w:rsidRPr="007969C2" w:rsidRDefault="00000000">
      <w:pPr>
        <w:numPr>
          <w:ilvl w:val="0"/>
          <w:numId w:val="7"/>
        </w:numPr>
        <w:rPr>
          <w:color w:val="auto"/>
        </w:rPr>
      </w:pPr>
      <w:r w:rsidRPr="007969C2">
        <w:rPr>
          <w:color w:val="auto"/>
        </w:rPr>
        <w:t>Use colour palettes with sufficient contrast; avoid encoding competitive vs. sole-source using colour alone (e.g., pair colour with icons or labels) for colour-blind users.</w:t>
      </w:r>
    </w:p>
    <w:p w14:paraId="7F010D6B" w14:textId="77777777" w:rsidR="00A05C41" w:rsidRPr="007969C2" w:rsidRDefault="00000000">
      <w:pPr>
        <w:numPr>
          <w:ilvl w:val="0"/>
          <w:numId w:val="7"/>
        </w:numPr>
        <w:rPr>
          <w:color w:val="auto"/>
        </w:rPr>
      </w:pPr>
      <w:r w:rsidRPr="007969C2">
        <w:rPr>
          <w:color w:val="auto"/>
        </w:rPr>
        <w:t>All charts include descriptive titles and axis labels rather than relying on legends alone.</w:t>
      </w:r>
    </w:p>
    <w:p w14:paraId="666CC465" w14:textId="77777777" w:rsidR="00A05C41" w:rsidRPr="007969C2" w:rsidRDefault="00000000">
      <w:pPr>
        <w:numPr>
          <w:ilvl w:val="0"/>
          <w:numId w:val="7"/>
        </w:numPr>
        <w:rPr>
          <w:color w:val="auto"/>
        </w:rPr>
      </w:pPr>
      <w:r w:rsidRPr="007969C2">
        <w:rPr>
          <w:color w:val="auto"/>
        </w:rPr>
        <w:t>Enable platform-native keyboard navigation and screen-reader support (Power BI/Tableau accessibility features).</w:t>
      </w:r>
    </w:p>
    <w:p w14:paraId="75B740B6" w14:textId="77777777" w:rsidR="00A05C41" w:rsidRPr="007969C2" w:rsidRDefault="00000000">
      <w:pPr>
        <w:numPr>
          <w:ilvl w:val="0"/>
          <w:numId w:val="7"/>
        </w:numPr>
        <w:rPr>
          <w:color w:val="auto"/>
        </w:rPr>
      </w:pPr>
      <w:r w:rsidRPr="007969C2">
        <w:rPr>
          <w:color w:val="auto"/>
        </w:rPr>
        <w:t>Accompany the dashboard with a plain-text findings memo so key results are available without relying on the visuals.</w:t>
      </w:r>
    </w:p>
    <w:p w14:paraId="123A8726" w14:textId="77777777" w:rsidR="00A05C41" w:rsidRPr="007969C2" w:rsidRDefault="00000000">
      <w:pPr>
        <w:rPr>
          <w:color w:val="auto"/>
        </w:rPr>
      </w:pPr>
      <w:r w:rsidRPr="007969C2">
        <w:rPr>
          <w:b/>
          <w:bCs/>
          <w:color w:val="auto"/>
        </w:rPr>
        <w:t>Roll-out plan:</w:t>
      </w:r>
      <w:r w:rsidRPr="007969C2">
        <w:rPr>
          <w:color w:val="auto"/>
        </w:rPr>
        <w:t xml:space="preserve"> (four-week scope)</w:t>
      </w:r>
    </w:p>
    <w:p w14:paraId="6A5F6830" w14:textId="77777777" w:rsidR="00A05C41" w:rsidRPr="007969C2" w:rsidRDefault="00000000">
      <w:pPr>
        <w:numPr>
          <w:ilvl w:val="0"/>
          <w:numId w:val="8"/>
        </w:numPr>
        <w:rPr>
          <w:color w:val="auto"/>
        </w:rPr>
      </w:pPr>
      <w:r w:rsidRPr="007969C2">
        <w:rPr>
          <w:b/>
          <w:bCs/>
          <w:color w:val="auto"/>
        </w:rPr>
        <w:t>Week 1:</w:t>
      </w:r>
      <w:r w:rsidRPr="007969C2">
        <w:rPr>
          <w:color w:val="auto"/>
        </w:rPr>
        <w:t xml:space="preserve"> Data acquisition, field inventory, data cleaning, and vendor-name standardization.</w:t>
      </w:r>
    </w:p>
    <w:p w14:paraId="692CD9CB" w14:textId="77777777" w:rsidR="00A05C41" w:rsidRPr="007969C2" w:rsidRDefault="00000000">
      <w:pPr>
        <w:numPr>
          <w:ilvl w:val="0"/>
          <w:numId w:val="8"/>
        </w:numPr>
        <w:rPr>
          <w:color w:val="auto"/>
        </w:rPr>
      </w:pPr>
      <w:r w:rsidRPr="007969C2">
        <w:rPr>
          <w:b/>
          <w:bCs/>
          <w:color w:val="auto"/>
        </w:rPr>
        <w:t>Week 2:</w:t>
      </w:r>
      <w:r w:rsidRPr="007969C2">
        <w:rPr>
          <w:color w:val="auto"/>
        </w:rPr>
        <w:t xml:space="preserve"> Exploratory analysis and metric definition (competition rate, HHI, top-vendor share); draft findings.</w:t>
      </w:r>
    </w:p>
    <w:p w14:paraId="78AC3136" w14:textId="77777777" w:rsidR="00A05C41" w:rsidRPr="007969C2" w:rsidRDefault="00000000">
      <w:pPr>
        <w:numPr>
          <w:ilvl w:val="0"/>
          <w:numId w:val="8"/>
        </w:numPr>
        <w:rPr>
          <w:color w:val="auto"/>
        </w:rPr>
      </w:pPr>
      <w:r w:rsidRPr="007969C2">
        <w:rPr>
          <w:b/>
          <w:bCs/>
          <w:color w:val="auto"/>
        </w:rPr>
        <w:t>Week 3:</w:t>
      </w:r>
      <w:r w:rsidRPr="007969C2">
        <w:rPr>
          <w:color w:val="auto"/>
        </w:rPr>
        <w:t xml:space="preserve"> Dashboard build in Power BI/Tableau, with iterative self-review.</w:t>
      </w:r>
    </w:p>
    <w:p w14:paraId="00E8D71D" w14:textId="77777777" w:rsidR="00A05C41" w:rsidRPr="007969C2" w:rsidRDefault="00000000">
      <w:pPr>
        <w:numPr>
          <w:ilvl w:val="0"/>
          <w:numId w:val="8"/>
        </w:numPr>
        <w:rPr>
          <w:color w:val="auto"/>
        </w:rPr>
      </w:pPr>
      <w:r w:rsidRPr="007969C2">
        <w:rPr>
          <w:b/>
          <w:bCs/>
          <w:color w:val="auto"/>
        </w:rPr>
        <w:t>Week 4:</w:t>
      </w:r>
      <w:r w:rsidRPr="007969C2">
        <w:rPr>
          <w:color w:val="auto"/>
        </w:rPr>
        <w:t xml:space="preserve"> Finalize findings memo, publish dashboard, and write the public summary/portfolio post.</w:t>
      </w:r>
    </w:p>
    <w:p w14:paraId="7F9115A0" w14:textId="77777777" w:rsidR="00A05C41" w:rsidRPr="007969C2" w:rsidRDefault="00000000">
      <w:pPr>
        <w:numPr>
          <w:ilvl w:val="0"/>
          <w:numId w:val="8"/>
        </w:numPr>
        <w:rPr>
          <w:color w:val="auto"/>
        </w:rPr>
      </w:pPr>
      <w:r w:rsidRPr="007969C2">
        <w:rPr>
          <w:b/>
          <w:bCs/>
          <w:color w:val="auto"/>
        </w:rPr>
        <w:t>Priority order:</w:t>
      </w:r>
      <w:r w:rsidRPr="007969C2">
        <w:rPr>
          <w:color w:val="auto"/>
        </w:rPr>
        <w:t xml:space="preserve"> competition/sole-source analysis first (core narrative), vendor concentration second, year-end spending-spike analysis third (stretch goal if time permits).</w:t>
      </w:r>
      <w:bookmarkEnd w:id="9"/>
    </w:p>
    <w:sectPr w:rsidR="00A05C41" w:rsidRPr="007969C2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D7495" w14:textId="77777777" w:rsidR="00B97866" w:rsidRDefault="00B97866">
      <w:pPr>
        <w:spacing w:line="240" w:lineRule="auto"/>
      </w:pPr>
      <w:r>
        <w:separator/>
      </w:r>
    </w:p>
  </w:endnote>
  <w:endnote w:type="continuationSeparator" w:id="0">
    <w:p w14:paraId="574F30D7" w14:textId="77777777" w:rsidR="00B97866" w:rsidRDefault="00B978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 Condensed">
    <w:charset w:val="00"/>
    <w:family w:val="auto"/>
    <w:pitch w:val="variable"/>
    <w:sig w:usb0="E0000AFF" w:usb1="5000217F" w:usb2="00000021" w:usb3="00000000" w:csb0="0000019F" w:csb1="00000000"/>
    <w:embedRegular r:id="rId1" w:fontKey="{C7B02702-5412-43D9-9910-CCB72FF3AE85}"/>
    <w:embedBold r:id="rId2" w:fontKey="{BE85A1E4-27B5-4997-A5B9-76AF0062CBAB}"/>
    <w:embedItalic r:id="rId3" w:fontKey="{85178C3E-02DD-472D-B16F-706EEA14300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FFB2014E-8FE9-4993-B504-F0E97C0EAEB4}"/>
    <w:embedBold r:id="rId5" w:fontKey="{594DFC51-F183-4724-BA04-D392F87856F3}"/>
    <w:embedItalic r:id="rId6" w:fontKey="{AAC06CF1-DC14-49C9-B034-F7B9EB8A4FC2}"/>
    <w:embedBoldItalic r:id="rId7" w:fontKey="{E219B8CA-62D5-4A29-9104-173226CF099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8" w:fontKey="{95C3AB8F-F8CC-4897-890B-C489128860C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C1C39426-0558-46E1-B109-453935F2E5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566B0DC5-CDD8-4CEB-A256-69D97F37908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5DB7C" w14:textId="77777777" w:rsidR="00A05C41" w:rsidRDefault="00A05C41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40DFB" w14:textId="77777777" w:rsidR="00A05C41" w:rsidRDefault="00000000">
    <w:pP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0070C" w14:textId="77777777" w:rsidR="00B97866" w:rsidRDefault="00B97866">
      <w:r>
        <w:separator/>
      </w:r>
    </w:p>
  </w:footnote>
  <w:footnote w:type="continuationSeparator" w:id="0">
    <w:p w14:paraId="795050A5" w14:textId="77777777" w:rsidR="00B97866" w:rsidRDefault="00B978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5646F" w14:textId="77777777" w:rsidR="00A05C41" w:rsidRDefault="00A05C41">
    <w:pP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7132C" w14:textId="77777777" w:rsidR="00A05C41" w:rsidRDefault="00A05C4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EBE87F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CBA1D3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964385385">
    <w:abstractNumId w:val="0"/>
  </w:num>
  <w:num w:numId="2" w16cid:durableId="5905141">
    <w:abstractNumId w:val="1"/>
  </w:num>
  <w:num w:numId="3" w16cid:durableId="883561047">
    <w:abstractNumId w:val="1"/>
  </w:num>
  <w:num w:numId="4" w16cid:durableId="46610456">
    <w:abstractNumId w:val="1"/>
  </w:num>
  <w:num w:numId="5" w16cid:durableId="146482626">
    <w:abstractNumId w:val="1"/>
  </w:num>
  <w:num w:numId="6" w16cid:durableId="1896503414">
    <w:abstractNumId w:val="1"/>
  </w:num>
  <w:num w:numId="7" w16cid:durableId="1860506201">
    <w:abstractNumId w:val="1"/>
  </w:num>
  <w:num w:numId="8" w16cid:durableId="149710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C41"/>
    <w:rsid w:val="007969C2"/>
    <w:rsid w:val="00832373"/>
    <w:rsid w:val="00A05C41"/>
    <w:rsid w:val="00B97866"/>
    <w:rsid w:val="00C333F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8E622"/>
  <w15:docId w15:val="{63AB3B17-DFB7-444A-83BE-8A5401C4D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 Condensed" w:eastAsia="Roboto Condensed" w:hAnsi="Roboto Condensed" w:cs="Roboto Condensed"/>
        <w:color w:val="666666"/>
        <w:sz w:val="24"/>
        <w:szCs w:val="24"/>
        <w:lang w:val="en" w:eastAsia="en-CA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ind w:left="810" w:hanging="540"/>
      <w:outlineLvl w:val="0"/>
    </w:pPr>
    <w:rPr>
      <w:b/>
      <w:color w:val="1C4587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00" w:after="120" w:line="342" w:lineRule="auto"/>
      <w:jc w:val="left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b/>
      <w:color w:val="1C4587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sz w:val="30"/>
      <w:szCs w:val="30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803</Words>
  <Characters>5238</Characters>
  <Application>Microsoft Office Word</Application>
  <DocSecurity>0</DocSecurity>
  <Lines>104</Lines>
  <Paragraphs>65</Paragraphs>
  <ScaleCrop>false</ScaleCrop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Owner</dc:creator>
  <cp:keywords/>
  <cp:lastModifiedBy>Jatin Sagwal</cp:lastModifiedBy>
  <cp:revision>3</cp:revision>
  <cp:lastPrinted>2026-07-20T16:09:00Z</cp:lastPrinted>
  <dcterms:created xsi:type="dcterms:W3CDTF">2026-07-20T15:52:00Z</dcterms:created>
  <dcterms:modified xsi:type="dcterms:W3CDTF">2026-07-20T16:10:00Z</dcterms:modified>
</cp:coreProperties>
</file>