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6DD0B" w14:textId="77777777" w:rsidR="00C90EDE" w:rsidRPr="00C90EDE" w:rsidRDefault="00000000">
      <w:pPr>
        <w:rPr>
          <w:sz w:val="32"/>
          <w:szCs w:val="32"/>
        </w:rPr>
      </w:pPr>
      <w:r w:rsidRPr="00C90EDE">
        <w:rPr>
          <w:sz w:val="32"/>
          <w:szCs w:val="32"/>
        </w:rPr>
        <w:t xml:space="preserve">Stakeholder Requirements Document: </w:t>
      </w:r>
    </w:p>
    <w:p w14:paraId="0016BA01" w14:textId="74AEA542" w:rsidR="00C9304E" w:rsidRPr="00C90EDE" w:rsidRDefault="00000000">
      <w:pPr>
        <w:rPr>
          <w:sz w:val="32"/>
          <w:szCs w:val="32"/>
        </w:rPr>
      </w:pPr>
      <w:r w:rsidRPr="00C90EDE">
        <w:rPr>
          <w:sz w:val="32"/>
          <w:szCs w:val="32"/>
        </w:rPr>
        <w:t>Canadian Federal Procurement Analysis — Competition, Vendor Concentration, and Spending Trends</w:t>
      </w:r>
    </w:p>
    <w:p w14:paraId="02EA6FF7" w14:textId="276F5222" w:rsidR="00C9304E" w:rsidRDefault="00000000">
      <w:pPr>
        <w:pStyle w:val="Heading2"/>
      </w:pPr>
      <w:bookmarkStart w:id="0" w:name="bi-professional-your-name"/>
      <w:r>
        <w:rPr>
          <w:b/>
          <w:bCs/>
        </w:rPr>
        <w:t>BI Professional:</w:t>
      </w:r>
      <w:r>
        <w:t xml:space="preserve"> </w:t>
      </w:r>
      <w:r w:rsidR="00C90EDE">
        <w:t>Jatin Sagwal</w:t>
      </w:r>
    </w:p>
    <w:p w14:paraId="76D601AA" w14:textId="77777777" w:rsidR="00C9304E" w:rsidRDefault="00000000">
      <w:pPr>
        <w:pStyle w:val="Heading2"/>
      </w:pPr>
      <w:bookmarkStart w:id="1" w:name="Xa3949efe1d464455d17856574e6b877bb88e23c"/>
      <w:bookmarkEnd w:id="0"/>
      <w:r>
        <w:rPr>
          <w:b/>
          <w:bCs/>
        </w:rPr>
        <w:t>Client/Sponsor:</w:t>
      </w:r>
      <w:r>
        <w:t xml:space="preserve"> </w:t>
      </w:r>
      <w:r w:rsidRPr="00C90EDE">
        <w:rPr>
          <w:sz w:val="24"/>
          <w:szCs w:val="24"/>
        </w:rPr>
        <w:t>Self-directed portfolio project. Simulated sponsor persona: Director, Internal Audit &amp; Procurement Oversight, Government of Canada (hypothetical, used to ground the requirements in a realistic organizational context)</w:t>
      </w:r>
    </w:p>
    <w:p w14:paraId="0B0AC154" w14:textId="77777777" w:rsidR="00C9304E" w:rsidRPr="00C90EDE" w:rsidRDefault="00000000">
      <w:pPr>
        <w:pStyle w:val="Heading2"/>
        <w:rPr>
          <w:sz w:val="24"/>
          <w:szCs w:val="24"/>
        </w:rPr>
      </w:pPr>
      <w:bookmarkStart w:id="2" w:name="X66079623a3210520a809df8dce48235eb3ee22c"/>
      <w:bookmarkEnd w:id="1"/>
      <w:r>
        <w:rPr>
          <w:b/>
          <w:bCs/>
        </w:rPr>
        <w:t>Business problem:</w:t>
      </w:r>
      <w:r>
        <w:t xml:space="preserve"> </w:t>
      </w:r>
      <w:r w:rsidRPr="00C90EDE">
        <w:rPr>
          <w:sz w:val="24"/>
          <w:szCs w:val="24"/>
        </w:rPr>
        <w:t xml:space="preserve">The Government of Canada awards tens of billions of dollars in federal contracts every year, but there is no single, accessible view of how much of that spending is competitively awarded versus sole-sourced, which vendors capture the largest share of spend, or whether procurement practices vary meaningfully across departments. This project answers: </w:t>
      </w:r>
      <w:r w:rsidRPr="00C90EDE">
        <w:rPr>
          <w:b/>
          <w:bCs/>
          <w:sz w:val="24"/>
          <w:szCs w:val="24"/>
        </w:rPr>
        <w:t>How competitive and concentrated is federal government procurement in Canada, and where are the highest-risk spending patterns — such as sole-source reliance, vendor concentration, and year-end spending spikes?</w:t>
      </w:r>
    </w:p>
    <w:p w14:paraId="36A76A70" w14:textId="77777777" w:rsidR="00C9304E" w:rsidRDefault="00000000">
      <w:pPr>
        <w:pStyle w:val="Heading2"/>
      </w:pPr>
      <w:bookmarkStart w:id="3" w:name="stakeholders"/>
      <w:bookmarkEnd w:id="2"/>
      <w:r>
        <w:rPr>
          <w:b/>
          <w:bCs/>
        </w:rPr>
        <w:t>Stakeholders:</w:t>
      </w:r>
    </w:p>
    <w:p w14:paraId="4FAB29FF" w14:textId="77777777" w:rsidR="00C9304E" w:rsidRDefault="00000000">
      <w:pPr>
        <w:numPr>
          <w:ilvl w:val="0"/>
          <w:numId w:val="2"/>
        </w:numPr>
      </w:pPr>
      <w:r>
        <w:rPr>
          <w:b/>
          <w:bCs/>
        </w:rPr>
        <w:t>Director, Internal Audit &amp; Procurement Oversight</w:t>
      </w:r>
      <w:r>
        <w:t xml:space="preserve"> (project sponsor) — accountable for identifying procurement risk across departments</w:t>
      </w:r>
    </w:p>
    <w:p w14:paraId="7476F745" w14:textId="77777777" w:rsidR="00C9304E" w:rsidRDefault="00000000">
      <w:pPr>
        <w:numPr>
          <w:ilvl w:val="0"/>
          <w:numId w:val="2"/>
        </w:numPr>
      </w:pPr>
      <w:r>
        <w:rPr>
          <w:b/>
          <w:bCs/>
        </w:rPr>
        <w:t>Departmental Chief Financial Officers (CFOs)</w:t>
      </w:r>
      <w:r>
        <w:t xml:space="preserve"> — accountable for departmental spend and demonstrating value for money</w:t>
      </w:r>
    </w:p>
    <w:p w14:paraId="12F917E4" w14:textId="77777777" w:rsidR="00C9304E" w:rsidRDefault="00000000">
      <w:pPr>
        <w:numPr>
          <w:ilvl w:val="0"/>
          <w:numId w:val="2"/>
        </w:numPr>
      </w:pPr>
      <w:r>
        <w:rPr>
          <w:b/>
          <w:bCs/>
        </w:rPr>
        <w:t>Office of the Procurement Ombudsman</w:t>
      </w:r>
      <w:r>
        <w:t xml:space="preserve"> (external oversight body) — reviews fairness and transparency of federal procurement practices</w:t>
      </w:r>
    </w:p>
    <w:p w14:paraId="7916492F" w14:textId="77777777" w:rsidR="00C9304E" w:rsidRDefault="00000000">
      <w:pPr>
        <w:numPr>
          <w:ilvl w:val="0"/>
          <w:numId w:val="2"/>
        </w:numPr>
      </w:pPr>
      <w:r>
        <w:rPr>
          <w:b/>
          <w:bCs/>
        </w:rPr>
        <w:t>Members of Parliament / Standing Committee on Government Operations and Estimates</w:t>
      </w:r>
      <w:r>
        <w:t xml:space="preserve"> — use findings to inform oversight and committee questions</w:t>
      </w:r>
    </w:p>
    <w:p w14:paraId="67029B97" w14:textId="77777777" w:rsidR="00C9304E" w:rsidRDefault="00000000">
      <w:pPr>
        <w:numPr>
          <w:ilvl w:val="0"/>
          <w:numId w:val="2"/>
        </w:numPr>
      </w:pPr>
      <w:r>
        <w:rPr>
          <w:b/>
          <w:bCs/>
        </w:rPr>
        <w:t>Journalists, public policy researchers, and government-accountability groups</w:t>
      </w:r>
      <w:r>
        <w:t xml:space="preserve"> — use public spending data to inform reporting and analysis</w:t>
      </w:r>
    </w:p>
    <w:p w14:paraId="6A17D216" w14:textId="77777777" w:rsidR="00C9304E" w:rsidRDefault="00000000">
      <w:pPr>
        <w:numPr>
          <w:ilvl w:val="0"/>
          <w:numId w:val="2"/>
        </w:numPr>
      </w:pPr>
      <w:r>
        <w:rPr>
          <w:b/>
          <w:bCs/>
        </w:rPr>
        <w:t>Canadian taxpayers</w:t>
      </w:r>
      <w:r>
        <w:t xml:space="preserve"> (end beneficiary) — indirect stakeholder with an interest in value for public money</w:t>
      </w:r>
    </w:p>
    <w:p w14:paraId="2EE374DA" w14:textId="77777777" w:rsidR="00C9304E" w:rsidRDefault="00000000">
      <w:pPr>
        <w:pStyle w:val="Heading2"/>
      </w:pPr>
      <w:bookmarkStart w:id="4" w:name="stakeholder-usage-details"/>
      <w:bookmarkEnd w:id="3"/>
      <w:r>
        <w:rPr>
          <w:b/>
          <w:bCs/>
        </w:rPr>
        <w:t>Stakeholder usage details:</w:t>
      </w:r>
    </w:p>
    <w:p w14:paraId="6706A762" w14:textId="77777777" w:rsidR="00C9304E" w:rsidRDefault="00000000">
      <w:pPr>
        <w:numPr>
          <w:ilvl w:val="0"/>
          <w:numId w:val="3"/>
        </w:numPr>
      </w:pPr>
      <w:r>
        <w:t>The oversight sponsor will use the dashboard on a recurring basis to monitor the percentage of contract dollars awarded sole-source versus competitively, by department, and to flag departments trending above an internal risk threshold.</w:t>
      </w:r>
    </w:p>
    <w:p w14:paraId="055052CA" w14:textId="77777777" w:rsidR="00C9304E" w:rsidRDefault="00000000">
      <w:pPr>
        <w:numPr>
          <w:ilvl w:val="0"/>
          <w:numId w:val="3"/>
        </w:numPr>
      </w:pPr>
      <w:r>
        <w:lastRenderedPageBreak/>
        <w:t>Departmental CFOs will use it to benchmark their department’s vendor concentration and average contract value against peer departments.</w:t>
      </w:r>
    </w:p>
    <w:p w14:paraId="7584D058" w14:textId="77777777" w:rsidR="00C9304E" w:rsidRDefault="00000000">
      <w:pPr>
        <w:numPr>
          <w:ilvl w:val="0"/>
          <w:numId w:val="3"/>
        </w:numPr>
      </w:pPr>
      <w:r>
        <w:t>The Procurement Ombudsman’s office will use vendor-level drill-downs to identify vendors receiving an unusually large share of sole-source awards, for potential further review.</w:t>
      </w:r>
    </w:p>
    <w:p w14:paraId="0339AC52" w14:textId="77777777" w:rsidR="00C9304E" w:rsidRDefault="00000000">
      <w:pPr>
        <w:numPr>
          <w:ilvl w:val="0"/>
          <w:numId w:val="3"/>
        </w:numPr>
      </w:pPr>
      <w:r>
        <w:t>Journalists and researchers will use a public-facing summary view to surface headline statistics (for example, “top 10 vendors account for X% of total spend”) for reporting and public discussion.</w:t>
      </w:r>
    </w:p>
    <w:p w14:paraId="56946C14" w14:textId="77777777" w:rsidR="00C9304E" w:rsidRDefault="00000000">
      <w:pPr>
        <w:pStyle w:val="Heading2"/>
      </w:pPr>
      <w:bookmarkStart w:id="5" w:name="primary-requirements"/>
      <w:bookmarkEnd w:id="4"/>
      <w:r>
        <w:rPr>
          <w:b/>
          <w:bCs/>
        </w:rPr>
        <w:t>Primary requirements:</w:t>
      </w:r>
    </w:p>
    <w:p w14:paraId="17030E24" w14:textId="77777777" w:rsidR="00C9304E" w:rsidRDefault="00000000">
      <w:pPr>
        <w:numPr>
          <w:ilvl w:val="0"/>
          <w:numId w:val="4"/>
        </w:numPr>
      </w:pPr>
      <w:r>
        <w:t>The dashboard must allow filtering by fiscal year, department/agency, vendor, and contract type (contract, standing offer, or supply arrangement).</w:t>
      </w:r>
    </w:p>
    <w:p w14:paraId="6B424182" w14:textId="77777777" w:rsidR="00C9304E" w:rsidRDefault="00000000">
      <w:pPr>
        <w:numPr>
          <w:ilvl w:val="0"/>
          <w:numId w:val="4"/>
        </w:numPr>
      </w:pPr>
      <w:r>
        <w:t>It must clearly distinguish competitive versus sole-source contracts, broken down by department.</w:t>
      </w:r>
    </w:p>
    <w:p w14:paraId="67D80E89" w14:textId="77777777" w:rsidR="00C9304E" w:rsidRDefault="00000000">
      <w:pPr>
        <w:numPr>
          <w:ilvl w:val="0"/>
          <w:numId w:val="4"/>
        </w:numPr>
      </w:pPr>
      <w:r>
        <w:t>It must display top vendors by total contract value, with drill-down to individual contract records.</w:t>
      </w:r>
    </w:p>
    <w:p w14:paraId="66B296C7" w14:textId="77777777" w:rsidR="00C9304E" w:rsidRDefault="00000000">
      <w:pPr>
        <w:numPr>
          <w:ilvl w:val="0"/>
          <w:numId w:val="4"/>
        </w:numPr>
      </w:pPr>
      <w:r>
        <w:t>It must calculate and display a vendor concentration metric (such as the Herfindahl-Hirschman Index or % of spend held by the top 10 vendors), both government-wide and per department.</w:t>
      </w:r>
    </w:p>
    <w:p w14:paraId="6C4F378B" w14:textId="77777777" w:rsidR="00C9304E" w:rsidRDefault="00000000">
      <w:pPr>
        <w:numPr>
          <w:ilvl w:val="0"/>
          <w:numId w:val="4"/>
        </w:numPr>
      </w:pPr>
      <w:r>
        <w:t>It must support a year-over-year trend view covering at least five fiscal years.</w:t>
      </w:r>
    </w:p>
    <w:p w14:paraId="3612B4E0" w14:textId="77777777" w:rsidR="00C9304E" w:rsidRDefault="00000000">
      <w:pPr>
        <w:numPr>
          <w:ilvl w:val="0"/>
          <w:numId w:val="4"/>
        </w:numPr>
      </w:pPr>
      <w:r>
        <w:t>It must flag contracts awarded in the final month of the fiscal year (March) as a potential year-end spending-spike indicator.</w:t>
      </w:r>
    </w:p>
    <w:p w14:paraId="06B1C614" w14:textId="77777777" w:rsidR="00C9304E" w:rsidRDefault="00000000">
      <w:pPr>
        <w:numPr>
          <w:ilvl w:val="0"/>
          <w:numId w:val="4"/>
        </w:numPr>
      </w:pPr>
      <w:r>
        <w:t>Underlying data must be refreshable as new proactive disclosure files are published by Treasury Board Secretariat.</w:t>
      </w:r>
    </w:p>
    <w:p w14:paraId="6D08926D" w14:textId="77777777" w:rsidR="00C9304E" w:rsidRDefault="00000000">
      <w:pPr>
        <w:numPr>
          <w:ilvl w:val="0"/>
          <w:numId w:val="4"/>
        </w:numPr>
      </w:pPr>
      <w:r>
        <w:t>All visuals must include a source and methodology note, since the underlying data is explicitly published as unaudited.</w:t>
      </w:r>
      <w:bookmarkEnd w:id="5"/>
    </w:p>
    <w:sectPr w:rsidR="00C9304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E08B4" w14:textId="77777777" w:rsidR="00B87959" w:rsidRDefault="00B87959">
      <w:pPr>
        <w:spacing w:line="240" w:lineRule="auto"/>
      </w:pPr>
      <w:r>
        <w:separator/>
      </w:r>
    </w:p>
  </w:endnote>
  <w:endnote w:type="continuationSeparator" w:id="0">
    <w:p w14:paraId="7A8102B9" w14:textId="77777777" w:rsidR="00B87959" w:rsidRDefault="00B879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54025" w14:textId="77777777" w:rsidR="00B87959" w:rsidRDefault="00B87959">
      <w:r>
        <w:separator/>
      </w:r>
    </w:p>
  </w:footnote>
  <w:footnote w:type="continuationSeparator" w:id="0">
    <w:p w14:paraId="74C5D55C" w14:textId="77777777" w:rsidR="00B87959" w:rsidRDefault="00B879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68BCB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99480B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79328356">
    <w:abstractNumId w:val="0"/>
  </w:num>
  <w:num w:numId="2" w16cid:durableId="829446984">
    <w:abstractNumId w:val="1"/>
  </w:num>
  <w:num w:numId="3" w16cid:durableId="1417172489">
    <w:abstractNumId w:val="1"/>
  </w:num>
  <w:num w:numId="4" w16cid:durableId="2085450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04E"/>
    <w:rsid w:val="00481B16"/>
    <w:rsid w:val="00B87959"/>
    <w:rsid w:val="00C90EDE"/>
    <w:rsid w:val="00C9304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B4F0F"/>
  <w15:docId w15:val="{B5E45FCF-7893-484C-BC4F-7C669D551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470</Words>
  <Characters>3045</Characters>
  <Application>Microsoft Office Word</Application>
  <DocSecurity>0</DocSecurity>
  <Lines>57</Lines>
  <Paragraphs>28</Paragraphs>
  <ScaleCrop>false</ScaleCrop>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Jatin Sagwal</cp:lastModifiedBy>
  <cp:revision>2</cp:revision>
  <dcterms:created xsi:type="dcterms:W3CDTF">2026-07-20T15:52:00Z</dcterms:created>
  <dcterms:modified xsi:type="dcterms:W3CDTF">2026-07-20T16:05:00Z</dcterms:modified>
</cp:coreProperties>
</file>