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D8BF" w14:textId="77777777" w:rsidR="00995DA1" w:rsidRDefault="00000000">
      <w:pPr>
        <w:spacing w:after="100"/>
      </w:pPr>
      <w:r>
        <w:rPr>
          <w:b/>
          <w:bCs/>
          <w:sz w:val="32"/>
          <w:szCs w:val="32"/>
        </w:rPr>
        <w:t xml:space="preserve">Project Requirements Document: </w:t>
      </w:r>
      <w:r>
        <w:rPr>
          <w:b/>
          <w:bCs/>
          <w:color w:val="1F3864"/>
          <w:sz w:val="32"/>
          <w:szCs w:val="32"/>
        </w:rPr>
        <w:t>Open Banking in Canada — Threat/Opportunity Analysis for the Big Six</w:t>
      </w:r>
    </w:p>
    <w:p w14:paraId="764ADC8B" w14:textId="77777777" w:rsidR="00995DA1" w:rsidRDefault="00000000">
      <w:pPr>
        <w:spacing w:after="300"/>
      </w:pPr>
      <w:r>
        <w:rPr>
          <w:i/>
          <w:iCs/>
          <w:color w:val="595959"/>
        </w:rPr>
        <w:t>Portfolio project — mock engagement for demonstration purposes</w:t>
      </w:r>
    </w:p>
    <w:p w14:paraId="30FBB370" w14:textId="4A53023D" w:rsidR="00995DA1" w:rsidRDefault="00000000">
      <w:pPr>
        <w:pStyle w:val="Heading2"/>
        <w:spacing w:before="300" w:after="120"/>
      </w:pPr>
      <w:r>
        <w:rPr>
          <w:b/>
          <w:bCs/>
          <w:sz w:val="24"/>
          <w:szCs w:val="24"/>
        </w:rPr>
        <w:t xml:space="preserve">BI Analyst: </w:t>
      </w:r>
      <w:r w:rsidR="00A01C47">
        <w:rPr>
          <w:sz w:val="24"/>
          <w:szCs w:val="24"/>
        </w:rPr>
        <w:t>Jatin Sagwal</w:t>
      </w:r>
    </w:p>
    <w:p w14:paraId="431F9BBD" w14:textId="77777777" w:rsidR="00995DA1" w:rsidRDefault="00000000">
      <w:pPr>
        <w:pStyle w:val="Heading2"/>
        <w:spacing w:before="300" w:after="120"/>
      </w:pPr>
      <w:r>
        <w:rPr>
          <w:b/>
          <w:bCs/>
          <w:sz w:val="24"/>
          <w:szCs w:val="24"/>
        </w:rPr>
        <w:t xml:space="preserve">Client / Sponsor: </w:t>
      </w:r>
      <w:r>
        <w:rPr>
          <w:sz w:val="24"/>
          <w:szCs w:val="24"/>
        </w:rPr>
        <w:t>VP, Strategy &amp; Innovation — a representative Big Six Canadian bank (persona used for portfolio purposes)</w:t>
      </w:r>
    </w:p>
    <w:p w14:paraId="2EA68983" w14:textId="77777777" w:rsidR="00995DA1" w:rsidRDefault="00000000">
      <w:pPr>
        <w:pStyle w:val="Heading2"/>
        <w:spacing w:before="300" w:after="120"/>
      </w:pPr>
      <w:r>
        <w:rPr>
          <w:b/>
          <w:bCs/>
          <w:sz w:val="24"/>
          <w:szCs w:val="24"/>
        </w:rPr>
        <w:t xml:space="preserve">Purpose: </w:t>
      </w:r>
    </w:p>
    <w:p w14:paraId="45F636FD" w14:textId="77777777" w:rsidR="00995DA1" w:rsidRDefault="00000000">
      <w:pPr>
        <w:spacing w:after="160"/>
      </w:pPr>
      <w:r>
        <w:rPr>
          <w:sz w:val="22"/>
          <w:szCs w:val="22"/>
        </w:rPr>
        <w:t>Canada's open banking framework (CDBA) is rolling out in 2026-2027, and every Big Six bank is currently deciding how to respond — some, like TD, RBC, and BMO, have already formed a joint venture (Cor.Connect) to control how customer data flows to third parties, while others are still weighing whether to move ahead of regulation. This project is being commissioned because Strategy currently lacks a quantified, data-backed view of how much revenue is genuinely at risk from fintech disintermediation, and how Canada's adoption is likely to unfold relative to markets that have already been through this transition. Investing analyst time here gives Strategy a defensible basis for board-level recommendations, rather than relying on anecdote or competitor headlines alone.</w:t>
      </w:r>
    </w:p>
    <w:p w14:paraId="11A85DEE" w14:textId="77777777" w:rsidR="00995DA1" w:rsidRDefault="00000000">
      <w:pPr>
        <w:pStyle w:val="Heading2"/>
        <w:spacing w:before="300" w:after="120"/>
      </w:pPr>
      <w:r>
        <w:rPr>
          <w:b/>
          <w:bCs/>
          <w:sz w:val="24"/>
          <w:szCs w:val="24"/>
        </w:rPr>
        <w:t xml:space="preserve">Key dependencies: </w:t>
      </w:r>
    </w:p>
    <w:p w14:paraId="03283B06" w14:textId="77777777" w:rsidR="00995DA1" w:rsidRDefault="00000000">
      <w:pPr>
        <w:spacing w:after="160"/>
      </w:pPr>
      <w:r>
        <w:rPr>
          <w:sz w:val="22"/>
          <w:szCs w:val="22"/>
        </w:rPr>
        <w:t>Team: BI Analyst (data collection, modeling, dashboard build). Primary contact: VP, Strategy &amp; Innovation (sponsor). Supporting input expected from Risk, Compliance, and Digital Banking leads for validation of assumptions. Expected deliverables: (1) a structured data tracking workbook, (2) a Canada adoption forecast model benchmarked against UK/US/Australia, (3) a revenue-at-risk estimate by product line, (4) an interactive dashboard, and (5) a written strategic recommendation memo.</w:t>
      </w:r>
    </w:p>
    <w:p w14:paraId="396CF433" w14:textId="77777777" w:rsidR="00995DA1" w:rsidRDefault="00000000">
      <w:pPr>
        <w:pStyle w:val="Heading2"/>
        <w:spacing w:before="300" w:after="120"/>
      </w:pPr>
      <w:r>
        <w:rPr>
          <w:b/>
          <w:bCs/>
          <w:sz w:val="24"/>
          <w:szCs w:val="24"/>
        </w:rPr>
        <w:t xml:space="preserve">Stakeholder requirements: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2"/>
        <w:gridCol w:w="2338"/>
      </w:tblGrid>
      <w:tr w:rsidR="00995DA1" w14:paraId="259A97D3" w14:textId="77777777">
        <w:tblPrEx>
          <w:tblCellMar>
            <w:top w:w="0" w:type="dxa"/>
            <w:bottom w:w="0" w:type="dxa"/>
          </w:tblCellMar>
        </w:tblPrEx>
        <w:trPr>
          <w:tblHeader/>
        </w:trPr>
        <w:tc>
          <w:tcPr>
            <w:tcW w:w="3750" w:type="pct"/>
            <w:shd w:val="clear" w:color="auto" w:fill="1F3864"/>
          </w:tcPr>
          <w:p w14:paraId="23E12A03" w14:textId="77777777" w:rsidR="00995DA1" w:rsidRDefault="00000000">
            <w:r>
              <w:rPr>
                <w:b/>
                <w:bCs/>
                <w:color w:val="FFFFFF"/>
                <w:sz w:val="22"/>
                <w:szCs w:val="22"/>
              </w:rPr>
              <w:t>Requirement</w:t>
            </w:r>
          </w:p>
        </w:tc>
        <w:tc>
          <w:tcPr>
            <w:tcW w:w="1250" w:type="pct"/>
            <w:shd w:val="clear" w:color="auto" w:fill="1F3864"/>
          </w:tcPr>
          <w:p w14:paraId="10158BA3" w14:textId="77777777" w:rsidR="00995DA1" w:rsidRDefault="00000000">
            <w:r>
              <w:rPr>
                <w:b/>
                <w:bCs/>
                <w:color w:val="FFFFFF"/>
                <w:sz w:val="22"/>
                <w:szCs w:val="22"/>
              </w:rPr>
              <w:t>Priority (R/D/N)</w:t>
            </w:r>
          </w:p>
        </w:tc>
      </w:tr>
      <w:tr w:rsidR="00995DA1" w14:paraId="6F8ABCC4" w14:textId="77777777">
        <w:tblPrEx>
          <w:tblCellMar>
            <w:top w:w="0" w:type="dxa"/>
            <w:bottom w:w="0" w:type="dxa"/>
          </w:tblCellMar>
        </w:tblPrEx>
        <w:tc>
          <w:tcPr>
            <w:tcW w:w="3750" w:type="pct"/>
          </w:tcPr>
          <w:p w14:paraId="36BF488D" w14:textId="77777777" w:rsidR="00995DA1" w:rsidRDefault="00000000">
            <w:r>
              <w:rPr>
                <w:sz w:val="22"/>
                <w:szCs w:val="22"/>
              </w:rPr>
              <w:t>Present CDBA regulatory timeline (Phase 1 / Phase 2) in board-ready view</w:t>
            </w:r>
          </w:p>
        </w:tc>
        <w:tc>
          <w:tcPr>
            <w:tcW w:w="1250" w:type="pct"/>
          </w:tcPr>
          <w:p w14:paraId="634F2D53" w14:textId="77777777" w:rsidR="00995DA1" w:rsidRDefault="00000000">
            <w:r>
              <w:rPr>
                <w:b/>
                <w:bCs/>
                <w:sz w:val="22"/>
                <w:szCs w:val="22"/>
              </w:rPr>
              <w:t>R</w:t>
            </w:r>
          </w:p>
        </w:tc>
      </w:tr>
      <w:tr w:rsidR="00995DA1" w14:paraId="0124600F" w14:textId="77777777">
        <w:tblPrEx>
          <w:tblCellMar>
            <w:top w:w="0" w:type="dxa"/>
            <w:bottom w:w="0" w:type="dxa"/>
          </w:tblCellMar>
        </w:tblPrEx>
        <w:tc>
          <w:tcPr>
            <w:tcW w:w="3750" w:type="pct"/>
          </w:tcPr>
          <w:p w14:paraId="38788F75" w14:textId="77777777" w:rsidR="00995DA1" w:rsidRDefault="00000000">
            <w:r>
              <w:rPr>
                <w:sz w:val="22"/>
                <w:szCs w:val="22"/>
              </w:rPr>
              <w:t>Quantify at-risk population (~9M screen-scraping users) and segment where possible</w:t>
            </w:r>
          </w:p>
        </w:tc>
        <w:tc>
          <w:tcPr>
            <w:tcW w:w="1250" w:type="pct"/>
          </w:tcPr>
          <w:p w14:paraId="042456D8" w14:textId="77777777" w:rsidR="00995DA1" w:rsidRDefault="00000000">
            <w:r>
              <w:rPr>
                <w:b/>
                <w:bCs/>
                <w:sz w:val="22"/>
                <w:szCs w:val="22"/>
              </w:rPr>
              <w:t>R</w:t>
            </w:r>
          </w:p>
        </w:tc>
      </w:tr>
      <w:tr w:rsidR="00995DA1" w14:paraId="3BE54276" w14:textId="77777777">
        <w:tblPrEx>
          <w:tblCellMar>
            <w:top w:w="0" w:type="dxa"/>
            <w:bottom w:w="0" w:type="dxa"/>
          </w:tblCellMar>
        </w:tblPrEx>
        <w:tc>
          <w:tcPr>
            <w:tcW w:w="3750" w:type="pct"/>
          </w:tcPr>
          <w:p w14:paraId="6B85CCC7" w14:textId="77777777" w:rsidR="00995DA1" w:rsidRDefault="00000000">
            <w:r>
              <w:rPr>
                <w:sz w:val="22"/>
                <w:szCs w:val="22"/>
              </w:rPr>
              <w:t>Benchmark Canada against UK (mandated), US (market-led), Australia (structural comparator)</w:t>
            </w:r>
          </w:p>
        </w:tc>
        <w:tc>
          <w:tcPr>
            <w:tcW w:w="1250" w:type="pct"/>
          </w:tcPr>
          <w:p w14:paraId="070DEA61" w14:textId="77777777" w:rsidR="00995DA1" w:rsidRDefault="00000000">
            <w:r>
              <w:rPr>
                <w:b/>
                <w:bCs/>
                <w:sz w:val="22"/>
                <w:szCs w:val="22"/>
              </w:rPr>
              <w:t>R</w:t>
            </w:r>
          </w:p>
        </w:tc>
      </w:tr>
      <w:tr w:rsidR="00995DA1" w14:paraId="04631751" w14:textId="77777777">
        <w:tblPrEx>
          <w:tblCellMar>
            <w:top w:w="0" w:type="dxa"/>
            <w:bottom w:w="0" w:type="dxa"/>
          </w:tblCellMar>
        </w:tblPrEx>
        <w:tc>
          <w:tcPr>
            <w:tcW w:w="3750" w:type="pct"/>
          </w:tcPr>
          <w:p w14:paraId="65337DAF" w14:textId="77777777" w:rsidR="00995DA1" w:rsidRDefault="00000000">
            <w:r>
              <w:rPr>
                <w:sz w:val="22"/>
                <w:szCs w:val="22"/>
              </w:rPr>
              <w:t>Translate adoption forecast into revenue-at-risk by product line</w:t>
            </w:r>
          </w:p>
        </w:tc>
        <w:tc>
          <w:tcPr>
            <w:tcW w:w="1250" w:type="pct"/>
          </w:tcPr>
          <w:p w14:paraId="03699418" w14:textId="77777777" w:rsidR="00995DA1" w:rsidRDefault="00000000">
            <w:r>
              <w:rPr>
                <w:b/>
                <w:bCs/>
                <w:sz w:val="22"/>
                <w:szCs w:val="22"/>
              </w:rPr>
              <w:t>R</w:t>
            </w:r>
          </w:p>
        </w:tc>
      </w:tr>
      <w:tr w:rsidR="00995DA1" w14:paraId="3B4B5FD7" w14:textId="77777777">
        <w:tblPrEx>
          <w:tblCellMar>
            <w:top w:w="0" w:type="dxa"/>
            <w:bottom w:w="0" w:type="dxa"/>
          </w:tblCellMar>
        </w:tblPrEx>
        <w:tc>
          <w:tcPr>
            <w:tcW w:w="3750" w:type="pct"/>
          </w:tcPr>
          <w:p w14:paraId="6882338C" w14:textId="77777777" w:rsidR="00995DA1" w:rsidRDefault="00000000">
            <w:r>
              <w:rPr>
                <w:sz w:val="22"/>
                <w:szCs w:val="22"/>
              </w:rPr>
              <w:t>Surface competitor/industry signals (Cor.Connect, fintech partnerships)</w:t>
            </w:r>
          </w:p>
        </w:tc>
        <w:tc>
          <w:tcPr>
            <w:tcW w:w="1250" w:type="pct"/>
          </w:tcPr>
          <w:p w14:paraId="660079BE" w14:textId="77777777" w:rsidR="00995DA1" w:rsidRDefault="00000000">
            <w:r>
              <w:rPr>
                <w:b/>
                <w:bCs/>
                <w:sz w:val="22"/>
                <w:szCs w:val="22"/>
              </w:rPr>
              <w:t>D</w:t>
            </w:r>
          </w:p>
        </w:tc>
      </w:tr>
      <w:tr w:rsidR="00995DA1" w14:paraId="05558BCE" w14:textId="77777777">
        <w:tblPrEx>
          <w:tblCellMar>
            <w:top w:w="0" w:type="dxa"/>
            <w:bottom w:w="0" w:type="dxa"/>
          </w:tblCellMar>
        </w:tblPrEx>
        <w:tc>
          <w:tcPr>
            <w:tcW w:w="3750" w:type="pct"/>
          </w:tcPr>
          <w:p w14:paraId="55A89192" w14:textId="77777777" w:rsidR="00995DA1" w:rsidRDefault="00000000">
            <w:r>
              <w:rPr>
                <w:sz w:val="22"/>
                <w:szCs w:val="22"/>
              </w:rPr>
              <w:t>Distinguish sourced data from analyst estimates throughout</w:t>
            </w:r>
          </w:p>
        </w:tc>
        <w:tc>
          <w:tcPr>
            <w:tcW w:w="1250" w:type="pct"/>
          </w:tcPr>
          <w:p w14:paraId="3EE57F68" w14:textId="77777777" w:rsidR="00995DA1" w:rsidRDefault="00000000">
            <w:r>
              <w:rPr>
                <w:b/>
                <w:bCs/>
                <w:sz w:val="22"/>
                <w:szCs w:val="22"/>
              </w:rPr>
              <w:t>R</w:t>
            </w:r>
          </w:p>
        </w:tc>
      </w:tr>
      <w:tr w:rsidR="00995DA1" w14:paraId="6C51CE40" w14:textId="77777777">
        <w:tblPrEx>
          <w:tblCellMar>
            <w:top w:w="0" w:type="dxa"/>
            <w:bottom w:w="0" w:type="dxa"/>
          </w:tblCellMar>
        </w:tblPrEx>
        <w:tc>
          <w:tcPr>
            <w:tcW w:w="3750" w:type="pct"/>
          </w:tcPr>
          <w:p w14:paraId="3DE11B34" w14:textId="77777777" w:rsidR="00995DA1" w:rsidRDefault="00000000">
            <w:r>
              <w:rPr>
                <w:sz w:val="22"/>
                <w:szCs w:val="22"/>
              </w:rPr>
              <w:t>Include India/EU as secondary global context (not deep-modeled)</w:t>
            </w:r>
          </w:p>
        </w:tc>
        <w:tc>
          <w:tcPr>
            <w:tcW w:w="1250" w:type="pct"/>
          </w:tcPr>
          <w:p w14:paraId="7FDD6AA9" w14:textId="77777777" w:rsidR="00995DA1" w:rsidRDefault="00000000">
            <w:r>
              <w:rPr>
                <w:b/>
                <w:bCs/>
                <w:sz w:val="22"/>
                <w:szCs w:val="22"/>
              </w:rPr>
              <w:t>N</w:t>
            </w:r>
          </w:p>
        </w:tc>
      </w:tr>
    </w:tbl>
    <w:p w14:paraId="19626D01" w14:textId="77777777" w:rsidR="00995DA1" w:rsidRDefault="00000000">
      <w:pPr>
        <w:pStyle w:val="Heading2"/>
        <w:spacing w:before="300" w:after="120"/>
      </w:pPr>
      <w:r>
        <w:rPr>
          <w:b/>
          <w:bCs/>
          <w:sz w:val="24"/>
          <w:szCs w:val="24"/>
        </w:rPr>
        <w:t xml:space="preserve">Success criteria: </w:t>
      </w:r>
    </w:p>
    <w:p w14:paraId="6FFC8DA9" w14:textId="77777777" w:rsidR="00995DA1" w:rsidRDefault="00000000">
      <w:pPr>
        <w:pStyle w:val="ListParagraph"/>
        <w:numPr>
          <w:ilvl w:val="0"/>
          <w:numId w:val="1"/>
        </w:numPr>
        <w:spacing w:after="80"/>
      </w:pPr>
      <w:r>
        <w:rPr>
          <w:sz w:val="22"/>
          <w:szCs w:val="22"/>
        </w:rPr>
        <w:t>Specific: Deliver a revenue-at-risk model and strategic recommendation (defend/partner/build) for a representative Big Six bank's retail banking business.</w:t>
      </w:r>
    </w:p>
    <w:p w14:paraId="46D3857B" w14:textId="77777777" w:rsidR="00995DA1" w:rsidRDefault="00000000">
      <w:pPr>
        <w:pStyle w:val="ListParagraph"/>
        <w:numPr>
          <w:ilvl w:val="0"/>
          <w:numId w:val="1"/>
        </w:numPr>
        <w:spacing w:after="80"/>
      </w:pPr>
      <w:r>
        <w:rPr>
          <w:sz w:val="22"/>
          <w:szCs w:val="22"/>
        </w:rPr>
        <w:t>Measurable: Model produces 3 quantified adoption scenarios (conservative/base/optimistic) with year 1-3 user adoption % and estimated revenue-at-risk in CAD.</w:t>
      </w:r>
    </w:p>
    <w:p w14:paraId="3BB4878A" w14:textId="77777777" w:rsidR="00995DA1" w:rsidRDefault="00000000">
      <w:pPr>
        <w:pStyle w:val="ListParagraph"/>
        <w:numPr>
          <w:ilvl w:val="0"/>
          <w:numId w:val="1"/>
        </w:numPr>
        <w:spacing w:after="80"/>
      </w:pPr>
      <w:r>
        <w:rPr>
          <w:sz w:val="22"/>
          <w:szCs w:val="22"/>
        </w:rPr>
        <w:t>Achievable: Built entirely from publicly available regulatory, industry-body, and company-disclosed data — no proprietary bank data required.</w:t>
      </w:r>
    </w:p>
    <w:p w14:paraId="17C09A64" w14:textId="77777777" w:rsidR="00995DA1" w:rsidRDefault="00000000">
      <w:pPr>
        <w:pStyle w:val="ListParagraph"/>
        <w:numPr>
          <w:ilvl w:val="0"/>
          <w:numId w:val="1"/>
        </w:numPr>
        <w:spacing w:after="80"/>
      </w:pPr>
      <w:r>
        <w:rPr>
          <w:sz w:val="22"/>
          <w:szCs w:val="22"/>
        </w:rPr>
        <w:lastRenderedPageBreak/>
        <w:t>Relevant: Directly addresses the live strategic question Canadian banks are facing in 2026-2027 as CDBA rolls out.</w:t>
      </w:r>
    </w:p>
    <w:p w14:paraId="52EFBF53" w14:textId="77777777" w:rsidR="00995DA1" w:rsidRDefault="00000000">
      <w:pPr>
        <w:pStyle w:val="ListParagraph"/>
        <w:numPr>
          <w:ilvl w:val="0"/>
          <w:numId w:val="1"/>
        </w:numPr>
        <w:spacing w:after="80"/>
      </w:pPr>
      <w:r>
        <w:rPr>
          <w:sz w:val="22"/>
          <w:szCs w:val="22"/>
        </w:rPr>
        <w:t>Time-bound: Complete data collection, model, dashboard, and written recommendation within the project's working timeline, dated and versioned so it can be revisited as CDBA implementation dates firm up.</w:t>
      </w:r>
    </w:p>
    <w:p w14:paraId="528BBA8D" w14:textId="77777777" w:rsidR="00995DA1" w:rsidRDefault="00000000">
      <w:pPr>
        <w:pStyle w:val="Heading2"/>
        <w:spacing w:before="300" w:after="120"/>
      </w:pPr>
      <w:r>
        <w:rPr>
          <w:b/>
          <w:bCs/>
          <w:sz w:val="24"/>
          <w:szCs w:val="24"/>
        </w:rPr>
        <w:t xml:space="preserve">User journeys: </w:t>
      </w:r>
    </w:p>
    <w:p w14:paraId="5580A689" w14:textId="77777777" w:rsidR="00995DA1" w:rsidRDefault="00000000">
      <w:pPr>
        <w:spacing w:before="100" w:after="60"/>
      </w:pPr>
      <w:r>
        <w:rPr>
          <w:b/>
          <w:bCs/>
          <w:i/>
          <w:iCs/>
          <w:sz w:val="22"/>
          <w:szCs w:val="22"/>
        </w:rPr>
        <w:t>Current state:</w:t>
      </w:r>
    </w:p>
    <w:p w14:paraId="4381C483" w14:textId="77777777" w:rsidR="00995DA1" w:rsidRDefault="00000000">
      <w:pPr>
        <w:spacing w:after="160"/>
      </w:pPr>
      <w:r>
        <w:rPr>
          <w:sz w:val="22"/>
          <w:szCs w:val="22"/>
        </w:rPr>
        <w:t>Today, Strategy teams track open banking developments informally — through trade press (Finextra, American Banker), conference panels (Open Banking Expo), and ad hoc competitor monitoring. There is no single, structured view that ties the regulatory timeline to a quantified revenue-at-risk estimate, so scenario planning happens in slide decks rebuilt from scratch each time new information emerges.</w:t>
      </w:r>
    </w:p>
    <w:p w14:paraId="645CC143" w14:textId="77777777" w:rsidR="00995DA1" w:rsidRDefault="00000000">
      <w:pPr>
        <w:spacing w:before="100" w:after="60"/>
      </w:pPr>
      <w:r>
        <w:rPr>
          <w:b/>
          <w:bCs/>
          <w:i/>
          <w:iCs/>
          <w:sz w:val="22"/>
          <w:szCs w:val="22"/>
        </w:rPr>
        <w:t>Future state:</w:t>
      </w:r>
    </w:p>
    <w:p w14:paraId="556F01DA" w14:textId="77777777" w:rsidR="00995DA1" w:rsidRDefault="00000000">
      <w:pPr>
        <w:spacing w:after="160"/>
      </w:pPr>
      <w:r>
        <w:rPr>
          <w:sz w:val="22"/>
          <w:szCs w:val="22"/>
        </w:rPr>
        <w:t>In the target state, Strategy has a living dashboard that: (1) tracks CDBA implementation milestones against the bank's own readiness plan, (2) updates revenue-at-risk estimates as adoption data becomes available domestically, and (3) benchmarks the bank's posture (defend/partner/build) against peer moves like Cor.Connect. This turns open banking monitoring from a periodic manual exercise into a standing reference tool for quarterly strategy reviews.</w:t>
      </w:r>
    </w:p>
    <w:p w14:paraId="1EA6F239" w14:textId="77777777" w:rsidR="00995DA1" w:rsidRDefault="00000000">
      <w:pPr>
        <w:pStyle w:val="Heading2"/>
        <w:spacing w:before="300" w:after="120"/>
      </w:pPr>
      <w:r>
        <w:rPr>
          <w:b/>
          <w:bCs/>
          <w:sz w:val="24"/>
          <w:szCs w:val="24"/>
        </w:rPr>
        <w:t xml:space="preserve">Assumptions: </w:t>
      </w:r>
    </w:p>
    <w:p w14:paraId="05A72903" w14:textId="77777777" w:rsidR="00995DA1" w:rsidRDefault="00000000">
      <w:pPr>
        <w:pStyle w:val="ListParagraph"/>
        <w:numPr>
          <w:ilvl w:val="0"/>
          <w:numId w:val="1"/>
        </w:numPr>
        <w:spacing w:after="80"/>
      </w:pPr>
      <w:r>
        <w:rPr>
          <w:sz w:val="22"/>
          <w:szCs w:val="22"/>
        </w:rPr>
        <w:t>Canada's open banking adoption curve will structurally resemble the UK's (mandated regime) more closely than the US's (market-led regime), since both Canada and the UK impose a compliance deadline rather than relying on voluntary standards adoption.</w:t>
      </w:r>
    </w:p>
    <w:p w14:paraId="78DD0352" w14:textId="77777777" w:rsidR="00995DA1" w:rsidRDefault="00000000">
      <w:pPr>
        <w:pStyle w:val="ListParagraph"/>
        <w:numPr>
          <w:ilvl w:val="0"/>
          <w:numId w:val="1"/>
        </w:numPr>
        <w:spacing w:after="80"/>
      </w:pPr>
      <w:r>
        <w:rPr>
          <w:sz w:val="22"/>
          <w:szCs w:val="22"/>
        </w:rPr>
        <w:t>The ~9 million screen-scraping users represent a reasonable proxy for latent demand, though not all will migrate to secure APIs immediately upon launch.</w:t>
      </w:r>
    </w:p>
    <w:p w14:paraId="51D55993" w14:textId="77777777" w:rsidR="00995DA1" w:rsidRDefault="00000000">
      <w:pPr>
        <w:pStyle w:val="ListParagraph"/>
        <w:numPr>
          <w:ilvl w:val="0"/>
          <w:numId w:val="1"/>
        </w:numPr>
        <w:spacing w:after="80"/>
      </w:pPr>
      <w:r>
        <w:rPr>
          <w:sz w:val="22"/>
          <w:szCs w:val="22"/>
        </w:rPr>
        <w:t>Public company disclosures (10-Ks, annual reports) provide sufficiently granular revenue breakdowns to estimate product-line exposure; where they don't, industry-average splits are used and flagged as estimates.</w:t>
      </w:r>
    </w:p>
    <w:p w14:paraId="00DA2EC1" w14:textId="77777777" w:rsidR="00995DA1" w:rsidRDefault="00000000">
      <w:pPr>
        <w:pStyle w:val="ListParagraph"/>
        <w:numPr>
          <w:ilvl w:val="0"/>
          <w:numId w:val="1"/>
        </w:numPr>
        <w:spacing w:after="80"/>
      </w:pPr>
      <w:r>
        <w:rPr>
          <w:sz w:val="22"/>
          <w:szCs w:val="22"/>
        </w:rPr>
        <w:t>Phase 2 (write access/payments) is the primary driver of revenue risk, since Phase 1 (read-only access) mainly enables account aggregation rather than fund movement.</w:t>
      </w:r>
    </w:p>
    <w:p w14:paraId="4D404721" w14:textId="77777777" w:rsidR="00995DA1" w:rsidRDefault="00000000">
      <w:pPr>
        <w:pStyle w:val="Heading2"/>
        <w:spacing w:before="300" w:after="120"/>
      </w:pPr>
      <w:r>
        <w:rPr>
          <w:b/>
          <w:bCs/>
          <w:sz w:val="24"/>
          <w:szCs w:val="24"/>
        </w:rPr>
        <w:t xml:space="preserve">Compliance and privacy: </w:t>
      </w:r>
    </w:p>
    <w:p w14:paraId="35F58C7D" w14:textId="77777777" w:rsidR="00995DA1" w:rsidRDefault="00000000">
      <w:pPr>
        <w:spacing w:after="160"/>
      </w:pPr>
      <w:r>
        <w:rPr>
          <w:sz w:val="22"/>
          <w:szCs w:val="22"/>
        </w:rPr>
        <w:t>This project uses only publicly available data (regulatory filings, industry-body statistics, company disclosures, trade press) and does not use, request, or infer any non-public customer or institutional data. No personally identifiable information is collected or processed. As CDBA implementation details evolve, data privacy and consent-management provisions of the Act should be monitored, since they will directly shape which data-sharing use cases are viable for any bank's own product roadmap.</w:t>
      </w:r>
    </w:p>
    <w:p w14:paraId="281B7200" w14:textId="77777777" w:rsidR="00995DA1" w:rsidRDefault="00000000">
      <w:pPr>
        <w:pStyle w:val="Heading2"/>
        <w:spacing w:before="300" w:after="120"/>
      </w:pPr>
      <w:r>
        <w:rPr>
          <w:b/>
          <w:bCs/>
          <w:sz w:val="24"/>
          <w:szCs w:val="24"/>
        </w:rPr>
        <w:t xml:space="preserve">Accessibility: </w:t>
      </w:r>
    </w:p>
    <w:p w14:paraId="3FF134A1" w14:textId="77777777" w:rsidR="00995DA1" w:rsidRDefault="00000000">
      <w:pPr>
        <w:spacing w:after="160"/>
      </w:pPr>
      <w:r>
        <w:rPr>
          <w:sz w:val="22"/>
          <w:szCs w:val="22"/>
        </w:rPr>
        <w:t>Dashboard outputs should use colorblind-safe palettes (avoid red/green as the only differentiator for risk levels), include descriptive chart titles and axis labels rather than relying on color alone to convey meaning, and provide the underlying data in table form as an alternative to any chart for screen-reader compatibility.</w:t>
      </w:r>
    </w:p>
    <w:p w14:paraId="237CDB08" w14:textId="77777777" w:rsidR="00995DA1" w:rsidRDefault="00000000">
      <w:pPr>
        <w:pStyle w:val="Heading2"/>
        <w:spacing w:before="300" w:after="120"/>
      </w:pPr>
      <w:r>
        <w:rPr>
          <w:b/>
          <w:bCs/>
          <w:sz w:val="24"/>
          <w:szCs w:val="24"/>
        </w:rPr>
        <w:t xml:space="preserve">Roll-out plan: </w:t>
      </w:r>
    </w:p>
    <w:p w14:paraId="07EB93E2" w14:textId="77777777" w:rsidR="00995DA1" w:rsidRDefault="00000000">
      <w:pPr>
        <w:spacing w:after="160"/>
      </w:pPr>
      <w:r>
        <w:rPr>
          <w:sz w:val="22"/>
          <w:szCs w:val="22"/>
        </w:rPr>
        <w:lastRenderedPageBreak/>
        <w:t>Scope: Big Six retail banking segment, Canada, benchmarked against UK/US/Australia (deep) and EU/India (contextual only). Priorities: (1) Canada baseline and regulatory timeline, (2) UK adoption curve as the forecasting template, (3) US/Australia comparison data, (4) Canada forecast model, (5) revenue-at-risk and competitive layer. Timeline: data collection and tracking spreadsheet first, followed by model-building, then dashboard/visualization, then written strategic recommendation and LinkedIn-ready summary.</w:t>
      </w:r>
    </w:p>
    <w:sectPr w:rsidR="00995D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30191"/>
    <w:multiLevelType w:val="hybridMultilevel"/>
    <w:tmpl w:val="6F1AC944"/>
    <w:lvl w:ilvl="0" w:tplc="E5FEE2DE">
      <w:start w:val="1"/>
      <w:numFmt w:val="bullet"/>
      <w:lvlText w:val="●"/>
      <w:lvlJc w:val="left"/>
      <w:pPr>
        <w:ind w:left="720" w:hanging="360"/>
      </w:pPr>
    </w:lvl>
    <w:lvl w:ilvl="1" w:tplc="24D2D7AA">
      <w:start w:val="1"/>
      <w:numFmt w:val="bullet"/>
      <w:lvlText w:val="○"/>
      <w:lvlJc w:val="left"/>
      <w:pPr>
        <w:ind w:left="1440" w:hanging="360"/>
      </w:pPr>
    </w:lvl>
    <w:lvl w:ilvl="2" w:tplc="1BCA69B6">
      <w:start w:val="1"/>
      <w:numFmt w:val="bullet"/>
      <w:lvlText w:val="■"/>
      <w:lvlJc w:val="left"/>
      <w:pPr>
        <w:ind w:left="2160" w:hanging="360"/>
      </w:pPr>
    </w:lvl>
    <w:lvl w:ilvl="3" w:tplc="C3C60838">
      <w:start w:val="1"/>
      <w:numFmt w:val="bullet"/>
      <w:lvlText w:val="●"/>
      <w:lvlJc w:val="left"/>
      <w:pPr>
        <w:ind w:left="2880" w:hanging="360"/>
      </w:pPr>
    </w:lvl>
    <w:lvl w:ilvl="4" w:tplc="9F88A8C0">
      <w:start w:val="1"/>
      <w:numFmt w:val="bullet"/>
      <w:lvlText w:val="○"/>
      <w:lvlJc w:val="left"/>
      <w:pPr>
        <w:ind w:left="3600" w:hanging="360"/>
      </w:pPr>
    </w:lvl>
    <w:lvl w:ilvl="5" w:tplc="6B32DBC0">
      <w:start w:val="1"/>
      <w:numFmt w:val="bullet"/>
      <w:lvlText w:val="■"/>
      <w:lvlJc w:val="left"/>
      <w:pPr>
        <w:ind w:left="4320" w:hanging="360"/>
      </w:pPr>
    </w:lvl>
    <w:lvl w:ilvl="6" w:tplc="08C24372">
      <w:start w:val="1"/>
      <w:numFmt w:val="bullet"/>
      <w:lvlText w:val="●"/>
      <w:lvlJc w:val="left"/>
      <w:pPr>
        <w:ind w:left="5040" w:hanging="360"/>
      </w:pPr>
    </w:lvl>
    <w:lvl w:ilvl="7" w:tplc="E94E110C">
      <w:start w:val="1"/>
      <w:numFmt w:val="bullet"/>
      <w:lvlText w:val="●"/>
      <w:lvlJc w:val="left"/>
      <w:pPr>
        <w:ind w:left="5760" w:hanging="360"/>
      </w:pPr>
    </w:lvl>
    <w:lvl w:ilvl="8" w:tplc="7B4EC9FC">
      <w:start w:val="1"/>
      <w:numFmt w:val="bullet"/>
      <w:lvlText w:val="●"/>
      <w:lvlJc w:val="left"/>
      <w:pPr>
        <w:ind w:left="6480" w:hanging="360"/>
      </w:pPr>
    </w:lvl>
  </w:abstractNum>
  <w:num w:numId="1" w16cid:durableId="1429158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DA1"/>
    <w:rsid w:val="00995DA1"/>
    <w:rsid w:val="00A01C47"/>
    <w:rsid w:val="00F720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FF8E2"/>
  <w15:docId w15:val="{CCA2AEB3-0AD2-46D0-8EE8-69A294C5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Sagwal</cp:lastModifiedBy>
  <cp:revision>3</cp:revision>
  <dcterms:created xsi:type="dcterms:W3CDTF">2026-07-14T17:11:00Z</dcterms:created>
  <dcterms:modified xsi:type="dcterms:W3CDTF">2026-07-14T17:28:00Z</dcterms:modified>
</cp:coreProperties>
</file>