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Stakeholder Requirements Document: </w:t>
      </w:r>
      <w:r>
        <w:rPr>
          <w:b/>
          <w:bCs/>
          <w:color w:val="1F3864"/>
          <w:sz w:val="32"/>
          <w:szCs w:val="32"/>
        </w:rPr>
        <w:t xml:space="preserve">Open Banking in Canada — Threat/Opportunity Analysis for the Big Six</w:t>
      </w:r>
    </w:p>
    <w:p>
      <w:pPr>
        <w:spacing w:after="300"/>
      </w:pPr>
      <w:r>
        <w:rPr>
          <w:i/>
          <w:iCs/>
          <w:color w:val="595959"/>
          <w:sz w:val="20"/>
          <w:szCs w:val="20"/>
        </w:rPr>
        <w:t xml:space="preserve">Portfolio project — mock engagement for demonstration purposes</w:t>
      </w:r>
    </w:p>
    <w:p>
      <w:pPr>
        <w:pStyle w:val="Heading2"/>
        <w:spacing w:after="120" w:before="300"/>
      </w:pPr>
      <w:r>
        <w:rPr>
          <w:b/>
          <w:bCs/>
          <w:sz w:val="24"/>
          <w:szCs w:val="24"/>
        </w:rPr>
        <w:t xml:space="preserve">BI Professional: </w:t>
      </w:r>
      <w:r>
        <w:rPr>
          <w:sz w:val="24"/>
          <w:szCs w:val="24"/>
        </w:rPr>
        <w:t xml:space="preserve">[Your Name]</w:t>
      </w:r>
    </w:p>
    <w:p>
      <w:pPr>
        <w:pStyle w:val="Heading2"/>
        <w:spacing w:after="120" w:before="300"/>
      </w:pPr>
      <w:r>
        <w:rPr>
          <w:b/>
          <w:bCs/>
          <w:sz w:val="24"/>
          <w:szCs w:val="24"/>
        </w:rPr>
        <w:t xml:space="preserve">Client / Sponsor: </w:t>
      </w:r>
      <w:r>
        <w:rPr>
          <w:sz w:val="24"/>
          <w:szCs w:val="24"/>
        </w:rPr>
        <w:t xml:space="preserve">VP, Strategy &amp; Innovation — a representative Big Six Canadian bank (persona used for portfolio purposes)</w:t>
      </w:r>
    </w:p>
    <w:p>
      <w:pPr>
        <w:pStyle w:val="Heading2"/>
        <w:spacing w:after="120" w:before="300"/>
      </w:pPr>
      <w:r>
        <w:rPr>
          <w:b/>
          <w:bCs/>
          <w:sz w:val="24"/>
          <w:szCs w:val="24"/>
        </w:rPr>
        <w:t xml:space="preserve">Business problem: </w:t>
      </w:r>
    </w:p>
    <w:p>
      <w:pPr>
        <w:spacing w:after="160"/>
      </w:pPr>
      <w:r>
        <w:rPr>
          <w:sz w:val="22"/>
          <w:szCs w:val="22"/>
        </w:rPr>
        <w:t xml:space="preserve">Canada's Consumer-Driven Banking Act (CDBA) received Royal Assent in March 2026, establishing the country's first open banking framework. Roughly 9 million Canadians already share bank credentials with third-party apps through unregulated screen scraping, and Phase 1 (read access) is expected to roll out in 2026 with Phase 2 (write access/payments) targeted for mid-2027. The primary question this project answers: how exposed is a Big Six bank to fintech disintermediation as open banking rolls out, and should the bank's strategic response be to defend (control data flows, e.g. via a joint venture like Cor.Connect), partner with fintechs, or build its own embedded finance products? The BI deliverable needs to give Strategy leadership a data-backed view of adoption trajectory, revenue at risk, and competitive positioning to support that decision.</w:t>
      </w:r>
    </w:p>
    <w:p>
      <w:pPr>
        <w:pStyle w:val="Heading2"/>
        <w:spacing w:after="120" w:before="300"/>
      </w:pPr>
      <w:r>
        <w:rPr>
          <w:b/>
          <w:bCs/>
          <w:sz w:val="24"/>
          <w:szCs w:val="24"/>
        </w:rPr>
        <w:t xml:space="preserve">Stakeholders: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5%"/>
            <w:shd w:fill="1F3864" w:val="clear"/>
          </w:tcPr>
          <w:p>
            <w:r>
              <w:rPr>
                <w:b/>
                <w:bCs/>
                <w:color w:val="FFFFFF"/>
                <w:sz w:val="22"/>
                <w:szCs w:val="22"/>
              </w:rPr>
              <w:t xml:space="preserve">Stakeholder / Job Title</w:t>
            </w:r>
          </w:p>
        </w:tc>
        <w:tc>
          <w:tcPr>
            <w:tcW w:type="pct" w:w="65%"/>
            <w:shd w:fill="1F3864" w:val="clear"/>
          </w:tcPr>
          <w:p>
            <w:r>
              <w:rPr>
                <w:b/>
                <w:bCs/>
                <w:color w:val="FFFFFF"/>
                <w:sz w:val="22"/>
                <w:szCs w:val="22"/>
              </w:rPr>
              <w:t xml:space="preserve">Why they care / how they'll use the findings</w:t>
            </w:r>
          </w:p>
        </w:tc>
      </w:tr>
      <w:tr>
        <w:tc>
          <w:tcPr>
            <w:tcW w:type="pct" w:w="35%"/>
          </w:tcPr>
          <w:p>
            <w:r>
              <w:rPr>
                <w:sz w:val="22"/>
                <w:szCs w:val="22"/>
              </w:rPr>
              <w:t xml:space="preserve">VP, Strategy &amp; Innovation (Sponsor)</w:t>
            </w:r>
          </w:p>
        </w:tc>
        <w:tc>
          <w:tcPr>
            <w:tcW w:type="pct" w:w="65%"/>
          </w:tcPr>
          <w:p>
            <w:r>
              <w:rPr>
                <w:sz w:val="22"/>
                <w:szCs w:val="22"/>
              </w:rPr>
              <w:t xml:space="preserve">Owns the bank's response to open banking; needs a clear view of exposure and options to bring to the executive committee.</w:t>
            </w:r>
          </w:p>
        </w:tc>
      </w:tr>
      <w:tr>
        <w:tc>
          <w:tcPr>
            <w:tcW w:type="pct" w:w="35%"/>
          </w:tcPr>
          <w:p>
            <w:r>
              <w:rPr>
                <w:sz w:val="22"/>
                <w:szCs w:val="22"/>
              </w:rPr>
              <w:t xml:space="preserve">Chief Risk Officer / Risk Committee</w:t>
            </w:r>
          </w:p>
        </w:tc>
        <w:tc>
          <w:tcPr>
            <w:tcW w:type="pct" w:w="65%"/>
          </w:tcPr>
          <w:p>
            <w:r>
              <w:rPr>
                <w:sz w:val="22"/>
                <w:szCs w:val="22"/>
              </w:rPr>
              <w:t xml:space="preserve">Needs to understand regulatory timeline risk and revenue-at-risk exposure for board reporting.</w:t>
            </w:r>
          </w:p>
        </w:tc>
      </w:tr>
      <w:tr>
        <w:tc>
          <w:tcPr>
            <w:tcW w:type="pct" w:w="35%"/>
          </w:tcPr>
          <w:p>
            <w:r>
              <w:rPr>
                <w:sz w:val="22"/>
                <w:szCs w:val="22"/>
              </w:rPr>
              <w:t xml:space="preserve">Head of Digital Banking</w:t>
            </w:r>
          </w:p>
        </w:tc>
        <w:tc>
          <w:tcPr>
            <w:tcW w:type="pct" w:w="65%"/>
          </w:tcPr>
          <w:p>
            <w:r>
              <w:rPr>
                <w:sz w:val="22"/>
                <w:szCs w:val="22"/>
              </w:rPr>
              <w:t xml:space="preserve">Needs to know which products/segments are most exposed to fintech disintermediation to prioritize digital roadmap.</w:t>
            </w:r>
          </w:p>
        </w:tc>
      </w:tr>
      <w:tr>
        <w:tc>
          <w:tcPr>
            <w:tcW w:type="pct" w:w="35%"/>
          </w:tcPr>
          <w:p>
            <w:r>
              <w:rPr>
                <w:sz w:val="22"/>
                <w:szCs w:val="22"/>
              </w:rPr>
              <w:t xml:space="preserve">Head of Retail Banking</w:t>
            </w:r>
          </w:p>
        </w:tc>
        <w:tc>
          <w:tcPr>
            <w:tcW w:type="pct" w:w="65%"/>
          </w:tcPr>
          <w:p>
            <w:r>
              <w:rPr>
                <w:sz w:val="22"/>
                <w:szCs w:val="22"/>
              </w:rPr>
              <w:t xml:space="preserve">Needs segment-level view of which customers are most likely to adopt third-party financial apps.</w:t>
            </w:r>
          </w:p>
        </w:tc>
      </w:tr>
      <w:tr>
        <w:tc>
          <w:tcPr>
            <w:tcW w:type="pct" w:w="35%"/>
          </w:tcPr>
          <w:p>
            <w:r>
              <w:rPr>
                <w:sz w:val="22"/>
                <w:szCs w:val="22"/>
              </w:rPr>
              <w:t xml:space="preserve">Compliance &amp; Legal</w:t>
            </w:r>
          </w:p>
        </w:tc>
        <w:tc>
          <w:tcPr>
            <w:tcW w:type="pct" w:w="65%"/>
          </w:tcPr>
          <w:p>
            <w:r>
              <w:rPr>
                <w:sz w:val="22"/>
                <w:szCs w:val="22"/>
              </w:rPr>
              <w:t xml:space="preserve">Needs to track CDBA Phase 1/Phase 2 requirements and confirm the bank's readiness timeline.</w:t>
            </w:r>
          </w:p>
        </w:tc>
      </w:tr>
      <w:tr>
        <w:tc>
          <w:tcPr>
            <w:tcW w:type="pct" w:w="35%"/>
          </w:tcPr>
          <w:p>
            <w:r>
              <w:rPr>
                <w:sz w:val="22"/>
                <w:szCs w:val="22"/>
              </w:rPr>
              <w:t xml:space="preserve">Product &amp; Partnerships team</w:t>
            </w:r>
          </w:p>
        </w:tc>
        <w:tc>
          <w:tcPr>
            <w:tcW w:type="pct" w:w="65%"/>
          </w:tcPr>
          <w:p>
            <w:r>
              <w:rPr>
                <w:sz w:val="22"/>
                <w:szCs w:val="22"/>
              </w:rPr>
              <w:t xml:space="preserve">Needs competitive intelligence on fintech partners/threats (e.g., Wealthsimple, Tangerine) to inform partner-vs-build decisions.</w:t>
            </w:r>
          </w:p>
        </w:tc>
      </w:tr>
    </w:tbl>
    <w:p>
      <w:pPr>
        <w:pStyle w:val="Heading2"/>
        <w:spacing w:after="120" w:before="300"/>
      </w:pPr>
      <w:r>
        <w:rPr>
          <w:b/>
          <w:bCs/>
          <w:sz w:val="24"/>
          <w:szCs w:val="24"/>
        </w:rPr>
        <w:t xml:space="preserve">Stakeholder usage details: </w:t>
      </w:r>
    </w:p>
    <w:p>
      <w:pPr>
        <w:spacing w:after="160"/>
      </w:pPr>
      <w:r>
        <w:rPr>
          <w:sz w:val="22"/>
          <w:szCs w:val="22"/>
        </w:rPr>
        <w:t xml:space="preserve">Stakeholders will primarily consume this analysis as an interactive dashboard supplemented by a written strategic recommendation. The Strategy sponsor will use it to build the executive committee briefing. Risk and Compliance will use the regulatory timeline view to confirm internal readiness milestones align with CDBA deadlines. Digital Banking and Retail Banking leads will use the revenue-at-risk breakdown to prioritize which products/segments need a defensive digital response first. The dashboard should support drill-down (e.g., from total revenue-at-risk down to a specific product line) rather than presenting a single static number, since different stakeholders need different levels of granularity from the same underlying model.</w:t>
      </w:r>
    </w:p>
    <w:p>
      <w:pPr>
        <w:pStyle w:val="Heading2"/>
        <w:spacing w:after="120" w:before="300"/>
      </w:pPr>
      <w:r>
        <w:rPr>
          <w:b/>
          <w:bCs/>
          <w:sz w:val="24"/>
          <w:szCs w:val="24"/>
        </w:rPr>
        <w:t xml:space="preserve">Primary requirements: </w:t>
      </w:r>
    </w:p>
    <w:p>
      <w:pPr>
        <w:pStyle w:val="ListParagraph"/>
        <w:numPr>
          <w:ilvl w:val="0"/>
          <w:numId w:val="1"/>
        </w:numPr>
        <w:spacing w:after="80"/>
      </w:pPr>
      <w:r>
        <w:rPr>
          <w:sz w:val="22"/>
          <w:szCs w:val="22"/>
        </w:rPr>
        <w:t xml:space="preserve">Must present the CDBA regulatory timeline (Phase 1 read-access, Phase 2 write-access/payments) in a single, board-ready view.</w:t>
      </w:r>
    </w:p>
    <w:p>
      <w:pPr>
        <w:pStyle w:val="ListParagraph"/>
        <w:numPr>
          <w:ilvl w:val="0"/>
          <w:numId w:val="1"/>
        </w:numPr>
        <w:spacing w:after="80"/>
      </w:pPr>
      <w:r>
        <w:rPr>
          <w:sz w:val="22"/>
          <w:szCs w:val="22"/>
        </w:rPr>
        <w:t xml:space="preserve">Must quantify the at-risk customer population (the ~9 million Canadians currently using screen-scraping) and segment it where possible.</w:t>
      </w:r>
    </w:p>
    <w:p>
      <w:pPr>
        <w:pStyle w:val="ListParagraph"/>
        <w:numPr>
          <w:ilvl w:val="0"/>
          <w:numId w:val="1"/>
        </w:numPr>
        <w:spacing w:after="80"/>
      </w:pPr>
      <w:r>
        <w:rPr>
          <w:sz w:val="22"/>
          <w:szCs w:val="22"/>
        </w:rPr>
        <w:t xml:space="preserve">Must benchmark Canada's expected adoption curve against at least one mandated-regime market (UK) and one market-led market (US), plus one structurally comparable concentrated-banking market (Australia).</w:t>
      </w:r>
    </w:p>
    <w:p>
      <w:pPr>
        <w:pStyle w:val="ListParagraph"/>
        <w:numPr>
          <w:ilvl w:val="0"/>
          <w:numId w:val="1"/>
        </w:numPr>
        <w:spacing w:after="80"/>
      </w:pPr>
      <w:r>
        <w:rPr>
          <w:sz w:val="22"/>
          <w:szCs w:val="22"/>
        </w:rPr>
        <w:t xml:space="preserve">Must translate adoption forecasts into a revenue-at-risk estimate for a representative Big Six bank, broken out by product line (payments, lending, deposits).</w:t>
      </w:r>
    </w:p>
    <w:p>
      <w:pPr>
        <w:pStyle w:val="ListParagraph"/>
        <w:numPr>
          <w:ilvl w:val="0"/>
          <w:numId w:val="1"/>
        </w:numPr>
        <w:spacing w:after="80"/>
      </w:pPr>
      <w:r>
        <w:rPr>
          <w:sz w:val="22"/>
          <w:szCs w:val="22"/>
        </w:rPr>
        <w:t xml:space="preserve">Must surface competitor and industry signals (e.g., the Cor.Connect joint venture, fintech partnership moves) so Strategy can track how peers are positioning.</w:t>
      </w:r>
    </w:p>
    <w:p>
      <w:pPr>
        <w:pStyle w:val="ListParagraph"/>
        <w:numPr>
          <w:ilvl w:val="0"/>
          <w:numId w:val="1"/>
        </w:numPr>
        <w:spacing w:after="80"/>
      </w:pPr>
      <w:r>
        <w:rPr>
          <w:sz w:val="22"/>
          <w:szCs w:val="22"/>
        </w:rPr>
        <w:t xml:space="preserve">Must clearly distinguish sourced, verifiable data points from analyst estimates/assumptions, given this will inform strategic recommendations.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2026-07-14T17:10:36.024Z</dcterms:created>
  <dcterms:modified xsi:type="dcterms:W3CDTF">2026-07-14T17:10:36.048Z</dcterms:modified>
</cp:coreProperties>
</file>

<file path=docProps/custom.xml><?xml version="1.0" encoding="utf-8"?>
<Properties xmlns="http://schemas.openxmlformats.org/officeDocument/2006/custom-properties" xmlns:vt="http://schemas.openxmlformats.org/officeDocument/2006/docPropsVTypes"/>
</file>