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B425D" w14:textId="77777777" w:rsidR="00DB3925" w:rsidRDefault="00000000">
      <w:pPr>
        <w:pStyle w:val="Title"/>
        <w:spacing w:after="300"/>
      </w:pPr>
      <w:r>
        <w:rPr>
          <w:b/>
          <w:bCs/>
        </w:rPr>
        <w:t>Project Requirements Document: Fraud &amp; AML Detection Dashboard</w:t>
      </w:r>
    </w:p>
    <w:p w14:paraId="659DA50D" w14:textId="77777777" w:rsidR="00DB3925" w:rsidRDefault="00000000">
      <w:pPr>
        <w:pStyle w:val="Heading2"/>
        <w:spacing w:before="280" w:after="120"/>
      </w:pPr>
      <w:r>
        <w:rPr>
          <w:b/>
          <w:bCs/>
        </w:rPr>
        <w:t>BI Analyst:</w:t>
      </w:r>
    </w:p>
    <w:p w14:paraId="6BD1D78F" w14:textId="54544383" w:rsidR="00DB3925" w:rsidRDefault="000B77F4">
      <w:pPr>
        <w:spacing w:after="200"/>
      </w:pPr>
      <w:r>
        <w:t>Jatin Sagwal</w:t>
      </w:r>
    </w:p>
    <w:p w14:paraId="6C47821B" w14:textId="77777777" w:rsidR="00DB3925" w:rsidRDefault="00000000">
      <w:pPr>
        <w:pStyle w:val="Heading2"/>
        <w:spacing w:before="280" w:after="120"/>
      </w:pPr>
      <w:r>
        <w:rPr>
          <w:b/>
          <w:bCs/>
        </w:rPr>
        <w:t>Client/Sponsor:</w:t>
      </w:r>
    </w:p>
    <w:p w14:paraId="0E573B13" w14:textId="77777777" w:rsidR="00DB3925" w:rsidRDefault="00000000">
      <w:pPr>
        <w:spacing w:after="200"/>
      </w:pPr>
      <w:r>
        <w:t>Sarah Nguyen, VP of Financial Crime &amp; Fraud Risk, Maple Ridge Financial Group (fictional Canadian bank used for this portfolio project)</w:t>
      </w:r>
    </w:p>
    <w:p w14:paraId="438205B8" w14:textId="77777777" w:rsidR="00DB3925" w:rsidRDefault="00000000">
      <w:pPr>
        <w:pStyle w:val="Heading2"/>
        <w:spacing w:before="280" w:after="120"/>
      </w:pPr>
      <w:r>
        <w:rPr>
          <w:b/>
          <w:bCs/>
        </w:rPr>
        <w:t>Purpose:</w:t>
      </w:r>
    </w:p>
    <w:p w14:paraId="6E223810" w14:textId="77777777" w:rsidR="00DB3925" w:rsidRDefault="00000000">
      <w:pPr>
        <w:spacing w:after="200"/>
      </w:pPr>
      <w:r>
        <w:t>Fraud losses and regulatory expectations from FINTRAC are both rising, while Maple Ridge's current process treats fraud detection and AML investigation as two disconnected workflows: a rules engine flags individual transactions, and a separate manual process traces suspicious accounts. This project builds a single BI solution that scores transactions for anomalous/fraudulent behaviour and automatically maps flagged accounts into a transaction network, so analysts can catch structured, multi-account laundering rings earlier and file better-supported STRs. Investing in this now reduces fraud losses, cuts analyst time spent on low-value alerts, and strengthens the bank's audit position ahead of its next FINTRAC compliance examination.</w:t>
      </w:r>
    </w:p>
    <w:p w14:paraId="31CD9DF2" w14:textId="77777777" w:rsidR="00DB3925" w:rsidRDefault="00000000">
      <w:pPr>
        <w:pStyle w:val="Heading2"/>
        <w:spacing w:before="280" w:after="120"/>
      </w:pPr>
      <w:r>
        <w:rPr>
          <w:b/>
          <w:bCs/>
        </w:rPr>
        <w:t>Key dependencies:</w:t>
      </w:r>
    </w:p>
    <w:p w14:paraId="3831288D" w14:textId="77777777" w:rsidR="00DB3925" w:rsidRDefault="00000000">
      <w:pPr>
        <w:pStyle w:val="ListParagraph"/>
        <w:numPr>
          <w:ilvl w:val="0"/>
          <w:numId w:val="2"/>
        </w:numPr>
        <w:spacing w:after="80"/>
      </w:pPr>
      <w:r>
        <w:t>Data Engineering: provisions the transaction data pipeline (batch or streaming) and account reference data.</w:t>
      </w:r>
    </w:p>
    <w:p w14:paraId="50ED88AE" w14:textId="77777777" w:rsidR="00DB3925" w:rsidRDefault="00000000">
      <w:pPr>
        <w:pStyle w:val="ListParagraph"/>
        <w:numPr>
          <w:ilvl w:val="0"/>
          <w:numId w:val="2"/>
        </w:numPr>
        <w:spacing w:after="80"/>
      </w:pPr>
      <w:r>
        <w:t>Data Science Team: builds and maintains the anomaly-scoring model and the network/community-detection logic.</w:t>
      </w:r>
    </w:p>
    <w:p w14:paraId="43A164C9" w14:textId="77777777" w:rsidR="00DB3925" w:rsidRDefault="00000000">
      <w:pPr>
        <w:pStyle w:val="ListParagraph"/>
        <w:numPr>
          <w:ilvl w:val="0"/>
          <w:numId w:val="2"/>
        </w:numPr>
        <w:spacing w:after="80"/>
      </w:pPr>
      <w:r>
        <w:t>Compliance/AML Team: validates that detection logic and STR export fields align with current FINTRAC guidance.</w:t>
      </w:r>
    </w:p>
    <w:p w14:paraId="21A44A3D" w14:textId="77777777" w:rsidR="00DB3925" w:rsidRDefault="00000000">
      <w:pPr>
        <w:pStyle w:val="ListParagraph"/>
        <w:numPr>
          <w:ilvl w:val="0"/>
          <w:numId w:val="2"/>
        </w:numPr>
        <w:spacing w:after="80"/>
      </w:pPr>
      <w:r>
        <w:t>BI/Analytics (this project): designs and builds the dashboard layer, defines metrics, and owns delivery.</w:t>
      </w:r>
    </w:p>
    <w:p w14:paraId="36C0CA1F" w14:textId="77777777" w:rsidR="00DB3925" w:rsidRDefault="00000000">
      <w:pPr>
        <w:pStyle w:val="ListParagraph"/>
        <w:numPr>
          <w:ilvl w:val="0"/>
          <w:numId w:val="2"/>
        </w:numPr>
        <w:spacing w:after="80"/>
      </w:pPr>
      <w:r>
        <w:t>Expected deliverables: a working dashboard (transaction-scoring view + network-investigation view), a documented data pipeline, a sample SAR-style investigation report, and a project write-up suitable for a portfolio/case-study presentation.</w:t>
      </w:r>
    </w:p>
    <w:p w14:paraId="1D16D770" w14:textId="77777777" w:rsidR="00DB3925" w:rsidRDefault="00000000">
      <w:pPr>
        <w:pStyle w:val="Heading2"/>
        <w:spacing w:before="280" w:after="120"/>
      </w:pPr>
      <w:r>
        <w:rPr>
          <w:b/>
          <w:bCs/>
        </w:rPr>
        <w:t>Stakeholder requirements:</w:t>
      </w:r>
    </w:p>
    <w:p w14:paraId="1053A4CE" w14:textId="77777777" w:rsidR="00DB3925" w:rsidRDefault="00000000">
      <w:pPr>
        <w:spacing w:after="200"/>
      </w:pPr>
      <w:r>
        <w:t>Prioritized as R = required, D = desired, N = nice to have, based on the Stakeholder Requirements Document.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1600"/>
      </w:tblGrid>
      <w:tr w:rsidR="00DB3925" w14:paraId="5DC70466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E62064" w14:textId="77777777" w:rsidR="00DB3925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586F3" w14:textId="77777777" w:rsidR="00DB3925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DB3925" w14:paraId="33ADD7AA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09B04" w14:textId="77777777" w:rsidR="00DB3925" w:rsidRDefault="00000000">
            <w:r>
              <w:t>Real-time / near-real-time transaction scoring for fraud likelihood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7B9C0" w14:textId="77777777" w:rsidR="00DB3925" w:rsidRDefault="00000000">
            <w:r>
              <w:t>R</w:t>
            </w:r>
          </w:p>
        </w:tc>
      </w:tr>
      <w:tr w:rsidR="00DB3925" w14:paraId="7A5632DC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37513A" w14:textId="77777777" w:rsidR="00DB3925" w:rsidRDefault="00000000">
            <w:r>
              <w:t>Automated account-network construction for flagged accounts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33E7F2" w14:textId="77777777" w:rsidR="00DB3925" w:rsidRDefault="00000000">
            <w:r>
              <w:t>R</w:t>
            </w:r>
          </w:p>
        </w:tc>
      </w:tr>
      <w:tr w:rsidR="00DB3925" w14:paraId="5F968B16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EA1D2E" w14:textId="77777777" w:rsidR="00DB3925" w:rsidRDefault="00000000">
            <w:r>
              <w:t>Community/cluster detection to surface structuring or layering rings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6E3FE8" w14:textId="77777777" w:rsidR="00DB3925" w:rsidRDefault="00000000">
            <w:r>
              <w:t>R</w:t>
            </w:r>
          </w:p>
        </w:tc>
      </w:tr>
      <w:tr w:rsidR="00DB3925" w14:paraId="6030A42C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2A2BC" w14:textId="77777777" w:rsidR="00DB3925" w:rsidRDefault="00000000">
            <w:r>
              <w:t>CAD $10,000 structuring-threshold logic built into detection rules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9D4AC" w14:textId="77777777" w:rsidR="00DB3925" w:rsidRDefault="00000000">
            <w:r>
              <w:t>R</w:t>
            </w:r>
          </w:p>
        </w:tc>
      </w:tr>
      <w:tr w:rsidR="00DB3925" w14:paraId="0551A8D2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71615" w14:textId="77777777" w:rsidR="00DB3925" w:rsidRDefault="00000000">
            <w:r>
              <w:t>FINTRAC STR-aligned investigation export (fields matching Annex A)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B70543" w14:textId="77777777" w:rsidR="00DB3925" w:rsidRDefault="00000000">
            <w:r>
              <w:t>R</w:t>
            </w:r>
          </w:p>
        </w:tc>
      </w:tr>
      <w:tr w:rsidR="00DB3925" w14:paraId="230C040B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62CB9" w14:textId="77777777" w:rsidR="00DB3925" w:rsidRDefault="00000000">
            <w:r>
              <w:lastRenderedPageBreak/>
              <w:t>Role-based dashboard views (Ops, Compliance, Data Science, Executive)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AE8408" w14:textId="77777777" w:rsidR="00DB3925" w:rsidRDefault="00000000">
            <w:r>
              <w:t>R</w:t>
            </w:r>
          </w:p>
        </w:tc>
      </w:tr>
      <w:tr w:rsidR="00DB3925" w14:paraId="08894042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03EB5F" w14:textId="77777777" w:rsidR="00DB3925" w:rsidRDefault="00000000">
            <w:r>
              <w:t>Audit trail of alert review actions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695906" w14:textId="77777777" w:rsidR="00DB3925" w:rsidRDefault="00000000">
            <w:r>
              <w:t>R</w:t>
            </w:r>
          </w:p>
        </w:tc>
      </w:tr>
      <w:tr w:rsidR="00DB3925" w14:paraId="176651B2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2C7DF" w14:textId="77777777" w:rsidR="00DB3925" w:rsidRDefault="00000000">
            <w:r>
              <w:t>Drill-down from transaction → account → network graph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6A69B7" w14:textId="77777777" w:rsidR="00DB3925" w:rsidRDefault="00000000">
            <w:r>
              <w:t>D</w:t>
            </w:r>
          </w:p>
        </w:tc>
      </w:tr>
      <w:tr w:rsidR="00DB3925" w14:paraId="33A83EDB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58E6B1" w14:textId="77777777" w:rsidR="00DB3925" w:rsidRDefault="00000000">
            <w:r>
              <w:t>Model performance monitoring (precision/recall, score drift) view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6E3A7" w14:textId="77777777" w:rsidR="00DB3925" w:rsidRDefault="00000000">
            <w:r>
              <w:t>D</w:t>
            </w:r>
          </w:p>
        </w:tc>
      </w:tr>
      <w:tr w:rsidR="00DB3925" w14:paraId="57E76E6E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03272" w14:textId="77777777" w:rsidR="00DB3925" w:rsidRDefault="00000000">
            <w:r>
              <w:t>Geographic view of flagged activity by Canadian province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1C25EA" w14:textId="77777777" w:rsidR="00DB3925" w:rsidRDefault="00000000">
            <w:r>
              <w:t>D</w:t>
            </w:r>
          </w:p>
        </w:tc>
      </w:tr>
      <w:tr w:rsidR="00DB3925" w14:paraId="5F3C411F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84456E" w14:textId="77777777" w:rsidR="00DB3925" w:rsidRDefault="00000000">
            <w:r>
              <w:t>Alerting/notification integration (e.g., email/Slack) for critical rings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87423" w14:textId="77777777" w:rsidR="00DB3925" w:rsidRDefault="00000000">
            <w:r>
              <w:t>N</w:t>
            </w:r>
          </w:p>
        </w:tc>
      </w:tr>
      <w:tr w:rsidR="00DB3925" w14:paraId="1BE276BF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9B3D5F" w14:textId="77777777" w:rsidR="00DB3925" w:rsidRDefault="00000000">
            <w:r>
              <w:t>Historical case-outcome feedback loop to retrain the model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E29B2" w14:textId="77777777" w:rsidR="00DB3925" w:rsidRDefault="00000000">
            <w:r>
              <w:t>N</w:t>
            </w:r>
          </w:p>
        </w:tc>
      </w:tr>
    </w:tbl>
    <w:p w14:paraId="59F23223" w14:textId="77777777" w:rsidR="00DB3925" w:rsidRDefault="00DB3925">
      <w:pPr>
        <w:spacing w:after="200"/>
      </w:pPr>
    </w:p>
    <w:p w14:paraId="3B7A3DC2" w14:textId="77777777" w:rsidR="00DB3925" w:rsidRDefault="00000000">
      <w:pPr>
        <w:pStyle w:val="Heading2"/>
        <w:spacing w:before="280" w:after="120"/>
      </w:pPr>
      <w:r>
        <w:rPr>
          <w:b/>
          <w:bCs/>
        </w:rPr>
        <w:t>Success criteria:</w:t>
      </w:r>
    </w:p>
    <w:p w14:paraId="5BA01B89" w14:textId="77777777" w:rsidR="00DB3925" w:rsidRDefault="00000000">
      <w:pPr>
        <w:pStyle w:val="ListParagraph"/>
        <w:numPr>
          <w:ilvl w:val="0"/>
          <w:numId w:val="2"/>
        </w:numPr>
        <w:spacing w:after="80"/>
      </w:pPr>
      <w:r>
        <w:t>Reduce the false-positive rate reaching human analyst review by at least 25% versus the current static rules engine, measured on a held-out evaluation set within the project timeline.</w:t>
      </w:r>
    </w:p>
    <w:p w14:paraId="284D2B5E" w14:textId="77777777" w:rsidR="00DB3925" w:rsidRDefault="00000000">
      <w:pPr>
        <w:pStyle w:val="ListParagraph"/>
        <w:numPr>
          <w:ilvl w:val="0"/>
          <w:numId w:val="2"/>
        </w:numPr>
        <w:spacing w:after="80"/>
      </w:pPr>
      <w:r>
        <w:t>Correctly identify at least 90% of synthetically injected structuring/layering rings in the test dataset (recall on known-labeled ring patterns).</w:t>
      </w:r>
    </w:p>
    <w:p w14:paraId="33856B66" w14:textId="77777777" w:rsidR="00DB3925" w:rsidRDefault="00000000">
      <w:pPr>
        <w:pStyle w:val="ListParagraph"/>
        <w:numPr>
          <w:ilvl w:val="0"/>
          <w:numId w:val="2"/>
        </w:numPr>
        <w:spacing w:after="80"/>
      </w:pPr>
      <w:r>
        <w:t>Enable an analyst to move from a flagged transaction to a full network view of the related accounts in 3 clicks or fewer.</w:t>
      </w:r>
    </w:p>
    <w:p w14:paraId="2075EF04" w14:textId="77777777" w:rsidR="00DB3925" w:rsidRDefault="00000000">
      <w:pPr>
        <w:pStyle w:val="ListParagraph"/>
        <w:numPr>
          <w:ilvl w:val="0"/>
          <w:numId w:val="2"/>
        </w:numPr>
        <w:spacing w:after="80"/>
      </w:pPr>
      <w:r>
        <w:t>Produce at least one complete, FINTRAC-STR-formatted investigation write-up generated directly from dashboard output, reviewed for structural completeness against Annex A fields.</w:t>
      </w:r>
    </w:p>
    <w:p w14:paraId="675F2074" w14:textId="77777777" w:rsidR="00DB3925" w:rsidRDefault="00000000">
      <w:pPr>
        <w:pStyle w:val="ListParagraph"/>
        <w:numPr>
          <w:ilvl w:val="0"/>
          <w:numId w:val="2"/>
        </w:numPr>
        <w:spacing w:after="80"/>
      </w:pPr>
      <w:r>
        <w:t>Deliver a working dashboard, documented pipeline, and case-study write-up within the 6–8 week self-imposed project timeline.</w:t>
      </w:r>
    </w:p>
    <w:p w14:paraId="476CDE3A" w14:textId="77777777" w:rsidR="00DB3925" w:rsidRDefault="00000000">
      <w:pPr>
        <w:pStyle w:val="Heading2"/>
        <w:spacing w:before="280" w:after="120"/>
      </w:pPr>
      <w:r>
        <w:rPr>
          <w:b/>
          <w:bCs/>
        </w:rPr>
        <w:t>User journeys:</w:t>
      </w:r>
    </w:p>
    <w:p w14:paraId="369639FA" w14:textId="77777777" w:rsidR="00DB3925" w:rsidRDefault="00000000">
      <w:pPr>
        <w:spacing w:after="200"/>
      </w:pPr>
      <w:r>
        <w:t>Current state: A fraud analyst reviews a queue of rule-triggered alerts one at a time, with no score ranking and no visibility into whether the flagged account is connected to other suspicious accounts. If a pattern is suspected, a separate AML analyst manually pulls each related account's history from the core banking system and builds the connections by hand in a spreadsheet — a process that can take days and often misses indirect (2–3 hop) connections.</w:t>
      </w:r>
    </w:p>
    <w:p w14:paraId="3C3AFCAB" w14:textId="77777777" w:rsidR="00DB3925" w:rsidRDefault="00000000">
      <w:pPr>
        <w:spacing w:after="200"/>
      </w:pPr>
      <w:r>
        <w:t>Future state: A fraud analyst opens the dashboard and sees transactions ranked by anomaly score with risk tier and key flags visible at a glance. Selecting a flagged transaction shows the account's history and, if the account is part of a cluster, its full network graph with structuring/layering indicators already highlighted. The analyst exports the network view and supporting metrics directly into an STR-ready investigation summary, cutting investigation time from days to hours.</w:t>
      </w:r>
    </w:p>
    <w:p w14:paraId="3DFC0596" w14:textId="77777777" w:rsidR="00DB3925" w:rsidRDefault="00000000">
      <w:pPr>
        <w:pStyle w:val="Heading2"/>
        <w:spacing w:before="280" w:after="120"/>
      </w:pPr>
      <w:r>
        <w:rPr>
          <w:b/>
          <w:bCs/>
        </w:rPr>
        <w:t>Assumptions:</w:t>
      </w:r>
    </w:p>
    <w:p w14:paraId="086F20B0" w14:textId="77777777" w:rsidR="00DB3925" w:rsidRDefault="00000000">
      <w:pPr>
        <w:pStyle w:val="ListParagraph"/>
        <w:numPr>
          <w:ilvl w:val="0"/>
          <w:numId w:val="2"/>
        </w:numPr>
        <w:spacing w:after="80"/>
      </w:pPr>
      <w:r>
        <w:t>Real Canadian bank transaction data is not obtainable for this portfolio project due to PIPEDA and Bank Act confidentiality restrictions; a synthetic transaction dataset (e.g., PaySim or IBM AMLSim) calibrated to CAD amounts and the FINTRAC $10,000 structuring threshold will stand in for production data.</w:t>
      </w:r>
    </w:p>
    <w:p w14:paraId="2A45C792" w14:textId="77777777" w:rsidR="00DB3925" w:rsidRDefault="00000000">
      <w:pPr>
        <w:pStyle w:val="ListParagraph"/>
        <w:numPr>
          <w:ilvl w:val="0"/>
          <w:numId w:val="2"/>
        </w:numPr>
        <w:spacing w:after="80"/>
      </w:pPr>
      <w:r>
        <w:t>"Maple Ridge Financial Group" is a fictional bank created for this project; no real institution's name, logo, or proprietary data is used.</w:t>
      </w:r>
    </w:p>
    <w:p w14:paraId="5205F864" w14:textId="77777777" w:rsidR="00DB3925" w:rsidRDefault="00000000">
      <w:pPr>
        <w:pStyle w:val="ListParagraph"/>
        <w:numPr>
          <w:ilvl w:val="0"/>
          <w:numId w:val="2"/>
        </w:numPr>
        <w:spacing w:after="80"/>
      </w:pPr>
      <w:r>
        <w:t>The project is built and demonstrated as an individual portfolio piece, not a production deployment, so infrastructure choices favour clarity and reproducibility (e.g., NetworkX/Streamlit) over enterprise scale (e.g., Neo4j clusters, Kafka streaming).</w:t>
      </w:r>
    </w:p>
    <w:p w14:paraId="4A16F1B0" w14:textId="77777777" w:rsidR="00DB3925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FINTRAC's current STR field structure and the CAD $10,000 threshold, as published at project start (2026), remain the reference standard used throughout.</w:t>
      </w:r>
    </w:p>
    <w:p w14:paraId="6D42D336" w14:textId="77777777" w:rsidR="00DB3925" w:rsidRDefault="00000000">
      <w:pPr>
        <w:pStyle w:val="Heading2"/>
        <w:spacing w:before="280" w:after="120"/>
      </w:pPr>
      <w:r>
        <w:rPr>
          <w:b/>
          <w:bCs/>
        </w:rPr>
        <w:t>Compliance and privacy:</w:t>
      </w:r>
    </w:p>
    <w:p w14:paraId="37ADBC7F" w14:textId="77777777" w:rsidR="00DB3925" w:rsidRDefault="00000000">
      <w:pPr>
        <w:spacing w:after="200"/>
      </w:pPr>
      <w:r>
        <w:t>Because this is a portfolio project using synthetic data, no real personally identifiable information (PII) or real account data is processed, which sidesteps PIPEDA obligations directly — but the project is designed to demonstrate awareness of them. All synthetic account holders use clearly fictional names, and the write-up explicitly states the data is synthetic. The investigation-report format mirrors FINTRAC's real STR field structure so the project demonstrates regulatory-grade thinking without implying access to real regulated data.</w:t>
      </w:r>
    </w:p>
    <w:p w14:paraId="1F2533F9" w14:textId="77777777" w:rsidR="00DB3925" w:rsidRDefault="00000000">
      <w:pPr>
        <w:pStyle w:val="Heading2"/>
        <w:spacing w:before="280" w:after="120"/>
      </w:pPr>
      <w:r>
        <w:rPr>
          <w:b/>
          <w:bCs/>
        </w:rPr>
        <w:t>Accessibility:</w:t>
      </w:r>
    </w:p>
    <w:p w14:paraId="71479725" w14:textId="77777777" w:rsidR="00DB3925" w:rsidRDefault="00000000">
      <w:pPr>
        <w:pStyle w:val="ListParagraph"/>
        <w:numPr>
          <w:ilvl w:val="0"/>
          <w:numId w:val="2"/>
        </w:numPr>
        <w:spacing w:after="80"/>
      </w:pPr>
      <w:r>
        <w:t>Use colour palettes that remain distinguishable for colour-blind users (avoid red/green as the only risk-tier signal; pair colour with icons or labels).</w:t>
      </w:r>
    </w:p>
    <w:p w14:paraId="627E4F6A" w14:textId="77777777" w:rsidR="00DB3925" w:rsidRDefault="00000000">
      <w:pPr>
        <w:pStyle w:val="ListParagraph"/>
        <w:numPr>
          <w:ilvl w:val="0"/>
          <w:numId w:val="2"/>
        </w:numPr>
        <w:spacing w:after="80"/>
      </w:pPr>
      <w:r>
        <w:t>Ensure all charts have descriptive titles and axis labels usable with a screen reader, and provide alt text for the network graph visualization.</w:t>
      </w:r>
    </w:p>
    <w:p w14:paraId="22B981C8" w14:textId="77777777" w:rsidR="00DB3925" w:rsidRDefault="00000000">
      <w:pPr>
        <w:pStyle w:val="ListParagraph"/>
        <w:numPr>
          <w:ilvl w:val="0"/>
          <w:numId w:val="2"/>
        </w:numPr>
        <w:spacing w:after="80"/>
      </w:pPr>
      <w:r>
        <w:t>Maintain sufficient text/background contrast and legible font sizes across all dashboard views.</w:t>
      </w:r>
    </w:p>
    <w:p w14:paraId="41B49B31" w14:textId="77777777" w:rsidR="00DB3925" w:rsidRDefault="00000000">
      <w:pPr>
        <w:pStyle w:val="ListParagraph"/>
        <w:numPr>
          <w:ilvl w:val="0"/>
          <w:numId w:val="2"/>
        </w:numPr>
        <w:spacing w:after="80"/>
      </w:pPr>
      <w:r>
        <w:t>Provide key metrics in an accompanying data table, not solely as a visual, so the same information is available non-visually.</w:t>
      </w:r>
    </w:p>
    <w:p w14:paraId="48B26FDB" w14:textId="77777777" w:rsidR="00DB3925" w:rsidRDefault="00000000">
      <w:pPr>
        <w:pStyle w:val="Heading2"/>
        <w:spacing w:before="280" w:after="120"/>
      </w:pPr>
      <w:r>
        <w:rPr>
          <w:b/>
          <w:bCs/>
        </w:rPr>
        <w:t>Roll-out plan:</w:t>
      </w:r>
    </w:p>
    <w:p w14:paraId="007A0239" w14:textId="77777777" w:rsidR="00DB3925" w:rsidRDefault="00000000">
      <w:pPr>
        <w:spacing w:after="200"/>
      </w:pPr>
      <w:r>
        <w:t>Scope for v1: transaction anomaly scoring, account network construction, structuring/layering flagging, and the core dashboard views listed in the Strategy Document. Priorities and rough timeline for this self-paced project:</w:t>
      </w:r>
    </w:p>
    <w:p w14:paraId="63B3FA21" w14:textId="77777777" w:rsidR="00DB3925" w:rsidRDefault="00000000">
      <w:pPr>
        <w:pStyle w:val="ListParagraph"/>
        <w:numPr>
          <w:ilvl w:val="0"/>
          <w:numId w:val="2"/>
        </w:numPr>
        <w:spacing w:after="80"/>
      </w:pPr>
      <w:r>
        <w:t>Weeks 1–2: Acquire and adapt synthetic dataset to CAD/Canadian context; build feature set.</w:t>
      </w:r>
    </w:p>
    <w:p w14:paraId="0A8FB163" w14:textId="77777777" w:rsidR="00DB3925" w:rsidRDefault="00000000">
      <w:pPr>
        <w:pStyle w:val="ListParagraph"/>
        <w:numPr>
          <w:ilvl w:val="0"/>
          <w:numId w:val="2"/>
        </w:numPr>
        <w:spacing w:after="80"/>
      </w:pPr>
      <w:r>
        <w:t>Weeks 3–4: Build and validate the anomaly-scoring model (Isolation Forest / XGBoost).</w:t>
      </w:r>
    </w:p>
    <w:p w14:paraId="4594E966" w14:textId="77777777" w:rsidR="00DB3925" w:rsidRDefault="00000000">
      <w:pPr>
        <w:pStyle w:val="ListParagraph"/>
        <w:numPr>
          <w:ilvl w:val="0"/>
          <w:numId w:val="2"/>
        </w:numPr>
        <w:spacing w:after="80"/>
      </w:pPr>
      <w:r>
        <w:t>Weeks 5–6: Build the network layer (graph construction, community detection, structuring/layering rules).</w:t>
      </w:r>
    </w:p>
    <w:p w14:paraId="7CCABE00" w14:textId="77777777" w:rsidR="00DB3925" w:rsidRDefault="00000000">
      <w:pPr>
        <w:pStyle w:val="ListParagraph"/>
        <w:numPr>
          <w:ilvl w:val="0"/>
          <w:numId w:val="2"/>
        </w:numPr>
        <w:spacing w:after="80"/>
      </w:pPr>
      <w:r>
        <w:t>Weeks 7–8: Build the dashboard, write the sample STR-style investigation report, and finalize the portfolio write-up.</w:t>
      </w:r>
    </w:p>
    <w:p w14:paraId="08E7FEF0" w14:textId="77777777" w:rsidR="00DB3925" w:rsidRDefault="00000000">
      <w:pPr>
        <w:spacing w:after="200"/>
      </w:pPr>
      <w:r>
        <w:t>Out of scope for v1: real-time streaming ingestion, production authentication/access control, and integration with a live core banking system — noted as "future work" in the final write-up.</w:t>
      </w:r>
    </w:p>
    <w:sectPr w:rsidR="00DB392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416E5"/>
    <w:multiLevelType w:val="hybridMultilevel"/>
    <w:tmpl w:val="E57699B8"/>
    <w:lvl w:ilvl="0" w:tplc="A5C4C4A0">
      <w:start w:val="1"/>
      <w:numFmt w:val="bullet"/>
      <w:lvlText w:val="●"/>
      <w:lvlJc w:val="left"/>
      <w:pPr>
        <w:ind w:left="720" w:hanging="360"/>
      </w:pPr>
    </w:lvl>
    <w:lvl w:ilvl="1" w:tplc="E1B8048A">
      <w:start w:val="1"/>
      <w:numFmt w:val="bullet"/>
      <w:lvlText w:val="○"/>
      <w:lvlJc w:val="left"/>
      <w:pPr>
        <w:ind w:left="1440" w:hanging="360"/>
      </w:pPr>
    </w:lvl>
    <w:lvl w:ilvl="2" w:tplc="7342226C">
      <w:start w:val="1"/>
      <w:numFmt w:val="bullet"/>
      <w:lvlText w:val="■"/>
      <w:lvlJc w:val="left"/>
      <w:pPr>
        <w:ind w:left="2160" w:hanging="360"/>
      </w:pPr>
    </w:lvl>
    <w:lvl w:ilvl="3" w:tplc="064E3B48">
      <w:start w:val="1"/>
      <w:numFmt w:val="bullet"/>
      <w:lvlText w:val="●"/>
      <w:lvlJc w:val="left"/>
      <w:pPr>
        <w:ind w:left="2880" w:hanging="360"/>
      </w:pPr>
    </w:lvl>
    <w:lvl w:ilvl="4" w:tplc="C9347484">
      <w:start w:val="1"/>
      <w:numFmt w:val="bullet"/>
      <w:lvlText w:val="○"/>
      <w:lvlJc w:val="left"/>
      <w:pPr>
        <w:ind w:left="3600" w:hanging="360"/>
      </w:pPr>
    </w:lvl>
    <w:lvl w:ilvl="5" w:tplc="6B7E5166">
      <w:start w:val="1"/>
      <w:numFmt w:val="bullet"/>
      <w:lvlText w:val="■"/>
      <w:lvlJc w:val="left"/>
      <w:pPr>
        <w:ind w:left="4320" w:hanging="360"/>
      </w:pPr>
    </w:lvl>
    <w:lvl w:ilvl="6" w:tplc="49C80250">
      <w:start w:val="1"/>
      <w:numFmt w:val="bullet"/>
      <w:lvlText w:val="●"/>
      <w:lvlJc w:val="left"/>
      <w:pPr>
        <w:ind w:left="5040" w:hanging="360"/>
      </w:pPr>
    </w:lvl>
    <w:lvl w:ilvl="7" w:tplc="01B60A86">
      <w:start w:val="1"/>
      <w:numFmt w:val="bullet"/>
      <w:lvlText w:val="●"/>
      <w:lvlJc w:val="left"/>
      <w:pPr>
        <w:ind w:left="5760" w:hanging="360"/>
      </w:pPr>
    </w:lvl>
    <w:lvl w:ilvl="8" w:tplc="1D92E7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D5019F"/>
    <w:multiLevelType w:val="hybridMultilevel"/>
    <w:tmpl w:val="A4F01082"/>
    <w:lvl w:ilvl="0" w:tplc="9356BC90">
      <w:start w:val="1"/>
      <w:numFmt w:val="bullet"/>
      <w:lvlText w:val="•"/>
      <w:lvlJc w:val="left"/>
      <w:pPr>
        <w:ind w:left="720" w:hanging="360"/>
      </w:pPr>
    </w:lvl>
    <w:lvl w:ilvl="1" w:tplc="605C3DB0">
      <w:numFmt w:val="decimal"/>
      <w:lvlText w:val=""/>
      <w:lvlJc w:val="left"/>
    </w:lvl>
    <w:lvl w:ilvl="2" w:tplc="FE3C01A8">
      <w:numFmt w:val="decimal"/>
      <w:lvlText w:val=""/>
      <w:lvlJc w:val="left"/>
    </w:lvl>
    <w:lvl w:ilvl="3" w:tplc="EEC0F3C8">
      <w:numFmt w:val="decimal"/>
      <w:lvlText w:val=""/>
      <w:lvlJc w:val="left"/>
    </w:lvl>
    <w:lvl w:ilvl="4" w:tplc="0982043A">
      <w:numFmt w:val="decimal"/>
      <w:lvlText w:val=""/>
      <w:lvlJc w:val="left"/>
    </w:lvl>
    <w:lvl w:ilvl="5" w:tplc="5D3EAB18">
      <w:numFmt w:val="decimal"/>
      <w:lvlText w:val=""/>
      <w:lvlJc w:val="left"/>
    </w:lvl>
    <w:lvl w:ilvl="6" w:tplc="335CB624">
      <w:numFmt w:val="decimal"/>
      <w:lvlText w:val=""/>
      <w:lvlJc w:val="left"/>
    </w:lvl>
    <w:lvl w:ilvl="7" w:tplc="3C282EAA">
      <w:numFmt w:val="decimal"/>
      <w:lvlText w:val=""/>
      <w:lvlJc w:val="left"/>
    </w:lvl>
    <w:lvl w:ilvl="8" w:tplc="7A407C88">
      <w:numFmt w:val="decimal"/>
      <w:lvlText w:val=""/>
      <w:lvlJc w:val="left"/>
    </w:lvl>
  </w:abstractNum>
  <w:num w:numId="1" w16cid:durableId="2060787972">
    <w:abstractNumId w:val="0"/>
    <w:lvlOverride w:ilvl="0">
      <w:startOverride w:val="1"/>
    </w:lvlOverride>
  </w:num>
  <w:num w:numId="2" w16cid:durableId="477304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925"/>
    <w:rsid w:val="000B77F4"/>
    <w:rsid w:val="00B45E6C"/>
    <w:rsid w:val="00DB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750D8"/>
  <w15:docId w15:val="{05F33364-04F3-4A47-B783-2801C6766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1000</Words>
  <Characters>6157</Characters>
  <Application>Microsoft Office Word</Application>
  <DocSecurity>0</DocSecurity>
  <Lines>111</Lines>
  <Paragraphs>79</Paragraphs>
  <ScaleCrop>false</ScaleCrop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Jatin Sagwal</cp:lastModifiedBy>
  <cp:revision>2</cp:revision>
  <dcterms:created xsi:type="dcterms:W3CDTF">2026-07-24T13:55:00Z</dcterms:created>
  <dcterms:modified xsi:type="dcterms:W3CDTF">2026-07-24T14:00:00Z</dcterms:modified>
</cp:coreProperties>
</file>