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585B8" w14:textId="77777777" w:rsidR="00565A22" w:rsidRDefault="00000000">
      <w:pPr>
        <w:pStyle w:val="Title"/>
        <w:spacing w:after="300"/>
      </w:pPr>
      <w:r>
        <w:rPr>
          <w:b/>
          <w:bCs/>
        </w:rPr>
        <w:t>Stakeholder Requirements Document: Fraud &amp; AML Detection Dashboard</w:t>
      </w:r>
    </w:p>
    <w:p w14:paraId="6987E219" w14:textId="77777777" w:rsidR="00565A22" w:rsidRDefault="00000000">
      <w:pPr>
        <w:pStyle w:val="Heading2"/>
        <w:spacing w:before="280" w:after="120"/>
      </w:pPr>
      <w:r>
        <w:rPr>
          <w:b/>
          <w:bCs/>
        </w:rPr>
        <w:t>BI Professional:</w:t>
      </w:r>
    </w:p>
    <w:p w14:paraId="4EFD5DAE" w14:textId="68FFBC31" w:rsidR="00E10239" w:rsidRDefault="00E10239">
      <w:pPr>
        <w:spacing w:after="200"/>
      </w:pPr>
      <w:r>
        <w:t>Jatin Sagwal</w:t>
      </w:r>
    </w:p>
    <w:p w14:paraId="36232D70" w14:textId="77777777" w:rsidR="00565A22" w:rsidRDefault="00000000">
      <w:pPr>
        <w:pStyle w:val="Heading2"/>
        <w:spacing w:before="280" w:after="120"/>
      </w:pPr>
      <w:r>
        <w:rPr>
          <w:b/>
          <w:bCs/>
        </w:rPr>
        <w:t>Client/Sponsor:</w:t>
      </w:r>
    </w:p>
    <w:p w14:paraId="7E92E6FE" w14:textId="77777777" w:rsidR="00565A22" w:rsidRDefault="00000000">
      <w:pPr>
        <w:spacing w:after="200"/>
      </w:pPr>
      <w:r>
        <w:t>Sarah Nguyen, VP of Financial Crime &amp; Fraud Risk, Maple Ridge Financial Group (fictional Canadian bank used for this portfolio project)</w:t>
      </w:r>
    </w:p>
    <w:p w14:paraId="64B49F26" w14:textId="77777777" w:rsidR="00565A22" w:rsidRDefault="00000000">
      <w:pPr>
        <w:pStyle w:val="Heading2"/>
        <w:spacing w:before="280" w:after="120"/>
      </w:pPr>
      <w:r>
        <w:rPr>
          <w:b/>
          <w:bCs/>
        </w:rPr>
        <w:t>Business problem:</w:t>
      </w:r>
    </w:p>
    <w:p w14:paraId="004A5ED5" w14:textId="77777777" w:rsidR="00565A22" w:rsidRDefault="00000000">
      <w:pPr>
        <w:spacing w:after="200"/>
      </w:pPr>
      <w:r>
        <w:t>Maple Ridge Financial Group is experiencing rising fraud losses and increasing regulatory scrutiny from FINTRAC on anti-money laundering (AML) compliance. Fraud Operations currently reviews transactions using static, rules-based alerts that generate a high false-positive rate, and AML analysts investigate suspicious accounts one at a time with no visibility into how those accounts connect to a broader network. As a result, structured/layered laundering rings that move funds through multiple intermediary accounts frequently go undetected until losses are large and a Suspicious Transaction Report (STR) is filed reactively rather than proactively.</w:t>
      </w:r>
    </w:p>
    <w:p w14:paraId="4024C5AE" w14:textId="77777777" w:rsidR="00565A22" w:rsidRDefault="00000000">
      <w:pPr>
        <w:spacing w:after="200"/>
      </w:pPr>
      <w:r>
        <w:t>Primary question: How can we combine real-time, transaction-level anomaly/fraud scoring with network-level analysis of flagged accounts to (1) reduce false positives reaching human review, and (2) surface likely structuring/layering rings early enough to file timely, well-supported STRs with FINTRAC?</w:t>
      </w:r>
    </w:p>
    <w:p w14:paraId="5DC075CF" w14:textId="77777777" w:rsidR="00565A22" w:rsidRDefault="00000000">
      <w:pPr>
        <w:pStyle w:val="Heading2"/>
        <w:spacing w:before="280" w:after="120"/>
      </w:pPr>
      <w:r>
        <w:rPr>
          <w:b/>
          <w:bCs/>
        </w:rPr>
        <w:t>Stakeholders:</w:t>
      </w:r>
    </w:p>
    <w:p w14:paraId="3B746702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VP, Financial Crime &amp; Fraud Risk — Executive Sponsor. Owns budget and reports outcomes to the Risk Committee.</w:t>
      </w:r>
    </w:p>
    <w:p w14:paraId="7BA08546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Fraud Operations Manager — Owns the day-to-day alert queue and analyst workload.</w:t>
      </w:r>
    </w:p>
    <w:p w14:paraId="5825CE8E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AML/Compliance Analysts (STR Filing Team) — File Suspicious Transaction Reports with FINTRAC and need investigation-ready evidence.</w:t>
      </w:r>
    </w:p>
    <w:p w14:paraId="3D720ECE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Financial Crime Data Science Team — Builds/maintains the anomaly-detection and network-detection models.</w:t>
      </w:r>
    </w:p>
    <w:p w14:paraId="5BAEB9EB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Data Engineering / IT — Owns the transaction data pipeline and dashboard hosting infrastructure.</w:t>
      </w:r>
    </w:p>
    <w:p w14:paraId="591F5857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Internal Audit &amp; Risk Committee — Reviews model performance and regulatory-readiness on a quarterly basis.</w:t>
      </w:r>
    </w:p>
    <w:p w14:paraId="228CF7FF" w14:textId="77777777" w:rsidR="00565A22" w:rsidRDefault="00000000">
      <w:pPr>
        <w:pStyle w:val="Heading2"/>
        <w:spacing w:before="280" w:after="120"/>
      </w:pPr>
      <w:r>
        <w:rPr>
          <w:b/>
          <w:bCs/>
        </w:rPr>
        <w:t>Stakeholder usage details:</w:t>
      </w:r>
    </w:p>
    <w:p w14:paraId="1512A4D1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Fraud Operations Manager: Uses the dashboard each morning to triage the overnight alert queue by risk tier, reassign workload across analysts, and track team-level false-positive and resolution-time trends.</w:t>
      </w:r>
    </w:p>
    <w:p w14:paraId="07499BBA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AML Analysts: Click into a flagged account to view its transaction history, anomaly score, and its position within the account network graph, then export the relevant view directly into the STR draft.</w:t>
      </w:r>
    </w:p>
    <w:p w14:paraId="2DE7F215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Data Science Team: Monitors model precision/recall and score-distribution drift over time to know when the fraud model or the network-clustering thresholds need retraining.</w:t>
      </w:r>
    </w:p>
    <w:p w14:paraId="363EDC5B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VP / Risk Committee: Reviews a monthly summary view (alert volume, dollars at risk, rings detected, STRs filed) to report upward to the Board's Risk Committee.</w:t>
      </w:r>
    </w:p>
    <w:p w14:paraId="249868E6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Internal Audit: Uses the dashboard's audit trail (who reviewed which alert, when, and what action was taken) to confirm the AML program meets FINTRAC's risk-based program requirements.</w:t>
      </w:r>
    </w:p>
    <w:p w14:paraId="05FD113B" w14:textId="77777777" w:rsidR="00565A22" w:rsidRDefault="00000000">
      <w:pPr>
        <w:pStyle w:val="Heading2"/>
        <w:spacing w:before="280" w:after="120"/>
      </w:pPr>
      <w:r>
        <w:rPr>
          <w:b/>
          <w:bCs/>
        </w:rPr>
        <w:t>Primary requirements:</w:t>
      </w:r>
    </w:p>
    <w:p w14:paraId="588AB775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Ingest transaction-level data and score each transaction with a fraud/anomaly likelihood in near real time.</w:t>
      </w:r>
    </w:p>
    <w:p w14:paraId="5CACF817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Automatically build an account-level transaction network for any account whose score crosses the alert threshold, and cluster connected accounts to flag likely structuring/layering rings.</w:t>
      </w:r>
    </w:p>
    <w:p w14:paraId="72B67C78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Provide a single dashboard where an analyst can move from a flagged transaction to its account, to that account's network, without leaving the tool.</w:t>
      </w:r>
    </w:p>
    <w:p w14:paraId="5DD1F9EF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Support the CAD $10,000 structuring threshold and FINTRAC's STR field structure so investigation notes map directly to a filable report.</w:t>
      </w:r>
    </w:p>
    <w:p w14:paraId="5B6E26DB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Provide role-based views so operations, compliance, data science, and executive stakeholders each see the level of detail relevant to them.</w:t>
      </w:r>
    </w:p>
    <w:p w14:paraId="2BD58204" w14:textId="77777777" w:rsidR="00565A22" w:rsidRDefault="00000000">
      <w:pPr>
        <w:pStyle w:val="ListParagraph"/>
        <w:numPr>
          <w:ilvl w:val="0"/>
          <w:numId w:val="2"/>
        </w:numPr>
        <w:spacing w:after="80"/>
      </w:pPr>
      <w:r>
        <w:t>Maintain a full audit trail of alert review actions for Internal Audit and regulatory examination readiness.</w:t>
      </w:r>
    </w:p>
    <w:sectPr w:rsidR="00565A2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A641A"/>
    <w:multiLevelType w:val="hybridMultilevel"/>
    <w:tmpl w:val="E93A1672"/>
    <w:lvl w:ilvl="0" w:tplc="95C07D48">
      <w:start w:val="1"/>
      <w:numFmt w:val="bullet"/>
      <w:lvlText w:val="●"/>
      <w:lvlJc w:val="left"/>
      <w:pPr>
        <w:ind w:left="720" w:hanging="360"/>
      </w:pPr>
    </w:lvl>
    <w:lvl w:ilvl="1" w:tplc="D70EBB52">
      <w:start w:val="1"/>
      <w:numFmt w:val="bullet"/>
      <w:lvlText w:val="○"/>
      <w:lvlJc w:val="left"/>
      <w:pPr>
        <w:ind w:left="1440" w:hanging="360"/>
      </w:pPr>
    </w:lvl>
    <w:lvl w:ilvl="2" w:tplc="ED6E1272">
      <w:start w:val="1"/>
      <w:numFmt w:val="bullet"/>
      <w:lvlText w:val="■"/>
      <w:lvlJc w:val="left"/>
      <w:pPr>
        <w:ind w:left="2160" w:hanging="360"/>
      </w:pPr>
    </w:lvl>
    <w:lvl w:ilvl="3" w:tplc="008C4BE6">
      <w:start w:val="1"/>
      <w:numFmt w:val="bullet"/>
      <w:lvlText w:val="●"/>
      <w:lvlJc w:val="left"/>
      <w:pPr>
        <w:ind w:left="2880" w:hanging="360"/>
      </w:pPr>
    </w:lvl>
    <w:lvl w:ilvl="4" w:tplc="4A9A7086">
      <w:start w:val="1"/>
      <w:numFmt w:val="bullet"/>
      <w:lvlText w:val="○"/>
      <w:lvlJc w:val="left"/>
      <w:pPr>
        <w:ind w:left="3600" w:hanging="360"/>
      </w:pPr>
    </w:lvl>
    <w:lvl w:ilvl="5" w:tplc="370046E8">
      <w:start w:val="1"/>
      <w:numFmt w:val="bullet"/>
      <w:lvlText w:val="■"/>
      <w:lvlJc w:val="left"/>
      <w:pPr>
        <w:ind w:left="4320" w:hanging="360"/>
      </w:pPr>
    </w:lvl>
    <w:lvl w:ilvl="6" w:tplc="9A460E10">
      <w:start w:val="1"/>
      <w:numFmt w:val="bullet"/>
      <w:lvlText w:val="●"/>
      <w:lvlJc w:val="left"/>
      <w:pPr>
        <w:ind w:left="5040" w:hanging="360"/>
      </w:pPr>
    </w:lvl>
    <w:lvl w:ilvl="7" w:tplc="C954295C">
      <w:start w:val="1"/>
      <w:numFmt w:val="bullet"/>
      <w:lvlText w:val="●"/>
      <w:lvlJc w:val="left"/>
      <w:pPr>
        <w:ind w:left="5760" w:hanging="360"/>
      </w:pPr>
    </w:lvl>
    <w:lvl w:ilvl="8" w:tplc="24481F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14DF3"/>
    <w:multiLevelType w:val="hybridMultilevel"/>
    <w:tmpl w:val="3CCCEF54"/>
    <w:lvl w:ilvl="0" w:tplc="F7306E10">
      <w:start w:val="1"/>
      <w:numFmt w:val="bullet"/>
      <w:lvlText w:val="•"/>
      <w:lvlJc w:val="left"/>
      <w:pPr>
        <w:ind w:left="720" w:hanging="360"/>
      </w:pPr>
    </w:lvl>
    <w:lvl w:ilvl="1" w:tplc="DD4C2D2C">
      <w:numFmt w:val="decimal"/>
      <w:lvlText w:val=""/>
      <w:lvlJc w:val="left"/>
    </w:lvl>
    <w:lvl w:ilvl="2" w:tplc="51F8F84A">
      <w:numFmt w:val="decimal"/>
      <w:lvlText w:val=""/>
      <w:lvlJc w:val="left"/>
    </w:lvl>
    <w:lvl w:ilvl="3" w:tplc="BD98FEDE">
      <w:numFmt w:val="decimal"/>
      <w:lvlText w:val=""/>
      <w:lvlJc w:val="left"/>
    </w:lvl>
    <w:lvl w:ilvl="4" w:tplc="3DF8DEBA">
      <w:numFmt w:val="decimal"/>
      <w:lvlText w:val=""/>
      <w:lvlJc w:val="left"/>
    </w:lvl>
    <w:lvl w:ilvl="5" w:tplc="46965B4A">
      <w:numFmt w:val="decimal"/>
      <w:lvlText w:val=""/>
      <w:lvlJc w:val="left"/>
    </w:lvl>
    <w:lvl w:ilvl="6" w:tplc="7E8889DA">
      <w:numFmt w:val="decimal"/>
      <w:lvlText w:val=""/>
      <w:lvlJc w:val="left"/>
    </w:lvl>
    <w:lvl w:ilvl="7" w:tplc="EA7E6CAC">
      <w:numFmt w:val="decimal"/>
      <w:lvlText w:val=""/>
      <w:lvlJc w:val="left"/>
    </w:lvl>
    <w:lvl w:ilvl="8" w:tplc="7E8EB236">
      <w:numFmt w:val="decimal"/>
      <w:lvlText w:val=""/>
      <w:lvlJc w:val="left"/>
    </w:lvl>
  </w:abstractNum>
  <w:num w:numId="1" w16cid:durableId="455030862">
    <w:abstractNumId w:val="0"/>
    <w:lvlOverride w:ilvl="0">
      <w:startOverride w:val="1"/>
    </w:lvlOverride>
  </w:num>
  <w:num w:numId="2" w16cid:durableId="19467716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22"/>
    <w:rsid w:val="00565A22"/>
    <w:rsid w:val="00CB48FA"/>
    <w:rsid w:val="00E10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347B"/>
  <w15:docId w15:val="{DA9B6207-1268-4C22-9E17-AE862414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513</Words>
  <Characters>3161</Characters>
  <Application>Microsoft Office Word</Application>
  <DocSecurity>0</DocSecurity>
  <Lines>57</Lines>
  <Paragraphs>40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Sagwal</cp:lastModifiedBy>
  <cp:revision>2</cp:revision>
  <dcterms:created xsi:type="dcterms:W3CDTF">2026-07-24T13:54:00Z</dcterms:created>
  <dcterms:modified xsi:type="dcterms:W3CDTF">2026-07-24T18:54:00Z</dcterms:modified>
</cp:coreProperties>
</file>