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40"/>
          <w:szCs w:val="40"/>
        </w:rPr>
        <w:t xml:space="preserve">PROJECT REQUIREMENTS DOCUMENT</w:t>
      </w:r>
    </w:p>
    <w:p>
      <w:pPr>
        <w:spacing w:after="400"/>
      </w:pPr>
      <w:r>
        <w:rPr>
          <w:color w:val="444444"/>
          <w:sz w:val="26"/>
          <w:szCs w:val="26"/>
        </w:rPr>
        <w:t xml:space="preserve">Canada NATO Defence Spending Gap Analysis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Analyst (Project Lead)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Related Document</w:t>
            </w:r>
          </w:p>
        </w:tc>
        <w:tc>
          <w:tcPr>
            <w:tcW w:type="dxa" w:w="6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Stakeholder Requirements Document v1.0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August 2026</w:t>
            </w:r>
          </w:p>
        </w:tc>
      </w:tr>
    </w:tbl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/>
      </w:pPr>
      <w:r>
        <w:t xml:space="preserve">This project delivers a Power BI-based analysis of Canada's defence spending relative to NATO's GDP-based spending targets. It quantifies Canada's historical trajectory (2014-2026), benchmarks it against NATO peer countries, and models the fiscal gap to the alliance's new 5% of GDP target by 2035. The output is a published dashboard and insights briefing intended to demonstrate applied business analysis capability on a live, public-interest policy topic.</w:t>
      </w:r>
    </w:p>
    <w:p>
      <w:pPr>
        <w:pStyle w:val="Heading1"/>
        <w:spacing w:after="160" w:before="320"/>
      </w:pPr>
      <w:r>
        <w:t xml:space="preserve">2. Business Objective / Problem Statement</w:t>
      </w:r>
    </w:p>
    <w:p>
      <w:pPr>
        <w:spacing w:after="160"/>
      </w:pPr>
      <w:r>
        <w:t xml:space="preserve">Canada met NATO's 2% of GDP defence spending target in FY2025-26 after roughly 35 years of underperformance, aided by a late-stage budget increase and revised accounting methodology. NATO has since raised the collective target to 5% of GDP (3.5% core + 1.5% dual-use infrastructure) by 2035. There is currently no single, accessible view that shows: (1) how Canada's spending growth compares to its NATO peers over time, (2) whether the 2% achievement reflects sustainable growth or a one-time adjustment, and (3) the size of the funding gap to the new target under different economic assumptions. This project addresses that gap.</w:t>
      </w:r>
    </w:p>
    <w:p>
      <w:pPr>
        <w:pStyle w:val="Heading1"/>
        <w:spacing w:after="160" w:before="320"/>
      </w:pPr>
      <w:r>
        <w:t xml:space="preserve">3. Project Scope</w:t>
      </w:r>
    </w:p>
    <w:p>
      <w:pPr>
        <w:pStyle w:val="Heading2"/>
        <w:spacing w:after="120" w:before="240"/>
      </w:pPr>
      <w:r>
        <w:t xml:space="preserve">3.1 In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Historical Canadian defence expenditure as % of GDP, 2014-2026 (NATO annual reports)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Peer benchmarking against G7 and selected NATO member countries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Gap analysis: current spend vs. 3.5% and 5% of GDP targets, to 2035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Scenario/sensitivity modeling using PBO GDP growth assumptions (base, conservative, optimistic)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Power BI dashboard with trend, benchmarking, and gap-forecast views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Executive insights summary for a non-technical audience</w:t>
      </w:r>
    </w:p>
    <w:p>
      <w:pPr>
        <w:pStyle w:val="Heading2"/>
        <w:spacing w:after="120" w:before="240"/>
      </w:pPr>
      <w:r>
        <w:t xml:space="preserve">3.2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Classified or non-public defence program details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Procurement-level or program-level cost breakdowns (separate potential project)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Real-time data refresh/automation (static, dated data pulls for this iteration)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Currency/inflation modeling beyond published PBO/StatCan figures</w:t>
      </w:r>
    </w:p>
    <w:p>
      <w:pPr>
        <w:pStyle w:val="Heading1"/>
        <w:spacing w:after="160" w:before="320"/>
      </w:pPr>
      <w:r>
        <w:t xml:space="preserve">4. 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50"/>
        <w:gridCol w:w="1500"/>
      </w:tblGrid>
      <w:tr>
        <w:tc>
          <w:tcPr>
            <w:tcW w:type="dxa" w:w="1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display Canada's defence spending as % of GDP by year, 2014-2026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6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display Canada's spending in absolute CAD terms by year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benchmark Canada against selected NATO peer countries by year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6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calculate and display the $ and % gap between current spend and the 3.5%/5% targets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provide at least two forecast scenarios (conservative vs. base GDP growth) to 2035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6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allow filtering by country and year range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include a narrative/insights panel summarizing key findings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6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cite data source and last-updated date on each visual page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1"/>
        <w:spacing w:after="160" w:before="320"/>
      </w:pPr>
      <w:r>
        <w:t xml:space="preserve">5.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50"/>
        <w:gridCol w:w="1500"/>
      </w:tblGrid>
      <w:tr>
        <w:tc>
          <w:tcPr>
            <w:tcW w:type="dxa" w:w="1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NFR-01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must be interpretable by a non-technical viewer within 30 seconds of first view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</w:tr>
      <w:tr>
        <w:tc>
          <w:tcPr>
            <w:tcW w:type="dxa" w:w="1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NFR-02</w:t>
            </w:r>
          </w:p>
        </w:tc>
        <w:tc>
          <w:tcPr>
            <w:tcW w:type="dxa" w:w="6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figures must reconcile to cited public source data within published margins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Accuracy</w:t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must render correctly in Power BI Service for web sharing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Compatibility</w:t>
            </w:r>
          </w:p>
        </w:tc>
      </w:tr>
      <w:tr>
        <w:tc>
          <w:tcPr>
            <w:tcW w:type="dxa" w:w="1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type="dxa" w:w="6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Color palette must remain legible for common color-vision deficiencies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</w:t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NFR-05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transformation steps must be documented and reproducible (Power Query)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</w:tr>
    </w:tbl>
    <w:p>
      <w:pPr>
        <w:pStyle w:val="Heading1"/>
        <w:spacing w:after="160" w:before="320"/>
      </w:pPr>
      <w:r>
        <w:t xml:space="preserve">6. Data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  <w:gridCol w:w="2350"/>
      </w:tblGrid>
      <w:t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Element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Granularity</w:t>
            </w:r>
          </w:p>
        </w:tc>
        <w:tc>
          <w:tcPr>
            <w:tcW w:type="dxa" w:w="23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Defence spend, % of GDP by country/year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NATO Annual Defence Expenditure Report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Country, Year</w:t>
            </w:r>
          </w:p>
        </w:tc>
        <w:tc>
          <w:tcPr>
            <w:tcW w:type="dxa" w:w="2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benchmarking series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Defence spend, absolute (national currency/USD)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NATO Annual Defence Expenditure Report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Country, Year</w:t>
            </w:r>
          </w:p>
        </w:tc>
        <w:tc>
          <w:tcPr>
            <w:tcW w:type="dxa" w:w="2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Cross-check against % of GDP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Canada nominal GDP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Statistics Canada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 (quarterly available)</w:t>
            </w:r>
          </w:p>
        </w:tc>
        <w:tc>
          <w:tcPr>
            <w:tcW w:type="dxa" w:w="2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Used to validate NATO's GDP denominator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GDP growth forecasts / fiscal scenarios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Parliamentary Budget Officer reports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Year, scenario</w:t>
            </w:r>
          </w:p>
        </w:tc>
        <w:tc>
          <w:tcPr>
            <w:tcW w:type="dxa" w:w="2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Basis for sensitivity analysis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Federal defence budget allocation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DND Departmental Plans / Public Accounts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Year, category</w:t>
            </w:r>
          </w:p>
        </w:tc>
        <w:tc>
          <w:tcPr>
            <w:tcW w:type="dxa" w:w="2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Supplementary context, not core scope</w:t>
            </w:r>
          </w:p>
        </w:tc>
      </w:tr>
    </w:tbl>
    <w:p>
      <w:pPr>
        <w:pStyle w:val="Heading1"/>
        <w:spacing w:after="160" w:before="320"/>
      </w:pPr>
      <w:r>
        <w:t xml:space="preserve">7. Assumptions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Published NATO and StatCan figures are accepted as authoritative for this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2026 figures may be preliminary/estimated pending final-year reporting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PBO growth scenarios are used as a reasonable proxy for forecast uncertainty, not a guarantee of accuracy</w:t>
      </w:r>
    </w:p>
    <w:p>
      <w:pPr>
        <w:pStyle w:val="Heading1"/>
        <w:spacing w:after="160" w:before="320"/>
      </w:pPr>
      <w:r>
        <w:t xml:space="preserve">8. 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 data only — no access to internal DND/Finance systems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Single analyst resourcing; timeline scoped accordingly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Power BI Desktop/Service used for all modeling and visualization</w:t>
      </w:r>
    </w:p>
    <w:p>
      <w:pPr>
        <w:pStyle w:val="Heading1"/>
        <w:spacing w:after="160" w:before="320"/>
      </w:pPr>
      <w:r>
        <w:t xml:space="preserve">9. Success Criteria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67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7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reconciliation accuracy</w:t>
            </w:r>
          </w:p>
        </w:tc>
        <w:tc>
          <w:tcPr>
            <w:tcW w:type="dxa" w:w="467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match to cited public source totals</w:t>
            </w:r>
          </w:p>
        </w:tc>
      </w:tr>
      <w:tr>
        <w:tc>
          <w:tcPr>
            <w:tcW w:type="dxa" w:w="467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clarity</w:t>
            </w:r>
          </w:p>
        </w:tc>
        <w:tc>
          <w:tcPr>
            <w:tcW w:type="dxa" w:w="467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insight understood by a test viewer within 30 seconds</w:t>
            </w:r>
          </w:p>
        </w:tc>
      </w:tr>
      <w:tr>
        <w:tc>
          <w:tcPr>
            <w:tcW w:type="dxa" w:w="467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Forecast defensibility</w:t>
            </w:r>
          </w:p>
        </w:tc>
        <w:tc>
          <w:tcPr>
            <w:tcW w:type="dxa" w:w="467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 least 2 scenarios with stated, sourced assumptions</w:t>
            </w:r>
          </w:p>
        </w:tc>
      </w:tr>
      <w:tr>
        <w:tc>
          <w:tcPr>
            <w:tcW w:type="dxa" w:w="467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Delivery</w:t>
            </w:r>
          </w:p>
        </w:tc>
        <w:tc>
          <w:tcPr>
            <w:tcW w:type="dxa" w:w="467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Published dashboard + insights summary + LinkedIn narrative</w:t>
            </w:r>
          </w:p>
        </w:tc>
      </w:tr>
    </w:tbl>
    <w:p>
      <w:pPr>
        <w:pStyle w:val="Heading1"/>
        <w:spacing w:after="160" w:before="320"/>
      </w:pPr>
      <w:r>
        <w:t xml:space="preserve">10. High-Level Timeline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00"/>
        <w:gridCol w:w="2250"/>
      </w:tblGrid>
      <w:t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2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Duration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Discovery &amp; Requirements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Stakeholder, project, strategy documents (this set)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Data Sourcing &amp; Cleaning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 NATO/StatCan/PBO data, Power Query transformation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Modeling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Gap analysis, scenario/sensitivity calculations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2-3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Dashboard Build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BI report build and design pass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Insights &amp; Publish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findings, build LinkedIn narrative, publish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</w:tr>
    </w:tbl>
    <w:p>
      <w:pPr>
        <w:pStyle w:val="Heading1"/>
        <w:spacing w:after="160" w:before="320"/>
      </w:pPr>
      <w:r>
        <w:t xml:space="preserve">11. Sign-off</w:t>
      </w:r>
    </w:p>
    <w:p>
      <w:pPr>
        <w:spacing w:after="160"/>
      </w:pPr>
      <w:r>
        <w:t xml:space="preserve">This Project Requirements Document is baselined against the Stakeholder Requirements Document v1.0 and the accompanying Strategy Document v1.0. Any material scope changes should be logged and re-approved before implementation continues.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2026-08-08T03:51:06.039Z</dcterms:created>
  <dcterms:modified xsi:type="dcterms:W3CDTF">2026-08-08T03:51:06.040Z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