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PROJECT STRATEGY DOCUMENT</w:t>
      </w:r>
    </w:p>
    <w:p>
      <w:pPr>
        <w:spacing w:after="400"/>
      </w:pPr>
      <w:r>
        <w:rPr>
          <w:color w:val="444444"/>
          <w:sz w:val="26"/>
          <w:szCs w:val="26"/>
        </w:rPr>
        <w:t xml:space="preserve">Canada NATO Defence Spending Gap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100"/>
              <w:left w:type="dxa" w:w="120"/>
              <w:bottom w:type="dxa" w:w="100"/>
              <w:right w:type="dxa" w:w="120"/>
            </w:tcMar>
          </w:tcPr>
          <w:p>
            <w:r>
              <w:rPr>
                <w:b/>
                <w:bCs/>
                <w:color w:val="FFFFFF"/>
                <w:sz w:val="20"/>
                <w:szCs w:val="20"/>
              </w:rPr>
              <w:t xml:space="preserve">Field</w:t>
            </w:r>
          </w:p>
        </w:tc>
        <w:tc>
          <w:tcPr>
            <w:tcW w:type="dxa" w:w="6350"/>
            <w:shd w:fill="1F3864" w:val="clear"/>
            <w:tcMar>
              <w:top w:type="dxa" w:w="100"/>
              <w:left w:type="dxa" w:w="120"/>
              <w:bottom w:type="dxa" w:w="100"/>
              <w:right w:type="dxa" w:w="120"/>
            </w:tcMar>
          </w:tcPr>
          <w:p>
            <w:r>
              <w:rPr>
                <w:b/>
                <w:bCs/>
                <w:color w:val="FFFFFF"/>
                <w:sz w:val="20"/>
                <w:szCs w:val="20"/>
              </w:rPr>
              <w:t xml:space="preserve">Detail</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Document Owner</w:t>
            </w:r>
          </w:p>
        </w:tc>
        <w:tc>
          <w:tcPr>
            <w:tcW w:type="dxa" w:w="6350"/>
            <w:shd w:fill="FFFFFF" w:val="clear"/>
            <w:tcMar>
              <w:top w:type="dxa" w:w="100"/>
              <w:left w:type="dxa" w:w="120"/>
              <w:bottom w:type="dxa" w:w="100"/>
              <w:right w:type="dxa" w:w="120"/>
            </w:tcMar>
          </w:tcPr>
          <w:p>
            <w:r>
              <w:rPr>
                <w:b w:val="false"/>
                <w:bCs w:val="false"/>
                <w:color w:val="000000"/>
                <w:sz w:val="20"/>
                <w:szCs w:val="20"/>
              </w:rPr>
              <w:t xml:space="preserve">Business Analyst (Project Lead)</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Related Documents</w:t>
            </w:r>
          </w:p>
        </w:tc>
        <w:tc>
          <w:tcPr>
            <w:tcW w:type="dxa" w:w="6350"/>
            <w:shd w:fill="F2F2F2" w:val="clear"/>
            <w:tcMar>
              <w:top w:type="dxa" w:w="100"/>
              <w:left w:type="dxa" w:w="120"/>
              <w:bottom w:type="dxa" w:w="100"/>
              <w:right w:type="dxa" w:w="120"/>
            </w:tcMar>
          </w:tcPr>
          <w:p>
            <w:r>
              <w:rPr>
                <w:b w:val="false"/>
                <w:bCs w:val="false"/>
                <w:color w:val="000000"/>
                <w:sz w:val="20"/>
                <w:szCs w:val="20"/>
              </w:rPr>
              <w:t xml:space="preserve">Stakeholder Requirements v1.0, Project Requirements v1.0</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Version</w:t>
            </w:r>
          </w:p>
        </w:tc>
        <w:tc>
          <w:tcPr>
            <w:tcW w:type="dxa" w:w="6350"/>
            <w:shd w:fill="FFFFFF" w:val="clear"/>
            <w:tcMar>
              <w:top w:type="dxa" w:w="100"/>
              <w:left w:type="dxa" w:w="120"/>
              <w:bottom w:type="dxa" w:w="100"/>
              <w:right w:type="dxa" w:w="120"/>
            </w:tcMar>
          </w:tcPr>
          <w:p>
            <w:r>
              <w:rPr>
                <w:b w:val="false"/>
                <w:bCs w:val="false"/>
                <w:color w:val="000000"/>
                <w:sz w:val="20"/>
                <w:szCs w:val="20"/>
              </w:rPr>
              <w:t xml:space="preserve">1.0</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Status</w:t>
            </w:r>
          </w:p>
        </w:tc>
        <w:tc>
          <w:tcPr>
            <w:tcW w:type="dxa" w:w="6350"/>
            <w:shd w:fill="F2F2F2" w:val="clear"/>
            <w:tcMar>
              <w:top w:type="dxa" w:w="100"/>
              <w:left w:type="dxa" w:w="120"/>
              <w:bottom w:type="dxa" w:w="100"/>
              <w:right w:type="dxa" w:w="120"/>
            </w:tcMar>
          </w:tcPr>
          <w:p>
            <w:r>
              <w:rPr>
                <w:b w:val="false"/>
                <w:bCs w:val="false"/>
                <w:color w:val="000000"/>
                <w:sz w:val="20"/>
                <w:szCs w:val="20"/>
              </w:rPr>
              <w:t xml:space="preserve">Draft for Review</w:t>
            </w:r>
          </w:p>
        </w:tc>
      </w:tr>
      <w:tr>
        <w:tc>
          <w:tcPr>
            <w:tcW w:type="dxa" w:w="3000"/>
            <w:shd w:fill="FFFFFF" w:val="clear"/>
            <w:tcMar>
              <w:top w:type="dxa" w:w="100"/>
              <w:left w:type="dxa" w:w="120"/>
              <w:bottom w:type="dxa" w:w="100"/>
              <w:right w:type="dxa" w:w="120"/>
            </w:tcMar>
          </w:tcPr>
          <w:p>
            <w:r>
              <w:rPr>
                <w:b w:val="false"/>
                <w:bCs w:val="false"/>
                <w:color w:val="000000"/>
                <w:sz w:val="20"/>
                <w:szCs w:val="20"/>
              </w:rPr>
              <w:t xml:space="preserve">Date</w:t>
            </w:r>
          </w:p>
        </w:tc>
        <w:tc>
          <w:tcPr>
            <w:tcW w:type="dxa" w:w="6350"/>
            <w:shd w:fill="FFFFFF" w:val="clear"/>
            <w:tcMar>
              <w:top w:type="dxa" w:w="100"/>
              <w:left w:type="dxa" w:w="120"/>
              <w:bottom w:type="dxa" w:w="100"/>
              <w:right w:type="dxa" w:w="120"/>
            </w:tcMar>
          </w:tcPr>
          <w:p>
            <w:r>
              <w:rPr>
                <w:b w:val="false"/>
                <w:bCs w:val="false"/>
                <w:color w:val="000000"/>
                <w:sz w:val="20"/>
                <w:szCs w:val="20"/>
              </w:rPr>
              <w:t xml:space="preserve">August 2026</w:t>
            </w:r>
          </w:p>
        </w:tc>
      </w:tr>
    </w:tbl>
    <w:p>
      <w:pPr>
        <w:pStyle w:val="Heading1"/>
        <w:spacing w:after="160" w:before="320"/>
      </w:pPr>
      <w:r>
        <w:t xml:space="preserve">1. Executive Summary</w:t>
      </w:r>
    </w:p>
    <w:p>
      <w:pPr>
        <w:spacing w:after="160"/>
      </w:pPr>
      <w:r>
        <w:t xml:space="preserve">This strategy defines how the Canada NATO Defence Spending Gap Analysis will be executed, from data sourcing through to publication. It sets the strategic context, analytical approach, data and technology strategy, phased delivery roadmap, and risk management approach that will guide the project from requirements to a published Power BI dashboard and insights narrative.</w:t>
      </w:r>
    </w:p>
    <w:p>
      <w:pPr>
        <w:pStyle w:val="Heading1"/>
        <w:spacing w:after="160" w:before="320"/>
      </w:pPr>
      <w:r>
        <w:t xml:space="preserve">2. Strategic Context</w:t>
      </w:r>
    </w:p>
    <w:p>
      <w:pPr>
        <w:spacing w:after="160"/>
      </w:pPr>
      <w:r>
        <w:t xml:space="preserve">Canada achieved NATO's 2% of GDP defence spending target in FY2025-26 for the first time in roughly 35 years, driven by a late budget increase and revised accounting treatment. NATO has simultaneously raised its collective ambition to 5% of GDP by 2035 (3.5% core defence, 1.5% security-related infrastructure). This creates a live, high-visibility policy question: is Canada's progress structural or one-time, and what would closing the new, much larger gap actually require? This timing makes the topic well-suited to a portfolio project — it is current, verifiable against public data, and has genuine analytical depth beyond a single headline number.</w:t>
      </w:r>
    </w:p>
    <w:p>
      <w:pPr>
        <w:pStyle w:val="Heading1"/>
        <w:spacing w:after="160" w:before="320"/>
      </w:pPr>
      <w:r>
        <w:t xml:space="preserve">3. Strategic Objectives</w:t>
      </w:r>
    </w:p>
    <w:p>
      <w:pPr>
        <w:pStyle w:val="ListParagraph"/>
        <w:numPr>
          <w:ilvl w:val="0"/>
          <w:numId w:val="1"/>
        </w:numPr>
        <w:spacing w:after="80"/>
      </w:pPr>
      <w:r>
        <w:t xml:space="preserve">Establish a credible, source-verifiable baseline of Canada's defence spending trajectory, 2014-2026</w:t>
      </w:r>
    </w:p>
    <w:p>
      <w:pPr>
        <w:pStyle w:val="ListParagraph"/>
        <w:numPr>
          <w:ilvl w:val="0"/>
          <w:numId w:val="1"/>
        </w:numPr>
        <w:spacing w:after="80"/>
      </w:pPr>
      <w:r>
        <w:t xml:space="preserve">Position Canada's performance in context against NATO peers, not in isolation</w:t>
      </w:r>
    </w:p>
    <w:p>
      <w:pPr>
        <w:pStyle w:val="ListParagraph"/>
        <w:numPr>
          <w:ilvl w:val="0"/>
          <w:numId w:val="1"/>
        </w:numPr>
        <w:spacing w:after="80"/>
      </w:pPr>
      <w:r>
        <w:t xml:space="preserve">Quantify the forward-looking fiscal gap to the 3.5%/5% targets under multiple economic scenarios</w:t>
      </w:r>
    </w:p>
    <w:p>
      <w:pPr>
        <w:pStyle w:val="ListParagraph"/>
        <w:numPr>
          <w:ilvl w:val="0"/>
          <w:numId w:val="1"/>
        </w:numPr>
        <w:spacing w:after="80"/>
      </w:pPr>
      <w:r>
        <w:t xml:space="preserve">Produce a dashboard and narrative that demonstrate end-to-end BA methodology: problem framing, requirements, data strategy, modeling, and communication</w:t>
      </w:r>
    </w:p>
    <w:p>
      <w:pPr>
        <w:pStyle w:val="Heading1"/>
        <w:spacing w:after="160" w:before="320"/>
      </w:pPr>
      <w:r>
        <w:t xml:space="preserve">4. Analytical Approach</w:t>
      </w:r>
    </w:p>
    <w:p>
      <w:pPr>
        <w:pStyle w:val="Heading2"/>
        <w:spacing w:after="120" w:before="240"/>
      </w:pPr>
      <w:r>
        <w:t xml:space="preserve">4.1 Trend Analysis</w:t>
      </w:r>
    </w:p>
    <w:p>
      <w:pPr>
        <w:spacing w:after="160"/>
      </w:pPr>
      <w:r>
        <w:t xml:space="preserve">Year-over-year analysis of Canada's defence spending as % of GDP and in absolute terms (2014-2026), isolating the FY2025-26 step-change and testing whether growth in prior years was trending toward 2% independently of the late-stage increase.</w:t>
      </w:r>
    </w:p>
    <w:p>
      <w:pPr>
        <w:pStyle w:val="Heading2"/>
        <w:spacing w:after="120" w:before="240"/>
      </w:pPr>
      <w:r>
        <w:t xml:space="preserve">4.2 Peer Benchmarking</w:t>
      </w:r>
    </w:p>
    <w:p>
      <w:pPr>
        <w:spacing w:after="160"/>
      </w:pPr>
      <w:r>
        <w:t xml:space="preserve">Comparison against G7 and a representative set of NATO members (e.g., Poland, UK, Germany, US, Belgium, Portugal) to contextualize Canada's 'bottom-third' standing referenced in public reporting.</w:t>
      </w:r>
    </w:p>
    <w:p>
      <w:pPr>
        <w:pStyle w:val="Heading2"/>
        <w:spacing w:after="120" w:before="240"/>
      </w:pPr>
      <w:r>
        <w:t xml:space="preserve">4.3 Gap &amp; Scenario Modeling</w:t>
      </w:r>
    </w:p>
    <w:p>
      <w:pPr>
        <w:spacing w:after="160"/>
      </w:pPr>
      <w:r>
        <w:t xml:space="preserve">Calculation of the annual $ and % gap between current spending and the 3.5% and 5% targets through 2035, run under at least two GDP growth assumptions (e.g., PBO base case vs. conservative case) to show sensitivity of the required spending increase to economic conditions.</w:t>
      </w:r>
    </w:p>
    <w:p>
      <w:pPr>
        <w:pStyle w:val="Heading1"/>
        <w:spacing w:after="160" w:before="320"/>
      </w:pPr>
      <w:r>
        <w:t xml:space="preserve">5. Data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3864" w:val="clear"/>
            <w:tcMar>
              <w:top w:type="dxa" w:w="100"/>
              <w:left w:type="dxa" w:w="120"/>
              <w:bottom w:type="dxa" w:w="100"/>
              <w:right w:type="dxa" w:w="120"/>
            </w:tcMar>
          </w:tcPr>
          <w:p>
            <w:r>
              <w:rPr>
                <w:b/>
                <w:bCs/>
                <w:color w:val="FFFFFF"/>
                <w:sz w:val="20"/>
                <w:szCs w:val="20"/>
              </w:rPr>
              <w:t xml:space="preserve">Stage</w:t>
            </w:r>
          </w:p>
        </w:tc>
        <w:tc>
          <w:tcPr>
            <w:tcW w:type="dxa" w:w="7150"/>
            <w:shd w:fill="1F3864" w:val="clear"/>
            <w:tcMar>
              <w:top w:type="dxa" w:w="100"/>
              <w:left w:type="dxa" w:w="120"/>
              <w:bottom w:type="dxa" w:w="100"/>
              <w:right w:type="dxa" w:w="120"/>
            </w:tcMar>
          </w:tcPr>
          <w:p>
            <w:r>
              <w:rPr>
                <w:b/>
                <w:bCs/>
                <w:color w:val="FFFFFF"/>
                <w:sz w:val="20"/>
                <w:szCs w:val="20"/>
              </w:rPr>
              <w:t xml:space="preserve">Approach</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Sourcing</w:t>
            </w:r>
          </w:p>
        </w:tc>
        <w:tc>
          <w:tcPr>
            <w:tcW w:type="dxa" w:w="7150"/>
            <w:shd w:fill="FFFFFF" w:val="clear"/>
            <w:tcMar>
              <w:top w:type="dxa" w:w="100"/>
              <w:left w:type="dxa" w:w="120"/>
              <w:bottom w:type="dxa" w:w="100"/>
              <w:right w:type="dxa" w:w="120"/>
            </w:tcMar>
          </w:tcPr>
          <w:p>
            <w:r>
              <w:rPr>
                <w:b w:val="false"/>
                <w:bCs w:val="false"/>
                <w:color w:val="000000"/>
                <w:sz w:val="20"/>
                <w:szCs w:val="20"/>
              </w:rPr>
              <w:t xml:space="preserve">Pull directly from NATO annual expenditure reports, StatCan GDP tables, and PBO fiscal reports — primary sources only, no secondary aggregators</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Cleaning &amp; Shaping</w:t>
            </w:r>
          </w:p>
        </w:tc>
        <w:tc>
          <w:tcPr>
            <w:tcW w:type="dxa" w:w="7150"/>
            <w:shd w:fill="F2F2F2" w:val="clear"/>
            <w:tcMar>
              <w:top w:type="dxa" w:w="100"/>
              <w:left w:type="dxa" w:w="120"/>
              <w:bottom w:type="dxa" w:w="100"/>
              <w:right w:type="dxa" w:w="120"/>
            </w:tcMar>
          </w:tcPr>
          <w:p>
            <w:r>
              <w:rPr>
                <w:b w:val="false"/>
                <w:bCs w:val="false"/>
                <w:color w:val="000000"/>
                <w:sz w:val="20"/>
                <w:szCs w:val="20"/>
              </w:rPr>
              <w:t xml:space="preserve">Power Query (Power BI) for structural transforms: unpivoting year columns, standardizing country names, type correction; Excel/Python pre-pass for any PDF-extracted tables</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Validation</w:t>
            </w:r>
          </w:p>
        </w:tc>
        <w:tc>
          <w:tcPr>
            <w:tcW w:type="dxa" w:w="7150"/>
            <w:shd w:fill="FFFFFF" w:val="clear"/>
            <w:tcMar>
              <w:top w:type="dxa" w:w="100"/>
              <w:left w:type="dxa" w:w="120"/>
              <w:bottom w:type="dxa" w:w="100"/>
              <w:right w:type="dxa" w:w="120"/>
            </w:tcMar>
          </w:tcPr>
          <w:p>
            <w:r>
              <w:rPr>
                <w:b w:val="false"/>
                <w:bCs w:val="false"/>
                <w:color w:val="000000"/>
                <w:sz w:val="20"/>
                <w:szCs w:val="20"/>
              </w:rPr>
              <w:t xml:space="preserve">Cross-check totals against at least two independent public sources before use (e.g., NATO report vs. Canada.ca announcement)</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Documentation</w:t>
            </w:r>
          </w:p>
        </w:tc>
        <w:tc>
          <w:tcPr>
            <w:tcW w:type="dxa" w:w="7150"/>
            <w:shd w:fill="F2F2F2" w:val="clear"/>
            <w:tcMar>
              <w:top w:type="dxa" w:w="100"/>
              <w:left w:type="dxa" w:w="120"/>
              <w:bottom w:type="dxa" w:w="100"/>
              <w:right w:type="dxa" w:w="120"/>
            </w:tcMar>
          </w:tcPr>
          <w:p>
            <w:r>
              <w:rPr>
                <w:b w:val="false"/>
                <w:bCs w:val="false"/>
                <w:color w:val="000000"/>
                <w:sz w:val="20"/>
                <w:szCs w:val="20"/>
              </w:rPr>
              <w:t xml:space="preserve">All Power Query steps retained and named descriptively so transformation logic is auditable</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Governance</w:t>
            </w:r>
          </w:p>
        </w:tc>
        <w:tc>
          <w:tcPr>
            <w:tcW w:type="dxa" w:w="7150"/>
            <w:shd w:fill="FFFFFF" w:val="clear"/>
            <w:tcMar>
              <w:top w:type="dxa" w:w="100"/>
              <w:left w:type="dxa" w:w="120"/>
              <w:bottom w:type="dxa" w:w="100"/>
              <w:right w:type="dxa" w:w="120"/>
            </w:tcMar>
          </w:tcPr>
          <w:p>
            <w:r>
              <w:rPr>
                <w:b w:val="false"/>
                <w:bCs w:val="false"/>
                <w:color w:val="000000"/>
                <w:sz w:val="20"/>
                <w:szCs w:val="20"/>
              </w:rPr>
              <w:t xml:space="preserve">Every dashboard page cites source and as-of date; no figures without a traceable public source</w:t>
            </w:r>
          </w:p>
        </w:tc>
      </w:tr>
    </w:tbl>
    <w:p>
      <w:pPr>
        <w:pStyle w:val="Heading1"/>
        <w:spacing w:after="160" w:before="320"/>
      </w:pPr>
      <w:r>
        <w:t xml:space="preserve">6. Technology Strategy</w:t>
      </w:r>
    </w:p>
    <w:p>
      <w:pPr>
        <w:pStyle w:val="ListParagraph"/>
        <w:numPr>
          <w:ilvl w:val="0"/>
          <w:numId w:val="1"/>
        </w:numPr>
        <w:spacing w:after="80"/>
      </w:pPr>
      <w:r>
        <w:t xml:space="preserve">Power BI Desktop for data modeling, DAX measures, and report build</w:t>
      </w:r>
    </w:p>
    <w:p>
      <w:pPr>
        <w:pStyle w:val="ListParagraph"/>
        <w:numPr>
          <w:ilvl w:val="0"/>
          <w:numId w:val="1"/>
        </w:numPr>
        <w:spacing w:after="80"/>
      </w:pPr>
      <w:r>
        <w:t xml:space="preserve">Power Query as the primary cleaning/shaping layer</w:t>
      </w:r>
    </w:p>
    <w:p>
      <w:pPr>
        <w:pStyle w:val="ListParagraph"/>
        <w:numPr>
          <w:ilvl w:val="0"/>
          <w:numId w:val="1"/>
        </w:numPr>
        <w:spacing w:after="80"/>
      </w:pPr>
      <w:r>
        <w:t xml:space="preserve">Power BI Service for publishing and shareable link generation (for LinkedIn/portfolio use)</w:t>
      </w:r>
    </w:p>
    <w:p>
      <w:pPr>
        <w:pStyle w:val="ListParagraph"/>
        <w:numPr>
          <w:ilvl w:val="0"/>
          <w:numId w:val="1"/>
        </w:numPr>
        <w:spacing w:after="80"/>
      </w:pPr>
      <w:r>
        <w:t xml:space="preserve">Excel/Python used only as a pre-processing step for messy source files (e.g., PDF tables), not as the system of record</w:t>
      </w:r>
    </w:p>
    <w:p>
      <w:pPr>
        <w:pStyle w:val="Heading1"/>
        <w:spacing w:after="160" w:before="320"/>
      </w:pPr>
      <w:r>
        <w:t xml:space="preserve">7. Delivery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c>
          <w:tcPr>
            <w:tcW w:type="dxa" w:w="2200"/>
            <w:shd w:fill="1F3864" w:val="clear"/>
            <w:tcMar>
              <w:top w:type="dxa" w:w="100"/>
              <w:left w:type="dxa" w:w="120"/>
              <w:bottom w:type="dxa" w:w="100"/>
              <w:right w:type="dxa" w:w="120"/>
            </w:tcMar>
          </w:tcPr>
          <w:p>
            <w:r>
              <w:rPr>
                <w:b/>
                <w:bCs/>
                <w:color w:val="FFFFFF"/>
                <w:sz w:val="20"/>
                <w:szCs w:val="20"/>
              </w:rPr>
              <w:t xml:space="preserve">Phase</w:t>
            </w:r>
          </w:p>
        </w:tc>
        <w:tc>
          <w:tcPr>
            <w:tcW w:type="dxa" w:w="4200"/>
            <w:shd w:fill="1F3864" w:val="clear"/>
            <w:tcMar>
              <w:top w:type="dxa" w:w="100"/>
              <w:left w:type="dxa" w:w="120"/>
              <w:bottom w:type="dxa" w:w="100"/>
              <w:right w:type="dxa" w:w="120"/>
            </w:tcMar>
          </w:tcPr>
          <w:p>
            <w:r>
              <w:rPr>
                <w:b/>
                <w:bCs/>
                <w:color w:val="FFFFFF"/>
                <w:sz w:val="20"/>
                <w:szCs w:val="20"/>
              </w:rPr>
              <w:t xml:space="preserve">Focus</w:t>
            </w:r>
          </w:p>
        </w:tc>
        <w:tc>
          <w:tcPr>
            <w:tcW w:type="dxa" w:w="2950"/>
            <w:shd w:fill="1F3864" w:val="clear"/>
            <w:tcMar>
              <w:top w:type="dxa" w:w="100"/>
              <w:left w:type="dxa" w:w="120"/>
              <w:bottom w:type="dxa" w:w="100"/>
              <w:right w:type="dxa" w:w="120"/>
            </w:tcMar>
          </w:tcPr>
          <w:p>
            <w:r>
              <w:rPr>
                <w:b/>
                <w:bCs/>
                <w:color w:val="FFFFFF"/>
                <w:sz w:val="20"/>
                <w:szCs w:val="20"/>
              </w:rPr>
              <w:t xml:space="preserve">Key Output</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1. Discovery</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Stakeholder, project, and strategy definition</w:t>
            </w:r>
          </w:p>
        </w:tc>
        <w:tc>
          <w:tcPr>
            <w:tcW w:type="dxa" w:w="2950"/>
            <w:shd w:fill="FFFFFF" w:val="clear"/>
            <w:tcMar>
              <w:top w:type="dxa" w:w="100"/>
              <w:left w:type="dxa" w:w="120"/>
              <w:bottom w:type="dxa" w:w="100"/>
              <w:right w:type="dxa" w:w="120"/>
            </w:tcMar>
          </w:tcPr>
          <w:p>
            <w:r>
              <w:rPr>
                <w:b w:val="false"/>
                <w:bCs w:val="false"/>
                <w:color w:val="000000"/>
                <w:sz w:val="20"/>
                <w:szCs w:val="20"/>
              </w:rPr>
              <w:t xml:space="preserve">This document set</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2. Data Preparation</w:t>
            </w:r>
          </w:p>
        </w:tc>
        <w:tc>
          <w:tcPr>
            <w:tcW w:type="dxa" w:w="4200"/>
            <w:shd w:fill="F2F2F2" w:val="clear"/>
            <w:tcMar>
              <w:top w:type="dxa" w:w="100"/>
              <w:left w:type="dxa" w:w="120"/>
              <w:bottom w:type="dxa" w:w="100"/>
              <w:right w:type="dxa" w:w="120"/>
            </w:tcMar>
          </w:tcPr>
          <w:p>
            <w:r>
              <w:rPr>
                <w:b w:val="false"/>
                <w:bCs w:val="false"/>
                <w:color w:val="000000"/>
                <w:sz w:val="20"/>
                <w:szCs w:val="20"/>
              </w:rPr>
              <w:t xml:space="preserve">Source, clean, validate datasets</w:t>
            </w:r>
          </w:p>
        </w:tc>
        <w:tc>
          <w:tcPr>
            <w:tcW w:type="dxa" w:w="2950"/>
            <w:shd w:fill="F2F2F2" w:val="clear"/>
            <w:tcMar>
              <w:top w:type="dxa" w:w="100"/>
              <w:left w:type="dxa" w:w="120"/>
              <w:bottom w:type="dxa" w:w="100"/>
              <w:right w:type="dxa" w:w="120"/>
            </w:tcMar>
          </w:tcPr>
          <w:p>
            <w:r>
              <w:rPr>
                <w:b w:val="false"/>
                <w:bCs w:val="false"/>
                <w:color w:val="000000"/>
                <w:sz w:val="20"/>
                <w:szCs w:val="20"/>
              </w:rPr>
              <w:t xml:space="preserve">Clean, documented Power Query model</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3. Modeling</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Gap analysis, scenario calculations, DAX measures</w:t>
            </w:r>
          </w:p>
        </w:tc>
        <w:tc>
          <w:tcPr>
            <w:tcW w:type="dxa" w:w="2950"/>
            <w:shd w:fill="FFFFFF" w:val="clear"/>
            <w:tcMar>
              <w:top w:type="dxa" w:w="100"/>
              <w:left w:type="dxa" w:w="120"/>
              <w:bottom w:type="dxa" w:w="100"/>
              <w:right w:type="dxa" w:w="120"/>
            </w:tcMar>
          </w:tcPr>
          <w:p>
            <w:r>
              <w:rPr>
                <w:b w:val="false"/>
                <w:bCs w:val="false"/>
                <w:color w:val="000000"/>
                <w:sz w:val="20"/>
                <w:szCs w:val="20"/>
              </w:rPr>
              <w:t xml:space="preserve">Validated data model</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4. Visualization</w:t>
            </w:r>
          </w:p>
        </w:tc>
        <w:tc>
          <w:tcPr>
            <w:tcW w:type="dxa" w:w="4200"/>
            <w:shd w:fill="F2F2F2" w:val="clear"/>
            <w:tcMar>
              <w:top w:type="dxa" w:w="100"/>
              <w:left w:type="dxa" w:w="120"/>
              <w:bottom w:type="dxa" w:w="100"/>
              <w:right w:type="dxa" w:w="120"/>
            </w:tcMar>
          </w:tcPr>
          <w:p>
            <w:r>
              <w:rPr>
                <w:b w:val="false"/>
                <w:bCs w:val="false"/>
                <w:color w:val="000000"/>
                <w:sz w:val="20"/>
                <w:szCs w:val="20"/>
              </w:rPr>
              <w:t xml:space="preserve">Dashboard build: trend, benchmark, gap/forecast views</w:t>
            </w:r>
          </w:p>
        </w:tc>
        <w:tc>
          <w:tcPr>
            <w:tcW w:type="dxa" w:w="2950"/>
            <w:shd w:fill="F2F2F2" w:val="clear"/>
            <w:tcMar>
              <w:top w:type="dxa" w:w="100"/>
              <w:left w:type="dxa" w:w="120"/>
              <w:bottom w:type="dxa" w:w="100"/>
              <w:right w:type="dxa" w:w="120"/>
            </w:tcMar>
          </w:tcPr>
          <w:p>
            <w:r>
              <w:rPr>
                <w:b w:val="false"/>
                <w:bCs w:val="false"/>
                <w:color w:val="000000"/>
                <w:sz w:val="20"/>
                <w:szCs w:val="20"/>
              </w:rPr>
              <w:t xml:space="preserve">Power BI report</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5. Narrative &amp; Publish</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Insights writeup, LinkedIn post, portfolio packaging</w:t>
            </w:r>
          </w:p>
        </w:tc>
        <w:tc>
          <w:tcPr>
            <w:tcW w:type="dxa" w:w="2950"/>
            <w:shd w:fill="FFFFFF" w:val="clear"/>
            <w:tcMar>
              <w:top w:type="dxa" w:w="100"/>
              <w:left w:type="dxa" w:w="120"/>
              <w:bottom w:type="dxa" w:w="100"/>
              <w:right w:type="dxa" w:w="120"/>
            </w:tcMar>
          </w:tcPr>
          <w:p>
            <w:r>
              <w:rPr>
                <w:b w:val="false"/>
                <w:bCs w:val="false"/>
                <w:color w:val="000000"/>
                <w:sz w:val="20"/>
                <w:szCs w:val="20"/>
              </w:rPr>
              <w:t xml:space="preserve">Published dashboard + post</w:t>
            </w:r>
          </w:p>
        </w:tc>
      </w:tr>
    </w:tbl>
    <w:p>
      <w:pPr>
        <w:pStyle w:val="Heading1"/>
        <w:spacing w:after="160" w:before="320"/>
      </w:pPr>
      <w:r>
        <w:t xml:space="preserve">8. Risk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50"/>
      </w:tblGrid>
      <w:tr>
        <w:tc>
          <w:tcPr>
            <w:tcW w:type="dxa" w:w="3200"/>
            <w:shd w:fill="1F3864" w:val="clear"/>
            <w:tcMar>
              <w:top w:type="dxa" w:w="100"/>
              <w:left w:type="dxa" w:w="120"/>
              <w:bottom w:type="dxa" w:w="100"/>
              <w:right w:type="dxa" w:w="120"/>
            </w:tcMar>
          </w:tcPr>
          <w:p>
            <w:r>
              <w:rPr>
                <w:b/>
                <w:bCs/>
                <w:color w:val="FFFFFF"/>
                <w:sz w:val="20"/>
                <w:szCs w:val="20"/>
              </w:rPr>
              <w:t xml:space="preserve">Risk</w:t>
            </w:r>
          </w:p>
        </w:tc>
        <w:tc>
          <w:tcPr>
            <w:tcW w:type="dxa" w:w="1400"/>
            <w:shd w:fill="1F3864" w:val="clear"/>
            <w:tcMar>
              <w:top w:type="dxa" w:w="100"/>
              <w:left w:type="dxa" w:w="120"/>
              <w:bottom w:type="dxa" w:w="100"/>
              <w:right w:type="dxa" w:w="120"/>
            </w:tcMar>
          </w:tcPr>
          <w:p>
            <w:r>
              <w:rPr>
                <w:b/>
                <w:bCs/>
                <w:color w:val="FFFFFF"/>
                <w:sz w:val="20"/>
                <w:szCs w:val="20"/>
              </w:rPr>
              <w:t xml:space="preserve">Likelihood</w:t>
            </w:r>
          </w:p>
        </w:tc>
        <w:tc>
          <w:tcPr>
            <w:tcW w:type="dxa" w:w="1200"/>
            <w:shd w:fill="1F3864" w:val="clear"/>
            <w:tcMar>
              <w:top w:type="dxa" w:w="100"/>
              <w:left w:type="dxa" w:w="120"/>
              <w:bottom w:type="dxa" w:w="100"/>
              <w:right w:type="dxa" w:w="120"/>
            </w:tcMar>
          </w:tcPr>
          <w:p>
            <w:r>
              <w:rPr>
                <w:b/>
                <w:bCs/>
                <w:color w:val="FFFFFF"/>
                <w:sz w:val="20"/>
                <w:szCs w:val="20"/>
              </w:rPr>
              <w:t xml:space="preserve">Impact</w:t>
            </w:r>
          </w:p>
        </w:tc>
        <w:tc>
          <w:tcPr>
            <w:tcW w:type="dxa" w:w="3550"/>
            <w:shd w:fill="1F3864" w:val="clear"/>
            <w:tcMar>
              <w:top w:type="dxa" w:w="100"/>
              <w:left w:type="dxa" w:w="120"/>
              <w:bottom w:type="dxa" w:w="100"/>
              <w:right w:type="dxa" w:w="120"/>
            </w:tcMar>
          </w:tcPr>
          <w:p>
            <w:r>
              <w:rPr>
                <w:b/>
                <w:bCs/>
                <w:color w:val="FFFFFF"/>
                <w:sz w:val="20"/>
                <w:szCs w:val="20"/>
              </w:rPr>
              <w:t xml:space="preserve">Mitigation</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2026 data reported as preliminary/revised later</w:t>
            </w:r>
          </w:p>
        </w:tc>
        <w:tc>
          <w:tcPr>
            <w:tcW w:type="dxa" w:w="1400"/>
            <w:shd w:fill="FFFFFF" w:val="clear"/>
            <w:tcMar>
              <w:top w:type="dxa" w:w="100"/>
              <w:left w:type="dxa" w:w="120"/>
              <w:bottom w:type="dxa" w:w="100"/>
              <w:right w:type="dxa" w:w="120"/>
            </w:tcMar>
          </w:tcPr>
          <w:p>
            <w:r>
              <w:rPr>
                <w:b w:val="false"/>
                <w:bCs w:val="false"/>
                <w:color w:val="000000"/>
                <w:sz w:val="20"/>
                <w:szCs w:val="20"/>
              </w:rPr>
              <w:t xml:space="preserve">Medium</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Medium</w:t>
            </w:r>
          </w:p>
        </w:tc>
        <w:tc>
          <w:tcPr>
            <w:tcW w:type="dxa" w:w="3550"/>
            <w:shd w:fill="FFFFFF" w:val="clear"/>
            <w:tcMar>
              <w:top w:type="dxa" w:w="100"/>
              <w:left w:type="dxa" w:w="120"/>
              <w:bottom w:type="dxa" w:w="100"/>
              <w:right w:type="dxa" w:w="120"/>
            </w:tcMar>
          </w:tcPr>
          <w:p>
            <w:r>
              <w:rPr>
                <w:b w:val="false"/>
                <w:bCs w:val="false"/>
                <w:color w:val="000000"/>
                <w:sz w:val="20"/>
                <w:szCs w:val="20"/>
              </w:rPr>
              <w:t xml:space="preserve">Clearly label estimated vs. final figures; revisit before publishing</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Inconsistent country-level reporting methodology across NATO members</w:t>
            </w:r>
          </w:p>
        </w:tc>
        <w:tc>
          <w:tcPr>
            <w:tcW w:type="dxa" w:w="1400"/>
            <w:shd w:fill="F2F2F2" w:val="clear"/>
            <w:tcMar>
              <w:top w:type="dxa" w:w="100"/>
              <w:left w:type="dxa" w:w="120"/>
              <w:bottom w:type="dxa" w:w="100"/>
              <w:right w:type="dxa" w:w="120"/>
            </w:tcMar>
          </w:tcPr>
          <w:p>
            <w:r>
              <w:rPr>
                <w:b w:val="false"/>
                <w:bCs w:val="false"/>
                <w:color w:val="000000"/>
                <w:sz w:val="20"/>
                <w:szCs w:val="20"/>
              </w:rPr>
              <w:t xml:space="preserve">Medium</w:t>
            </w:r>
          </w:p>
        </w:tc>
        <w:tc>
          <w:tcPr>
            <w:tcW w:type="dxa" w:w="1200"/>
            <w:shd w:fill="F2F2F2" w:val="clear"/>
            <w:tcMar>
              <w:top w:type="dxa" w:w="100"/>
              <w:left w:type="dxa" w:w="120"/>
              <w:bottom w:type="dxa" w:w="100"/>
              <w:right w:type="dxa" w:w="120"/>
            </w:tcMar>
          </w:tcPr>
          <w:p>
            <w:r>
              <w:rPr>
                <w:b w:val="false"/>
                <w:bCs w:val="false"/>
                <w:color w:val="000000"/>
                <w:sz w:val="20"/>
                <w:szCs w:val="20"/>
              </w:rPr>
              <w:t xml:space="preserve">Medium</w:t>
            </w:r>
          </w:p>
        </w:tc>
        <w:tc>
          <w:tcPr>
            <w:tcW w:type="dxa" w:w="3550"/>
            <w:shd w:fill="F2F2F2" w:val="clear"/>
            <w:tcMar>
              <w:top w:type="dxa" w:w="100"/>
              <w:left w:type="dxa" w:w="120"/>
              <w:bottom w:type="dxa" w:w="100"/>
              <w:right w:type="dxa" w:w="120"/>
            </w:tcMar>
          </w:tcPr>
          <w:p>
            <w:r>
              <w:rPr>
                <w:b w:val="false"/>
                <w:bCs w:val="false"/>
                <w:color w:val="000000"/>
                <w:sz w:val="20"/>
                <w:szCs w:val="20"/>
              </w:rPr>
              <w:t xml:space="preserve">Rely on NATO's own standardized dataset rather than mixing national sources</w:t>
            </w:r>
          </w:p>
        </w:tc>
      </w:tr>
      <w:tr>
        <w:tc>
          <w:tcPr>
            <w:tcW w:type="dxa" w:w="3200"/>
            <w:shd w:fill="FFFFFF" w:val="clear"/>
            <w:tcMar>
              <w:top w:type="dxa" w:w="100"/>
              <w:left w:type="dxa" w:w="120"/>
              <w:bottom w:type="dxa" w:w="100"/>
              <w:right w:type="dxa" w:w="120"/>
            </w:tcMar>
          </w:tcPr>
          <w:p>
            <w:r>
              <w:rPr>
                <w:b w:val="false"/>
                <w:bCs w:val="false"/>
                <w:color w:val="000000"/>
                <w:sz w:val="20"/>
                <w:szCs w:val="20"/>
              </w:rPr>
              <w:t xml:space="preserve">Forecast assumptions seen as speculative</w:t>
            </w:r>
          </w:p>
        </w:tc>
        <w:tc>
          <w:tcPr>
            <w:tcW w:type="dxa" w:w="1400"/>
            <w:shd w:fill="FFFFFF" w:val="clear"/>
            <w:tcMar>
              <w:top w:type="dxa" w:w="100"/>
              <w:left w:type="dxa" w:w="120"/>
              <w:bottom w:type="dxa" w:w="100"/>
              <w:right w:type="dxa" w:w="120"/>
            </w:tcMar>
          </w:tcPr>
          <w:p>
            <w:r>
              <w:rPr>
                <w:b w:val="false"/>
                <w:bCs w:val="false"/>
                <w:color w:val="000000"/>
                <w:sz w:val="20"/>
                <w:szCs w:val="20"/>
              </w:rPr>
              <w:t xml:space="preserve">Medium</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High</w:t>
            </w:r>
          </w:p>
        </w:tc>
        <w:tc>
          <w:tcPr>
            <w:tcW w:type="dxa" w:w="3550"/>
            <w:shd w:fill="FFFFFF" w:val="clear"/>
            <w:tcMar>
              <w:top w:type="dxa" w:w="100"/>
              <w:left w:type="dxa" w:w="120"/>
              <w:bottom w:type="dxa" w:w="100"/>
              <w:right w:type="dxa" w:w="120"/>
            </w:tcMar>
          </w:tcPr>
          <w:p>
            <w:r>
              <w:rPr>
                <w:b w:val="false"/>
                <w:bCs w:val="false"/>
                <w:color w:val="000000"/>
                <w:sz w:val="20"/>
                <w:szCs w:val="20"/>
              </w:rPr>
              <w:t xml:space="preserve">Use PBO-published scenarios only; present as range, not single-point prediction</w:t>
            </w:r>
          </w:p>
        </w:tc>
      </w:tr>
      <w:tr>
        <w:tc>
          <w:tcPr>
            <w:tcW w:type="dxa" w:w="3200"/>
            <w:shd w:fill="F2F2F2" w:val="clear"/>
            <w:tcMar>
              <w:top w:type="dxa" w:w="100"/>
              <w:left w:type="dxa" w:w="120"/>
              <w:bottom w:type="dxa" w:w="100"/>
              <w:right w:type="dxa" w:w="120"/>
            </w:tcMar>
          </w:tcPr>
          <w:p>
            <w:r>
              <w:rPr>
                <w:b w:val="false"/>
                <w:bCs w:val="false"/>
                <w:color w:val="000000"/>
                <w:sz w:val="20"/>
                <w:szCs w:val="20"/>
              </w:rPr>
              <w:t xml:space="preserve">Dashboard misread as political commentary</w:t>
            </w:r>
          </w:p>
        </w:tc>
        <w:tc>
          <w:tcPr>
            <w:tcW w:type="dxa" w:w="1400"/>
            <w:shd w:fill="F2F2F2" w:val="clear"/>
            <w:tcMar>
              <w:top w:type="dxa" w:w="100"/>
              <w:left w:type="dxa" w:w="120"/>
              <w:bottom w:type="dxa" w:w="100"/>
              <w:right w:type="dxa" w:w="120"/>
            </w:tcMar>
          </w:tcPr>
          <w:p>
            <w:r>
              <w:rPr>
                <w:b w:val="false"/>
                <w:bCs w:val="false"/>
                <w:color w:val="000000"/>
                <w:sz w:val="20"/>
                <w:szCs w:val="20"/>
              </w:rPr>
              <w:t xml:space="preserve">Low</w:t>
            </w:r>
          </w:p>
        </w:tc>
        <w:tc>
          <w:tcPr>
            <w:tcW w:type="dxa" w:w="1200"/>
            <w:shd w:fill="F2F2F2" w:val="clear"/>
            <w:tcMar>
              <w:top w:type="dxa" w:w="100"/>
              <w:left w:type="dxa" w:w="120"/>
              <w:bottom w:type="dxa" w:w="100"/>
              <w:right w:type="dxa" w:w="120"/>
            </w:tcMar>
          </w:tcPr>
          <w:p>
            <w:r>
              <w:rPr>
                <w:b w:val="false"/>
                <w:bCs w:val="false"/>
                <w:color w:val="000000"/>
                <w:sz w:val="20"/>
                <w:szCs w:val="20"/>
              </w:rPr>
              <w:t xml:space="preserve">High</w:t>
            </w:r>
          </w:p>
        </w:tc>
        <w:tc>
          <w:tcPr>
            <w:tcW w:type="dxa" w:w="3550"/>
            <w:shd w:fill="F2F2F2" w:val="clear"/>
            <w:tcMar>
              <w:top w:type="dxa" w:w="100"/>
              <w:left w:type="dxa" w:w="120"/>
              <w:bottom w:type="dxa" w:w="100"/>
              <w:right w:type="dxa" w:w="120"/>
            </w:tcMar>
          </w:tcPr>
          <w:p>
            <w:r>
              <w:rPr>
                <w:b w:val="false"/>
                <w:bCs w:val="false"/>
                <w:color w:val="000000"/>
                <w:sz w:val="20"/>
                <w:szCs w:val="20"/>
              </w:rPr>
              <w:t xml:space="preserve">Keep narrative factual and source-cited; avoid editorializing</w:t>
            </w:r>
          </w:p>
        </w:tc>
      </w:tr>
    </w:tbl>
    <w:p>
      <w:pPr>
        <w:pStyle w:val="Heading1"/>
        <w:spacing w:after="160" w:before="320"/>
      </w:pPr>
      <w:r>
        <w:t xml:space="preserve">9.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100"/>
              <w:left w:type="dxa" w:w="120"/>
              <w:bottom w:type="dxa" w:w="100"/>
              <w:right w:type="dxa" w:w="120"/>
            </w:tcMar>
          </w:tcPr>
          <w:p>
            <w:r>
              <w:rPr>
                <w:b/>
                <w:bCs/>
                <w:color w:val="FFFFFF"/>
                <w:sz w:val="20"/>
                <w:szCs w:val="20"/>
              </w:rPr>
              <w:t xml:space="preserve">Metric</w:t>
            </w:r>
          </w:p>
        </w:tc>
        <w:tc>
          <w:tcPr>
            <w:tcW w:type="dxa" w:w="4675"/>
            <w:shd w:fill="1F3864" w:val="clear"/>
            <w:tcMar>
              <w:top w:type="dxa" w:w="100"/>
              <w:left w:type="dxa" w:w="120"/>
              <w:bottom w:type="dxa" w:w="100"/>
              <w:right w:type="dxa" w:w="120"/>
            </w:tcMar>
          </w:tcPr>
          <w:p>
            <w:r>
              <w:rPr>
                <w:b/>
                <w:bCs/>
                <w:color w:val="FFFFFF"/>
                <w:sz w:val="20"/>
                <w:szCs w:val="20"/>
              </w:rPr>
              <w:t xml:space="preserve">Target</w:t>
            </w:r>
          </w:p>
        </w:tc>
      </w:tr>
      <w:tr>
        <w:tc>
          <w:tcPr>
            <w:tcW w:type="dxa" w:w="4675"/>
            <w:shd w:fill="FFFFFF" w:val="clear"/>
            <w:tcMar>
              <w:top w:type="dxa" w:w="100"/>
              <w:left w:type="dxa" w:w="120"/>
              <w:bottom w:type="dxa" w:w="100"/>
              <w:right w:type="dxa" w:w="120"/>
            </w:tcMar>
          </w:tcPr>
          <w:p>
            <w:r>
              <w:rPr>
                <w:b w:val="false"/>
                <w:bCs w:val="false"/>
                <w:color w:val="000000"/>
                <w:sz w:val="20"/>
                <w:szCs w:val="20"/>
              </w:rPr>
              <w:t xml:space="preserve">Source reconciliation</w:t>
            </w:r>
          </w:p>
        </w:tc>
        <w:tc>
          <w:tcPr>
            <w:tcW w:type="dxa" w:w="4675"/>
            <w:shd w:fill="FFFFFF" w:val="clear"/>
            <w:tcMar>
              <w:top w:type="dxa" w:w="100"/>
              <w:left w:type="dxa" w:w="120"/>
              <w:bottom w:type="dxa" w:w="100"/>
              <w:right w:type="dxa" w:w="120"/>
            </w:tcMar>
          </w:tcPr>
          <w:p>
            <w:r>
              <w:rPr>
                <w:b w:val="false"/>
                <w:bCs w:val="false"/>
                <w:color w:val="000000"/>
                <w:sz w:val="20"/>
                <w:szCs w:val="20"/>
              </w:rPr>
              <w:t xml:space="preserve">100% of figures traceable to a cited public source</w:t>
            </w:r>
          </w:p>
        </w:tc>
      </w:tr>
      <w:tr>
        <w:tc>
          <w:tcPr>
            <w:tcW w:type="dxa" w:w="4675"/>
            <w:shd w:fill="F2F2F2" w:val="clear"/>
            <w:tcMar>
              <w:top w:type="dxa" w:w="100"/>
              <w:left w:type="dxa" w:w="120"/>
              <w:bottom w:type="dxa" w:w="100"/>
              <w:right w:type="dxa" w:w="120"/>
            </w:tcMar>
          </w:tcPr>
          <w:p>
            <w:r>
              <w:rPr>
                <w:b w:val="false"/>
                <w:bCs w:val="false"/>
                <w:color w:val="000000"/>
                <w:sz w:val="20"/>
                <w:szCs w:val="20"/>
              </w:rPr>
              <w:t xml:space="preserve">Time-to-insight</w:t>
            </w:r>
          </w:p>
        </w:tc>
        <w:tc>
          <w:tcPr>
            <w:tcW w:type="dxa" w:w="4675"/>
            <w:shd w:fill="F2F2F2" w:val="clear"/>
            <w:tcMar>
              <w:top w:type="dxa" w:w="100"/>
              <w:left w:type="dxa" w:w="120"/>
              <w:bottom w:type="dxa" w:w="100"/>
              <w:right w:type="dxa" w:w="120"/>
            </w:tcMar>
          </w:tcPr>
          <w:p>
            <w:r>
              <w:rPr>
                <w:b w:val="false"/>
                <w:bCs w:val="false"/>
                <w:color w:val="000000"/>
                <w:sz w:val="20"/>
                <w:szCs w:val="20"/>
              </w:rPr>
              <w:t xml:space="preserve">Key finding graspable within 30 seconds of viewing dashboard</w:t>
            </w:r>
          </w:p>
        </w:tc>
      </w:tr>
      <w:tr>
        <w:tc>
          <w:tcPr>
            <w:tcW w:type="dxa" w:w="4675"/>
            <w:shd w:fill="FFFFFF" w:val="clear"/>
            <w:tcMar>
              <w:top w:type="dxa" w:w="100"/>
              <w:left w:type="dxa" w:w="120"/>
              <w:bottom w:type="dxa" w:w="100"/>
              <w:right w:type="dxa" w:w="120"/>
            </w:tcMar>
          </w:tcPr>
          <w:p>
            <w:r>
              <w:rPr>
                <w:b w:val="false"/>
                <w:bCs w:val="false"/>
                <w:color w:val="000000"/>
                <w:sz w:val="20"/>
                <w:szCs w:val="20"/>
              </w:rPr>
              <w:t xml:space="preserve">Delivery completeness</w:t>
            </w:r>
          </w:p>
        </w:tc>
        <w:tc>
          <w:tcPr>
            <w:tcW w:type="dxa" w:w="4675"/>
            <w:shd w:fill="FFFFFF" w:val="clear"/>
            <w:tcMar>
              <w:top w:type="dxa" w:w="100"/>
              <w:left w:type="dxa" w:w="120"/>
              <w:bottom w:type="dxa" w:w="100"/>
              <w:right w:type="dxa" w:w="120"/>
            </w:tcMar>
          </w:tcPr>
          <w:p>
            <w:r>
              <w:rPr>
                <w:b w:val="false"/>
                <w:bCs w:val="false"/>
                <w:color w:val="000000"/>
                <w:sz w:val="20"/>
                <w:szCs w:val="20"/>
              </w:rPr>
              <w:t xml:space="preserve">Dashboard + insights summary + LinkedIn narrative all published</w:t>
            </w:r>
          </w:p>
        </w:tc>
      </w:tr>
      <w:tr>
        <w:tc>
          <w:tcPr>
            <w:tcW w:type="dxa" w:w="4675"/>
            <w:shd w:fill="F2F2F2" w:val="clear"/>
            <w:tcMar>
              <w:top w:type="dxa" w:w="100"/>
              <w:left w:type="dxa" w:w="120"/>
              <w:bottom w:type="dxa" w:w="100"/>
              <w:right w:type="dxa" w:w="120"/>
            </w:tcMar>
          </w:tcPr>
          <w:p>
            <w:r>
              <w:rPr>
                <w:b w:val="false"/>
                <w:bCs w:val="false"/>
                <w:color w:val="000000"/>
                <w:sz w:val="20"/>
                <w:szCs w:val="20"/>
              </w:rPr>
              <w:t xml:space="preserve">External engagement</w:t>
            </w:r>
          </w:p>
        </w:tc>
        <w:tc>
          <w:tcPr>
            <w:tcW w:type="dxa" w:w="4675"/>
            <w:shd w:fill="F2F2F2" w:val="clear"/>
            <w:tcMar>
              <w:top w:type="dxa" w:w="100"/>
              <w:left w:type="dxa" w:w="120"/>
              <w:bottom w:type="dxa" w:w="100"/>
              <w:right w:type="dxa" w:w="120"/>
            </w:tcMar>
          </w:tcPr>
          <w:p>
            <w:r>
              <w:rPr>
                <w:b w:val="false"/>
                <w:bCs w:val="false"/>
                <w:color w:val="000000"/>
                <w:sz w:val="20"/>
                <w:szCs w:val="20"/>
              </w:rPr>
              <w:t xml:space="preserve">Qualitative: comments/engagement indicating the narrative and rigor landed with target audience</w:t>
            </w:r>
          </w:p>
        </w:tc>
      </w:tr>
    </w:tbl>
    <w:p>
      <w:pPr>
        <w:pStyle w:val="Heading1"/>
        <w:spacing w:after="160" w:before="320"/>
      </w:pPr>
      <w:r>
        <w:t xml:space="preserve">10. Communication Strategy</w:t>
      </w:r>
    </w:p>
    <w:p>
      <w:pPr>
        <w:spacing w:after="160"/>
      </w:pPr>
      <w:r>
        <w:t xml:space="preserve">Internal progress tracking follows the RACI and communication plan defined in the Stakeholder Requirements Document. External communication is limited to the final publication stage: a LinkedIn narrative that leads with the finding (not the process), supported by the published Power BI dashboard link and a short insights summary.</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2026-08-08T03:51:45.519Z</dcterms:created>
  <dcterms:modified xsi:type="dcterms:W3CDTF">2026-08-08T03:51:45.519Z</dcterms:modified>
</cp:coreProperties>
</file>

<file path=docProps/custom.xml><?xml version="1.0" encoding="utf-8"?>
<Properties xmlns="http://schemas.openxmlformats.org/officeDocument/2006/custom-properties" xmlns:vt="http://schemas.openxmlformats.org/officeDocument/2006/docPropsVTypes"/>
</file>