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D8ABE" w14:textId="77777777" w:rsidR="0033638F" w:rsidRDefault="00000000">
      <w:pPr>
        <w:pStyle w:val="Title"/>
        <w:spacing w:after="300"/>
      </w:pPr>
      <w:r>
        <w:rPr>
          <w:b/>
          <w:bCs/>
        </w:rPr>
        <w:t>Project Requirements Document: Supply Chain Control Tower</w:t>
      </w:r>
    </w:p>
    <w:p w14:paraId="7490917B" w14:textId="77777777" w:rsidR="0033638F" w:rsidRDefault="00000000">
      <w:pPr>
        <w:spacing w:after="40"/>
      </w:pPr>
      <w:r>
        <w:rPr>
          <w:b/>
          <w:bCs/>
        </w:rPr>
        <w:t>BI Analyst:</w:t>
      </w:r>
    </w:p>
    <w:p w14:paraId="692A22A1" w14:textId="690A5A3B" w:rsidR="0033638F" w:rsidRDefault="005855D8">
      <w:pPr>
        <w:spacing w:after="160"/>
      </w:pPr>
      <w:r>
        <w:t>Jatin Sagwal</w:t>
      </w:r>
    </w:p>
    <w:p w14:paraId="107F5993" w14:textId="77777777" w:rsidR="0033638F" w:rsidRDefault="00000000">
      <w:pPr>
        <w:spacing w:after="40"/>
      </w:pPr>
      <w:r>
        <w:rPr>
          <w:b/>
          <w:bCs/>
        </w:rPr>
        <w:t>Client/Sponsor:</w:t>
      </w:r>
    </w:p>
    <w:p w14:paraId="009C2324" w14:textId="77777777" w:rsidR="0033638F" w:rsidRDefault="00000000">
      <w:pPr>
        <w:spacing w:after="160"/>
      </w:pPr>
      <w:r>
        <w:t>Maria Chen, VP of Supply Chain Operations, NorthPeak Outdoor Co. (fictional client persona)</w:t>
      </w:r>
    </w:p>
    <w:p w14:paraId="00FCBB2D" w14:textId="77777777" w:rsidR="0033638F" w:rsidRDefault="00000000">
      <w:pPr>
        <w:pStyle w:val="Heading2"/>
        <w:spacing w:before="240" w:after="120"/>
      </w:pPr>
      <w:r>
        <w:rPr>
          <w:b/>
          <w:bCs/>
        </w:rPr>
        <w:t>Purpose</w:t>
      </w:r>
    </w:p>
    <w:p w14:paraId="7AA56F6F" w14:textId="77777777" w:rsidR="0033638F" w:rsidRDefault="00000000">
      <w:pPr>
        <w:spacing w:after="160"/>
      </w:pPr>
      <w:r>
        <w:t>This project delivers a Tableau-based Supply Chain Control Tower that gives NorthPeak leadership and operations teams a single, real-time view of delivery performance, inventory health, and supplier reliability — including exposure to active global chokepoint disruptions (Red Sea/Suez rerouting, the Strait of Hormuz closure since February 2026) and to NorthPeak's specific exposure as a Canadian importer/exporter (Port of Vancouver performance, Canada-US tariff volatility). Today these insights are scattered across spreadsheets and manual reporting, meaning disruptions are caught late, decisions are reactive, and cost/delay impact is never quantified. The company should invest in this project because early detection of at-risk shipments and inventory positions directly reduces expedited-freight costs, stockout-driven lost sales, and customer-service escalations — while giving leadership defensible, data-backed answers when the board asks ‘how exposed are we to the current shipping crisis, and to tariff changes at our own border?’</w:t>
      </w:r>
    </w:p>
    <w:p w14:paraId="37B0E29B" w14:textId="77777777" w:rsidR="0033638F" w:rsidRDefault="00000000">
      <w:pPr>
        <w:pStyle w:val="Heading2"/>
        <w:spacing w:before="240" w:after="120"/>
      </w:pPr>
      <w:r>
        <w:rPr>
          <w:b/>
          <w:bCs/>
        </w:rPr>
        <w:t>Key dependencies</w:t>
      </w:r>
    </w:p>
    <w:p w14:paraId="17F22768" w14:textId="77777777" w:rsidR="0033638F" w:rsidRDefault="00000000">
      <w:pPr>
        <w:pStyle w:val="ListParagraph"/>
        <w:numPr>
          <w:ilvl w:val="0"/>
          <w:numId w:val="1"/>
        </w:numPr>
        <w:spacing w:after="80"/>
      </w:pPr>
      <w:r>
        <w:t>BI Analyst ([Your Name]): data modeling, dashboard design and build in Tableau.</w:t>
      </w:r>
    </w:p>
    <w:p w14:paraId="3FDE851E" w14:textId="77777777" w:rsidR="0033638F" w:rsidRDefault="00000000">
      <w:pPr>
        <w:pStyle w:val="ListParagraph"/>
        <w:numPr>
          <w:ilvl w:val="0"/>
          <w:numId w:val="1"/>
        </w:numPr>
        <w:spacing w:after="80"/>
      </w:pPr>
      <w:r>
        <w:t>Executive Sponsor (Maria Chen, VP Supply Chain): requirement approval, sign-off, and internal rollout advocacy.</w:t>
      </w:r>
    </w:p>
    <w:p w14:paraId="56A59C8D" w14:textId="77777777" w:rsidR="0033638F" w:rsidRDefault="00000000">
      <w:pPr>
        <w:pStyle w:val="ListParagraph"/>
        <w:numPr>
          <w:ilvl w:val="0"/>
          <w:numId w:val="1"/>
        </w:numPr>
        <w:spacing w:after="80"/>
      </w:pPr>
      <w:r>
        <w:t>Logistics, Procurement, Warehouse, and Finance leads: source requirement input and validate outputs.</w:t>
      </w:r>
    </w:p>
    <w:p w14:paraId="2A73A018" w14:textId="77777777" w:rsidR="0033638F" w:rsidRDefault="00000000">
      <w:pPr>
        <w:pStyle w:val="ListParagraph"/>
        <w:numPr>
          <w:ilvl w:val="0"/>
          <w:numId w:val="1"/>
        </w:numPr>
        <w:spacing w:after="80"/>
      </w:pPr>
      <w:r>
        <w:t>Data sources: historical shipment/order data, inventory records, supplier performance data, and public chokepoint/freight-rate data (see Strategy Document for full source list).</w:t>
      </w:r>
    </w:p>
    <w:p w14:paraId="30D18E83" w14:textId="77777777" w:rsidR="0033638F" w:rsidRDefault="00000000">
      <w:pPr>
        <w:pStyle w:val="ListParagraph"/>
        <w:numPr>
          <w:ilvl w:val="0"/>
          <w:numId w:val="1"/>
        </w:numPr>
        <w:spacing w:after="80"/>
      </w:pPr>
      <w:r>
        <w:t>Tooling: Tableau Desktop/Public for build and publishing; spreadsheet/CSV data prep.</w:t>
      </w:r>
    </w:p>
    <w:p w14:paraId="7255109A" w14:textId="77777777" w:rsidR="0033638F" w:rsidRDefault="00000000">
      <w:pPr>
        <w:pStyle w:val="ListParagraph"/>
        <w:numPr>
          <w:ilvl w:val="0"/>
          <w:numId w:val="1"/>
        </w:numPr>
        <w:spacing w:after="80"/>
      </w:pPr>
      <w:r>
        <w:t>Expected deliverables: a 5-page interactive Tableau dashboard, this requirements documentation set, and a written case-study summary for portfolio/LinkedIn publication.</w:t>
      </w:r>
    </w:p>
    <w:p w14:paraId="446ADC0E" w14:textId="77777777" w:rsidR="0033638F" w:rsidRDefault="00000000">
      <w:pPr>
        <w:pStyle w:val="Heading2"/>
        <w:spacing w:before="240" w:after="120"/>
      </w:pPr>
      <w:r>
        <w:rPr>
          <w:b/>
          <w:bCs/>
        </w:rPr>
        <w:t>Stakeholder requirements</w:t>
      </w:r>
    </w:p>
    <w:p w14:paraId="5288E585" w14:textId="77777777" w:rsidR="0033638F" w:rsidRDefault="00000000">
      <w:pPr>
        <w:spacing w:after="160"/>
      </w:pPr>
      <w:r>
        <w:t>Requirements below are drawn from the Stakeholder Requirements Document and prioritized as R (required), D (desired), or N (nice to have).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400"/>
      </w:tblGrid>
      <w:tr w:rsidR="0033638F" w14:paraId="5C955012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9F063" w14:textId="77777777" w:rsidR="0033638F" w:rsidRDefault="00000000">
            <w:r>
              <w:rPr>
                <w:b/>
                <w:bCs/>
              </w:rPr>
              <w:t>Requirement</w:t>
            </w:r>
          </w:p>
        </w:tc>
        <w:tc>
          <w:tcPr>
            <w:tcW w:w="24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E7F456" w14:textId="77777777" w:rsidR="0033638F" w:rsidRDefault="00000000">
            <w:r>
              <w:rPr>
                <w:b/>
                <w:bCs/>
              </w:rPr>
              <w:t>Priority (R/D/N)</w:t>
            </w:r>
          </w:p>
        </w:tc>
      </w:tr>
      <w:tr w:rsidR="0033638F" w14:paraId="6C946AFB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2DB1A8" w14:textId="77777777" w:rsidR="0033638F" w:rsidRDefault="00000000">
            <w:r>
              <w:t>Unified dashboard consolidating shipment, inventory, and supplier data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05622E" w14:textId="77777777" w:rsidR="0033638F" w:rsidRDefault="00000000">
            <w:r>
              <w:t>R</w:t>
            </w:r>
          </w:p>
        </w:tc>
      </w:tr>
      <w:tr w:rsidR="0033638F" w14:paraId="1DCD303D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90B15" w14:textId="77777777" w:rsidR="0033638F" w:rsidRDefault="00000000">
            <w:r>
              <w:t>On-time delivery KPI by carrier, lane, and origin region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AEDAF" w14:textId="77777777" w:rsidR="0033638F" w:rsidRDefault="00000000">
            <w:r>
              <w:t>R</w:t>
            </w:r>
          </w:p>
        </w:tc>
      </w:tr>
      <w:tr w:rsidR="0033638F" w14:paraId="7173E402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04995" w14:textId="77777777" w:rsidR="0033638F" w:rsidRDefault="00000000">
            <w:r>
              <w:t>Inventory days-of-supply and stockout-risk indicators by warehouse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D3C686" w14:textId="77777777" w:rsidR="0033638F" w:rsidRDefault="00000000">
            <w:r>
              <w:t>R</w:t>
            </w:r>
          </w:p>
        </w:tc>
      </w:tr>
      <w:tr w:rsidR="0033638F" w14:paraId="592C8637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FF1F0F" w14:textId="77777777" w:rsidR="0033638F" w:rsidRDefault="00000000">
            <w:r>
              <w:t>Supplier scorecard (on-time %, lead-time variability, risk exposure)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73F85" w14:textId="77777777" w:rsidR="0033638F" w:rsidRDefault="00000000">
            <w:r>
              <w:t>R</w:t>
            </w:r>
          </w:p>
        </w:tc>
      </w:tr>
      <w:tr w:rsidR="0033638F" w14:paraId="11C55F6C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25CEF7" w14:textId="77777777" w:rsidR="0033638F" w:rsidRDefault="00000000">
            <w:r>
              <w:t>Chokepoint disruption layer (Red Sea/Suez, Hormuz, Panama) with cost/delay impact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18B2E" w14:textId="77777777" w:rsidR="0033638F" w:rsidRDefault="00000000">
            <w:r>
              <w:t>R</w:t>
            </w:r>
          </w:p>
        </w:tc>
      </w:tr>
      <w:tr w:rsidR="0033638F" w14:paraId="5F589CE5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EA6183" w14:textId="77777777" w:rsidR="0033638F" w:rsidRDefault="00000000">
            <w:r>
              <w:lastRenderedPageBreak/>
              <w:t>Exceptions/alerts view highlighting items needing immediate attention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BD008" w14:textId="77777777" w:rsidR="0033638F" w:rsidRDefault="00000000">
            <w:r>
              <w:t>D</w:t>
            </w:r>
          </w:p>
        </w:tc>
      </w:tr>
      <w:tr w:rsidR="0033638F" w14:paraId="196323BD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7DCCC" w14:textId="77777777" w:rsidR="0033638F" w:rsidRDefault="00000000">
            <w:r>
              <w:t>Filterable by date range, region, carrier, and supplier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2E759F" w14:textId="77777777" w:rsidR="0033638F" w:rsidRDefault="00000000">
            <w:r>
              <w:t>R</w:t>
            </w:r>
          </w:p>
        </w:tc>
      </w:tr>
      <w:tr w:rsidR="0033638F" w14:paraId="143A0736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5ECE5F" w14:textId="77777777" w:rsidR="0033638F" w:rsidRDefault="00000000">
            <w:r>
              <w:t>Weekly data refresh minimum (daily for shipment status)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FDBA4" w14:textId="77777777" w:rsidR="0033638F" w:rsidRDefault="00000000">
            <w:r>
              <w:t>D</w:t>
            </w:r>
          </w:p>
        </w:tc>
      </w:tr>
      <w:tr w:rsidR="0033638F" w14:paraId="73A0DEE3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353EC" w14:textId="77777777" w:rsidR="0033638F" w:rsidRDefault="00000000">
            <w:r>
              <w:t>Role-based views (executive summary vs. operational drill-down)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274C23" w14:textId="77777777" w:rsidR="0033638F" w:rsidRDefault="00000000">
            <w:r>
              <w:t>D</w:t>
            </w:r>
          </w:p>
        </w:tc>
      </w:tr>
      <w:tr w:rsidR="0033638F" w14:paraId="65D994E1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93942F" w14:textId="77777777" w:rsidR="0033638F" w:rsidRDefault="00000000">
            <w:r>
              <w:t>Scenario toggle simulating a chokepoint closure and exposed lanes/suppliers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8DAAB" w14:textId="77777777" w:rsidR="0033638F" w:rsidRDefault="00000000">
            <w:r>
              <w:t>N</w:t>
            </w:r>
          </w:p>
        </w:tc>
      </w:tr>
      <w:tr w:rsidR="0033638F" w14:paraId="2DB748F4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3175DF" w14:textId="77777777" w:rsidR="0033638F" w:rsidRDefault="00000000">
            <w:r>
              <w:t>Canada Trade Lane Spotlight page (Port of Vancouver performance, Canada-US tariff exposure)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83C8B2" w14:textId="77777777" w:rsidR="0033638F" w:rsidRDefault="00000000">
            <w:r>
              <w:t>R</w:t>
            </w:r>
          </w:p>
        </w:tc>
      </w:tr>
    </w:tbl>
    <w:p w14:paraId="6B768EE1" w14:textId="77777777" w:rsidR="0033638F" w:rsidRDefault="0033638F">
      <w:pPr>
        <w:spacing w:after="200"/>
      </w:pPr>
    </w:p>
    <w:p w14:paraId="3E545090" w14:textId="77777777" w:rsidR="0033638F" w:rsidRDefault="00000000">
      <w:pPr>
        <w:pStyle w:val="Heading2"/>
        <w:spacing w:before="240" w:after="120"/>
      </w:pPr>
      <w:r>
        <w:rPr>
          <w:b/>
          <w:bCs/>
        </w:rPr>
        <w:t>Success criteria</w:t>
      </w:r>
    </w:p>
    <w:p w14:paraId="43A383D9" w14:textId="77777777" w:rsidR="0033638F" w:rsidRDefault="00000000">
      <w:pPr>
        <w:pStyle w:val="ListParagraph"/>
        <w:numPr>
          <w:ilvl w:val="0"/>
          <w:numId w:val="1"/>
        </w:numPr>
        <w:spacing w:after="80"/>
      </w:pPr>
      <w:r>
        <w:t>Specific/Measurable: Dashboard covers 100% of simulated shipment volume across all 4 warehouses and both sourcing regions within the first release.</w:t>
      </w:r>
    </w:p>
    <w:p w14:paraId="7305E602" w14:textId="77777777" w:rsidR="0033638F" w:rsidRDefault="00000000">
      <w:pPr>
        <w:pStyle w:val="ListParagraph"/>
        <w:numPr>
          <w:ilvl w:val="0"/>
          <w:numId w:val="1"/>
        </w:numPr>
        <w:spacing w:after="80"/>
      </w:pPr>
      <w:r>
        <w:t>Specific/Measurable: On-time delivery, inventory days-of-supply, and supplier scorecard KPIs are visible and correctly calculated for at least 12 months of historical/simulated data.</w:t>
      </w:r>
    </w:p>
    <w:p w14:paraId="4455D42F" w14:textId="77777777" w:rsidR="0033638F" w:rsidRDefault="00000000">
      <w:pPr>
        <w:pStyle w:val="ListParagraph"/>
        <w:numPr>
          <w:ilvl w:val="0"/>
          <w:numId w:val="1"/>
        </w:numPr>
        <w:spacing w:after="80"/>
      </w:pPr>
      <w:r>
        <w:t>Achievable/Relevant: Chokepoint disruption layer correctly reflects at least 2 real disruption events (Red Sea rerouting, Strait of Hormuz closure) using public data as of the project build date.</w:t>
      </w:r>
    </w:p>
    <w:p w14:paraId="2BB9F9D9" w14:textId="77777777" w:rsidR="0033638F" w:rsidRDefault="00000000">
      <w:pPr>
        <w:pStyle w:val="ListParagraph"/>
        <w:numPr>
          <w:ilvl w:val="0"/>
          <w:numId w:val="1"/>
        </w:numPr>
        <w:spacing w:after="80"/>
      </w:pPr>
      <w:r>
        <w:t>Time-bound: Full dashboard (all 5 pages) built, tested, and published within 4–6 weeks of project kickoff.</w:t>
      </w:r>
    </w:p>
    <w:p w14:paraId="18B2CD74" w14:textId="77777777" w:rsidR="0033638F" w:rsidRDefault="00000000">
      <w:pPr>
        <w:pStyle w:val="ListParagraph"/>
        <w:numPr>
          <w:ilvl w:val="0"/>
          <w:numId w:val="1"/>
        </w:numPr>
        <w:spacing w:after="80"/>
      </w:pPr>
      <w:r>
        <w:t>Time-bound: Case-study write-up and LinkedIn publication completed within 1 week of dashboard completion.</w:t>
      </w:r>
    </w:p>
    <w:p w14:paraId="1E80A9E5" w14:textId="77777777" w:rsidR="0033638F" w:rsidRDefault="00000000">
      <w:pPr>
        <w:pStyle w:val="ListParagraph"/>
        <w:numPr>
          <w:ilvl w:val="0"/>
          <w:numId w:val="1"/>
        </w:numPr>
        <w:spacing w:after="80"/>
      </w:pPr>
      <w:r>
        <w:t>Specific/Measurable: Canada Trade Lane Spotlight page correctly reflects at least 12 months of Port of Vancouver performance data and current Canada-US tariff rates as of the project build date, sourced from Statistics Canada / Transport Canada / Port of Vancouver.</w:t>
      </w:r>
    </w:p>
    <w:p w14:paraId="490265FF" w14:textId="77777777" w:rsidR="0033638F" w:rsidRDefault="00000000">
      <w:pPr>
        <w:pStyle w:val="Heading2"/>
        <w:spacing w:before="240" w:after="120"/>
      </w:pPr>
      <w:r>
        <w:rPr>
          <w:b/>
          <w:bCs/>
        </w:rPr>
        <w:t>User journeys</w:t>
      </w:r>
    </w:p>
    <w:p w14:paraId="7C0FBD20" w14:textId="77777777" w:rsidR="0033638F" w:rsidRDefault="00000000">
      <w:pPr>
        <w:spacing w:after="160"/>
      </w:pPr>
      <w:r>
        <w:t>Current experience: A stakeholder who wants to know ‘are we at risk right now’ must check email updates from freight forwarders, open a separate warehouse inventory spreadsheet, and ask procurement informally about supplier issues — a process that can take hours and is often a day or more out of date, especially during active disruptions.</w:t>
      </w:r>
    </w:p>
    <w:p w14:paraId="02D77E7F" w14:textId="77777777" w:rsidR="0033638F" w:rsidRDefault="00000000">
      <w:pPr>
        <w:spacing w:after="160"/>
      </w:pPr>
      <w:r>
        <w:t>Future experience: The same stakeholder opens the Control Tower dashboard, sees an Executive Summary with color-coded KPIs and an Exceptions view listing exactly what needs attention today, and can drill into the specific shipment, supplier, or warehouse in under a minute — with disruption exposure (e.g., Hormuz closure impact on a specific lane) already quantified.</w:t>
      </w:r>
    </w:p>
    <w:p w14:paraId="201C8A02" w14:textId="77777777" w:rsidR="0033638F" w:rsidRDefault="00000000">
      <w:pPr>
        <w:pStyle w:val="Heading2"/>
        <w:spacing w:before="240" w:after="120"/>
      </w:pPr>
      <w:r>
        <w:rPr>
          <w:b/>
          <w:bCs/>
        </w:rPr>
        <w:t>Assumptions</w:t>
      </w:r>
    </w:p>
    <w:p w14:paraId="01E7273B" w14:textId="77777777" w:rsidR="0033638F" w:rsidRDefault="00000000">
      <w:pPr>
        <w:pStyle w:val="ListParagraph"/>
        <w:numPr>
          <w:ilvl w:val="0"/>
          <w:numId w:val="1"/>
        </w:numPr>
        <w:spacing w:after="80"/>
      </w:pPr>
      <w:r>
        <w:t>This is a self-directed portfolio project: NorthPeak Outdoor Co. and its stakeholders are a fictional persona created to give the project a realistic business framing.</w:t>
      </w:r>
    </w:p>
    <w:p w14:paraId="1BD8A4E7" w14:textId="77777777" w:rsidR="0033638F" w:rsidRDefault="00000000">
      <w:pPr>
        <w:pStyle w:val="ListParagraph"/>
        <w:numPr>
          <w:ilvl w:val="0"/>
          <w:numId w:val="1"/>
        </w:numPr>
        <w:spacing w:after="80"/>
      </w:pPr>
      <w:r>
        <w:t>No live company ERP/TMS system exists, so transactional shipment, inventory, and supplier data will be synthesized or adapted from public datasets (see Strategy Document) to resemble a realistic mid-size retailer's data.</w:t>
      </w:r>
    </w:p>
    <w:p w14:paraId="613AFAAD" w14:textId="77777777" w:rsidR="0033638F" w:rsidRDefault="00000000">
      <w:pPr>
        <w:pStyle w:val="ListParagraph"/>
        <w:numPr>
          <w:ilvl w:val="0"/>
          <w:numId w:val="1"/>
        </w:numPr>
        <w:spacing w:after="80"/>
      </w:pPr>
      <w:r>
        <w:t>Public chokepoint and freight-rate data (IMF PortWatch, Freightos, etc.) will be used as-is and clearly labeled as external/public data rather than proprietary company data.</w:t>
      </w:r>
    </w:p>
    <w:p w14:paraId="2EAF97A4" w14:textId="77777777" w:rsidR="0033638F" w:rsidRDefault="00000000">
      <w:pPr>
        <w:pStyle w:val="ListParagraph"/>
        <w:numPr>
          <w:ilvl w:val="0"/>
          <w:numId w:val="1"/>
        </w:numPr>
        <w:spacing w:after="80"/>
      </w:pPr>
      <w:r>
        <w:t>Dashboard will be built and published in Tableau Public, since Tableau Server/Cloud licensing is not available for this self-directed project.</w:t>
      </w:r>
    </w:p>
    <w:p w14:paraId="21592B6C" w14:textId="77777777" w:rsidR="0033638F" w:rsidRDefault="00000000">
      <w:pPr>
        <w:pStyle w:val="ListParagraph"/>
        <w:numPr>
          <w:ilvl w:val="0"/>
          <w:numId w:val="1"/>
        </w:numPr>
        <w:spacing w:after="80"/>
      </w:pPr>
      <w:r>
        <w:t>Data refresh will be simulated as a periodic manual extract refresh rather than a live production data feed.</w:t>
      </w:r>
    </w:p>
    <w:p w14:paraId="74E39497" w14:textId="77777777" w:rsidR="0033638F" w:rsidRDefault="00000000">
      <w:pPr>
        <w:pStyle w:val="Heading2"/>
        <w:spacing w:before="240" w:after="120"/>
      </w:pPr>
      <w:r>
        <w:rPr>
          <w:b/>
          <w:bCs/>
        </w:rPr>
        <w:lastRenderedPageBreak/>
        <w:t>Compliance and privacy</w:t>
      </w:r>
    </w:p>
    <w:p w14:paraId="59C85433" w14:textId="77777777" w:rsidR="0033638F" w:rsidRDefault="00000000">
      <w:pPr>
        <w:pStyle w:val="ListParagraph"/>
        <w:numPr>
          <w:ilvl w:val="0"/>
          <w:numId w:val="1"/>
        </w:numPr>
        <w:spacing w:after="80"/>
      </w:pPr>
      <w:r>
        <w:t>No real customer personally identifiable information (PII) will be used or displayed; any customer-level data will be synthetic.</w:t>
      </w:r>
    </w:p>
    <w:p w14:paraId="7552FF5E" w14:textId="77777777" w:rsidR="0033638F" w:rsidRDefault="00000000">
      <w:pPr>
        <w:pStyle w:val="ListParagraph"/>
        <w:numPr>
          <w:ilvl w:val="0"/>
          <w:numId w:val="1"/>
        </w:numPr>
        <w:spacing w:after="80"/>
      </w:pPr>
      <w:r>
        <w:t>No real, proprietary supplier contract terms or pricing will be represented; supplier names/data will be fictional or anonymized.</w:t>
      </w:r>
    </w:p>
    <w:p w14:paraId="0C1BA6FF" w14:textId="77777777" w:rsidR="0033638F" w:rsidRDefault="00000000">
      <w:pPr>
        <w:pStyle w:val="ListParagraph"/>
        <w:numPr>
          <w:ilvl w:val="0"/>
          <w:numId w:val="1"/>
        </w:numPr>
        <w:spacing w:after="80"/>
      </w:pPr>
      <w:r>
        <w:t>Public datasets will be used in accordance with their respective licenses (e.g., Kaggle dataset licenses, IMF PortWatch open data terms).</w:t>
      </w:r>
    </w:p>
    <w:p w14:paraId="1BE24334" w14:textId="77777777" w:rsidR="0033638F" w:rsidRDefault="00000000">
      <w:pPr>
        <w:pStyle w:val="ListParagraph"/>
        <w:numPr>
          <w:ilvl w:val="0"/>
          <w:numId w:val="1"/>
        </w:numPr>
        <w:spacing w:after="80"/>
      </w:pPr>
      <w:r>
        <w:t>Chokepoint/geopolitical disruption content will be presented factually and neutrally, sourced from reputable public organizations (IMF, UNCTAD, IEA), avoiding speculation presented as fact.</w:t>
      </w:r>
    </w:p>
    <w:p w14:paraId="5238EF11" w14:textId="77777777" w:rsidR="0033638F" w:rsidRDefault="00000000">
      <w:pPr>
        <w:pStyle w:val="Heading2"/>
        <w:spacing w:before="240" w:after="120"/>
      </w:pPr>
      <w:r>
        <w:rPr>
          <w:b/>
          <w:bCs/>
        </w:rPr>
        <w:t>Accessibility</w:t>
      </w:r>
    </w:p>
    <w:p w14:paraId="6D383C76" w14:textId="77777777" w:rsidR="0033638F" w:rsidRDefault="00000000">
      <w:pPr>
        <w:pStyle w:val="ListParagraph"/>
        <w:numPr>
          <w:ilvl w:val="0"/>
          <w:numId w:val="1"/>
        </w:numPr>
        <w:spacing w:after="80"/>
      </w:pPr>
      <w:r>
        <w:t>Use a colorblind-safe palette; do not rely on color alone to convey risk status (pair color with icons/labels, e.g., ‘At Risk’ text plus color).</w:t>
      </w:r>
    </w:p>
    <w:p w14:paraId="21745A2E" w14:textId="77777777" w:rsidR="0033638F" w:rsidRDefault="00000000">
      <w:pPr>
        <w:pStyle w:val="ListParagraph"/>
        <w:numPr>
          <w:ilvl w:val="0"/>
          <w:numId w:val="1"/>
        </w:numPr>
        <w:spacing w:after="80"/>
      </w:pPr>
      <w:r>
        <w:t>Maintain sufficient text/background contrast and legible font sizes (minimum 10pt equivalent) across all dashboard pages.</w:t>
      </w:r>
    </w:p>
    <w:p w14:paraId="07B44BFD" w14:textId="77777777" w:rsidR="0033638F" w:rsidRDefault="00000000">
      <w:pPr>
        <w:pStyle w:val="ListParagraph"/>
        <w:numPr>
          <w:ilvl w:val="0"/>
          <w:numId w:val="1"/>
        </w:numPr>
        <w:spacing w:after="80"/>
      </w:pPr>
      <w:r>
        <w:t>Provide descriptive titles and tooltips on all charts so meaning is not dependent on visual pattern alone.</w:t>
      </w:r>
    </w:p>
    <w:p w14:paraId="2AD3E202" w14:textId="77777777" w:rsidR="0033638F" w:rsidRDefault="00000000">
      <w:pPr>
        <w:pStyle w:val="ListParagraph"/>
        <w:numPr>
          <w:ilvl w:val="0"/>
          <w:numId w:val="1"/>
        </w:numPr>
        <w:spacing w:after="80"/>
      </w:pPr>
      <w:r>
        <w:t>Design layout to remain usable at common laptop resolutions and reasonably legible on tablet-sized screens.</w:t>
      </w:r>
    </w:p>
    <w:p w14:paraId="1D9229F1" w14:textId="77777777" w:rsidR="0033638F" w:rsidRDefault="0033638F">
      <w:pPr>
        <w:spacing w:after="160"/>
      </w:pPr>
    </w:p>
    <w:p w14:paraId="0B5FB368" w14:textId="77777777" w:rsidR="0033638F" w:rsidRDefault="00000000">
      <w:pPr>
        <w:spacing w:after="40"/>
      </w:pPr>
      <w:r>
        <w:rPr>
          <w:b/>
          <w:bCs/>
        </w:rPr>
        <w:t>Roll-out plan:</w:t>
      </w:r>
    </w:p>
    <w:p w14:paraId="717260BD" w14:textId="77777777" w:rsidR="0033638F" w:rsidRDefault="00000000">
      <w:pPr>
        <w:pStyle w:val="ListParagraph"/>
        <w:numPr>
          <w:ilvl w:val="0"/>
          <w:numId w:val="1"/>
        </w:numPr>
        <w:spacing w:after="80"/>
      </w:pPr>
      <w:r>
        <w:t>Phase 1 (Weeks 1–2): Source and prepare datasets; build data model; validate KPI calculations.</w:t>
      </w:r>
    </w:p>
    <w:p w14:paraId="4BF62932" w14:textId="77777777" w:rsidR="0033638F" w:rsidRDefault="00000000">
      <w:pPr>
        <w:pStyle w:val="ListParagraph"/>
        <w:numPr>
          <w:ilvl w:val="0"/>
          <w:numId w:val="1"/>
        </w:numPr>
        <w:spacing w:after="80"/>
      </w:pPr>
      <w:r>
        <w:t>Phase 2 (Weeks 3–4): Build core dashboard pages (Executive Summary, Shipment Performance, Inventory Health, Supplier Scorecard).</w:t>
      </w:r>
    </w:p>
    <w:p w14:paraId="3D974ACA" w14:textId="77777777" w:rsidR="0033638F" w:rsidRDefault="00000000">
      <w:pPr>
        <w:pStyle w:val="ListParagraph"/>
        <w:numPr>
          <w:ilvl w:val="0"/>
          <w:numId w:val="1"/>
        </w:numPr>
        <w:spacing w:after="80"/>
      </w:pPr>
      <w:r>
        <w:t>Phase 3 (Week 5): Build Chokepoint Disruption Impact page and Exceptions/Alerts view; incorporate stakeholder feedback.</w:t>
      </w:r>
    </w:p>
    <w:p w14:paraId="701D093D" w14:textId="77777777" w:rsidR="0033638F" w:rsidRDefault="00000000">
      <w:pPr>
        <w:pStyle w:val="ListParagraph"/>
        <w:numPr>
          <w:ilvl w:val="0"/>
          <w:numId w:val="1"/>
        </w:numPr>
        <w:spacing w:after="80"/>
      </w:pPr>
      <w:r>
        <w:t>Phase 4 (Week 6): Final QA, accessibility review, publish to Tableau Public, and publish LinkedIn case-study write-up.</w:t>
      </w:r>
    </w:p>
    <w:sectPr w:rsidR="0033638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00C04"/>
    <w:multiLevelType w:val="hybridMultilevel"/>
    <w:tmpl w:val="E26A897E"/>
    <w:lvl w:ilvl="0" w:tplc="48F08640">
      <w:start w:val="1"/>
      <w:numFmt w:val="bullet"/>
      <w:lvlText w:val="●"/>
      <w:lvlJc w:val="left"/>
      <w:pPr>
        <w:ind w:left="720" w:hanging="360"/>
      </w:pPr>
    </w:lvl>
    <w:lvl w:ilvl="1" w:tplc="DEA26B34">
      <w:start w:val="1"/>
      <w:numFmt w:val="bullet"/>
      <w:lvlText w:val="○"/>
      <w:lvlJc w:val="left"/>
      <w:pPr>
        <w:ind w:left="1440" w:hanging="360"/>
      </w:pPr>
    </w:lvl>
    <w:lvl w:ilvl="2" w:tplc="0958E8B4">
      <w:start w:val="1"/>
      <w:numFmt w:val="bullet"/>
      <w:lvlText w:val="■"/>
      <w:lvlJc w:val="left"/>
      <w:pPr>
        <w:ind w:left="2160" w:hanging="360"/>
      </w:pPr>
    </w:lvl>
    <w:lvl w:ilvl="3" w:tplc="ED1A91C2">
      <w:start w:val="1"/>
      <w:numFmt w:val="bullet"/>
      <w:lvlText w:val="●"/>
      <w:lvlJc w:val="left"/>
      <w:pPr>
        <w:ind w:left="2880" w:hanging="360"/>
      </w:pPr>
    </w:lvl>
    <w:lvl w:ilvl="4" w:tplc="4C7A6B98">
      <w:start w:val="1"/>
      <w:numFmt w:val="bullet"/>
      <w:lvlText w:val="○"/>
      <w:lvlJc w:val="left"/>
      <w:pPr>
        <w:ind w:left="3600" w:hanging="360"/>
      </w:pPr>
    </w:lvl>
    <w:lvl w:ilvl="5" w:tplc="3F5AC918">
      <w:start w:val="1"/>
      <w:numFmt w:val="bullet"/>
      <w:lvlText w:val="■"/>
      <w:lvlJc w:val="left"/>
      <w:pPr>
        <w:ind w:left="4320" w:hanging="360"/>
      </w:pPr>
    </w:lvl>
    <w:lvl w:ilvl="6" w:tplc="331E7260">
      <w:start w:val="1"/>
      <w:numFmt w:val="bullet"/>
      <w:lvlText w:val="●"/>
      <w:lvlJc w:val="left"/>
      <w:pPr>
        <w:ind w:left="5040" w:hanging="360"/>
      </w:pPr>
    </w:lvl>
    <w:lvl w:ilvl="7" w:tplc="4BC2CE64">
      <w:start w:val="1"/>
      <w:numFmt w:val="bullet"/>
      <w:lvlText w:val="●"/>
      <w:lvlJc w:val="left"/>
      <w:pPr>
        <w:ind w:left="5760" w:hanging="360"/>
      </w:pPr>
    </w:lvl>
    <w:lvl w:ilvl="8" w:tplc="86D05A52">
      <w:start w:val="1"/>
      <w:numFmt w:val="bullet"/>
      <w:lvlText w:val="●"/>
      <w:lvlJc w:val="left"/>
      <w:pPr>
        <w:ind w:left="6480" w:hanging="360"/>
      </w:pPr>
    </w:lvl>
  </w:abstractNum>
  <w:num w:numId="1" w16cid:durableId="11451255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38F"/>
    <w:rsid w:val="0033638F"/>
    <w:rsid w:val="00584E81"/>
    <w:rsid w:val="00585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0AB9C"/>
  <w15:docId w15:val="{5A273962-A4ED-48EF-B74A-FB873AB91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1064</Words>
  <Characters>6069</Characters>
  <Application>Microsoft Office Word</Application>
  <DocSecurity>0</DocSecurity>
  <Lines>50</Lines>
  <Paragraphs>14</Paragraphs>
  <ScaleCrop>false</ScaleCrop>
  <Company/>
  <LinksUpToDate>false</LinksUpToDate>
  <CharactersWithSpaces>7119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Jatin Sagwal</cp:lastModifiedBy>
  <cp:revision>2</cp:revision>
  <dcterms:created xsi:type="dcterms:W3CDTF">2026-08-02T20:31:00Z</dcterms:created>
  <dcterms:modified xsi:type="dcterms:W3CDTF">2026-08-02T20:42:00Z</dcterms:modified>
</cp:coreProperties>
</file>