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i3ju5622wf28" w:id="0"/>
      <w:bookmarkEnd w:id="0"/>
      <w:r w:rsidDel="00000000" w:rsidR="00000000" w:rsidRPr="00000000">
        <w:rPr>
          <w:b w:val="1"/>
          <w:sz w:val="34"/>
          <w:szCs w:val="34"/>
          <w:rtl w:val="0"/>
        </w:rPr>
        <w:t xml:space="preserve">Scope of Work (SOW)</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Title:</w:t>
      </w:r>
      <w:r w:rsidDel="00000000" w:rsidR="00000000" w:rsidRPr="00000000">
        <w:rPr>
          <w:rtl w:val="0"/>
        </w:rPr>
        <w:t xml:space="preserve"> Quarterly Sales Analysis – 2024</w:t>
      </w:r>
    </w:p>
    <w:p w:rsidR="00000000" w:rsidDel="00000000" w:rsidP="00000000" w:rsidRDefault="00000000" w:rsidRPr="00000000" w14:paraId="00000003">
      <w:pPr>
        <w:spacing w:after="240" w:before="240" w:lineRule="auto"/>
        <w:rPr/>
      </w:pPr>
      <w:r w:rsidDel="00000000" w:rsidR="00000000" w:rsidRPr="00000000">
        <w:rPr>
          <w:b w:val="1"/>
          <w:rtl w:val="0"/>
        </w:rPr>
        <w:t xml:space="preserve">Client/Stakeholder:</w:t>
      </w:r>
      <w:r w:rsidDel="00000000" w:rsidR="00000000" w:rsidRPr="00000000">
        <w:rPr>
          <w:rtl w:val="0"/>
        </w:rPr>
        <w:t xml:space="preserve"> Urban Basket</w:t>
        <w:br w:type="textWrapping"/>
        <w:t xml:space="preserve"> </w:t>
      </w:r>
      <w:r w:rsidDel="00000000" w:rsidR="00000000" w:rsidRPr="00000000">
        <w:rPr>
          <w:b w:val="1"/>
          <w:rtl w:val="0"/>
        </w:rPr>
        <w:t xml:space="preserve">Analyst:</w:t>
      </w:r>
      <w:r w:rsidDel="00000000" w:rsidR="00000000" w:rsidRPr="00000000">
        <w:rPr>
          <w:rtl w:val="0"/>
        </w:rPr>
        <w:t xml:space="preserve"> Sahaj Anand</w:t>
        <w:br w:type="textWrapping"/>
        <w:t xml:space="preserve"> </w:t>
      </w:r>
      <w:r w:rsidDel="00000000" w:rsidR="00000000" w:rsidRPr="00000000">
        <w:rPr>
          <w:b w:val="1"/>
          <w:rtl w:val="0"/>
        </w:rPr>
        <w:t xml:space="preserve">Project Duration:</w:t>
      </w:r>
      <w:r w:rsidDel="00000000" w:rsidR="00000000" w:rsidRPr="00000000">
        <w:rPr>
          <w:rtl w:val="0"/>
        </w:rPr>
        <w:t xml:space="preserve"> 14 days</w:t>
        <w:br w:type="textWrapping"/>
        <w:t xml:space="preserve"> </w:t>
      </w:r>
      <w:r w:rsidDel="00000000" w:rsidR="00000000" w:rsidRPr="00000000">
        <w:rPr>
          <w:b w:val="1"/>
          <w:rtl w:val="0"/>
        </w:rPr>
        <w:t xml:space="preserve">Date:</w:t>
      </w:r>
      <w:r w:rsidDel="00000000" w:rsidR="00000000" w:rsidRPr="00000000">
        <w:rPr>
          <w:rtl w:val="0"/>
        </w:rPr>
        <w:t xml:space="preserve"> 01-02-2025 - 01-16-2025</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s72obph2maz5" w:id="1"/>
      <w:bookmarkEnd w:id="1"/>
      <w:r w:rsidDel="00000000" w:rsidR="00000000" w:rsidRPr="00000000">
        <w:rPr>
          <w:b w:val="1"/>
          <w:color w:val="000000"/>
          <w:sz w:val="26"/>
          <w:szCs w:val="26"/>
          <w:rtl w:val="0"/>
        </w:rPr>
        <w:t xml:space="preserve">1. Project Overview</w:t>
      </w:r>
    </w:p>
    <w:p w:rsidR="00000000" w:rsidDel="00000000" w:rsidP="00000000" w:rsidRDefault="00000000" w:rsidRPr="00000000" w14:paraId="00000006">
      <w:pPr>
        <w:spacing w:after="240" w:before="240" w:lineRule="auto"/>
        <w:rPr/>
      </w:pPr>
      <w:r w:rsidDel="00000000" w:rsidR="00000000" w:rsidRPr="00000000">
        <w:rPr>
          <w:rtl w:val="0"/>
        </w:rPr>
        <w:t xml:space="preserve">This project aims to analyze the Urban Baskets’s sales data for all four quarters of 2024 to assess business performance, identify trends, and provide actionable recommendations. The analysis will be based on transactional data and will include quarterly as well as aggregated views of key business metrics. An interactive dashboard will be developed to visualize results for quick decision-making.</w:t>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i w:val="1"/>
          <w:color w:val="000000"/>
          <w:sz w:val="26"/>
          <w:szCs w:val="26"/>
        </w:rPr>
      </w:pPr>
      <w:bookmarkStart w:colFirst="0" w:colLast="0" w:name="_cagv2pus3d5o" w:id="2"/>
      <w:bookmarkEnd w:id="2"/>
      <w:r w:rsidDel="00000000" w:rsidR="00000000" w:rsidRPr="00000000">
        <w:rPr>
          <w:b w:val="1"/>
          <w:color w:val="000000"/>
          <w:sz w:val="26"/>
          <w:szCs w:val="26"/>
          <w:rtl w:val="0"/>
        </w:rPr>
        <w:t xml:space="preserve">2. Deliverables</w:t>
      </w:r>
      <w:r w:rsidDel="00000000" w:rsidR="00000000" w:rsidRPr="00000000">
        <w:rPr>
          <w:rtl w:val="0"/>
        </w:rPr>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Cleaned Dataset</w:t>
      </w:r>
      <w:r w:rsidDel="00000000" w:rsidR="00000000" w:rsidRPr="00000000">
        <w:rPr>
          <w:rtl w:val="0"/>
        </w:rPr>
        <w:t xml:space="preserve"> – processed and ready for analysis.</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Analysis Code</w:t>
      </w:r>
      <w:r w:rsidDel="00000000" w:rsidR="00000000" w:rsidRPr="00000000">
        <w:rPr>
          <w:rtl w:val="0"/>
        </w:rPr>
        <w:t xml:space="preserve"> – Python/SQL scripts used for cleaning, processing, and KPI calculations.</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Interactive Dashboard</w:t>
      </w:r>
      <w:r w:rsidDel="00000000" w:rsidR="00000000" w:rsidRPr="00000000">
        <w:rPr>
          <w:rtl w:val="0"/>
        </w:rPr>
        <w:t xml:space="preserve"> – Tableau visualization covering quarterly and aggregate trends.</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Final Report</w:t>
      </w:r>
      <w:r w:rsidDel="00000000" w:rsidR="00000000" w:rsidRPr="00000000">
        <w:rPr>
          <w:rtl w:val="0"/>
        </w:rPr>
        <w:t xml:space="preserve"> – documented insights, trends, and recommendations.</w:t>
        <w:br w:type="textWrapping"/>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Data Dictionary &amp; Technical Documentation</w:t>
      </w:r>
      <w:r w:rsidDel="00000000" w:rsidR="00000000" w:rsidRPr="00000000">
        <w:rPr>
          <w:rtl w:val="0"/>
        </w:rPr>
        <w:t xml:space="preserve"> – explaining fields, calculations, and methodology.</w:t>
        <w:br w:type="textWrapping"/>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i w:val="1"/>
          <w:color w:val="000000"/>
          <w:sz w:val="26"/>
          <w:szCs w:val="26"/>
        </w:rPr>
      </w:pPr>
      <w:bookmarkStart w:colFirst="0" w:colLast="0" w:name="_hdsyz9y4hfjz" w:id="3"/>
      <w:bookmarkEnd w:id="3"/>
      <w:r w:rsidDel="00000000" w:rsidR="00000000" w:rsidRPr="00000000">
        <w:rPr>
          <w:b w:val="1"/>
          <w:color w:val="000000"/>
          <w:sz w:val="26"/>
          <w:szCs w:val="26"/>
          <w:rtl w:val="0"/>
        </w:rPr>
        <w:t xml:space="preserve">3. Milestones</w:t>
      </w:r>
      <w:r w:rsidDel="00000000" w:rsidR="00000000" w:rsidRPr="00000000">
        <w:rPr>
          <w:rtl w:val="0"/>
        </w:rPr>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Milestone 1:</w:t>
      </w:r>
      <w:r w:rsidDel="00000000" w:rsidR="00000000" w:rsidRPr="00000000">
        <w:rPr>
          <w:rtl w:val="0"/>
        </w:rPr>
        <w:t xml:space="preserve"> Data cleaning completed and validated.</w:t>
        <w:br w:type="textWrapping"/>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Milestone 2:</w:t>
      </w:r>
      <w:r w:rsidDel="00000000" w:rsidR="00000000" w:rsidRPr="00000000">
        <w:rPr>
          <w:rtl w:val="0"/>
        </w:rPr>
        <w:t xml:space="preserve"> KPI calculations and quarterly comparisons finalized.</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Milestone 3:</w:t>
      </w:r>
      <w:r w:rsidDel="00000000" w:rsidR="00000000" w:rsidRPr="00000000">
        <w:rPr>
          <w:rtl w:val="0"/>
        </w:rPr>
        <w:t xml:space="preserve"> Dashboard design completed and functional.</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Milestone 4:</w:t>
      </w:r>
      <w:r w:rsidDel="00000000" w:rsidR="00000000" w:rsidRPr="00000000">
        <w:rPr>
          <w:rtl w:val="0"/>
        </w:rPr>
        <w:t xml:space="preserve"> Draft report reviewed.</w:t>
        <w:br w:type="textWrapping"/>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b w:val="1"/>
          <w:rtl w:val="0"/>
        </w:rPr>
        <w:t xml:space="preserve">Milestone 5:</w:t>
      </w:r>
      <w:r w:rsidDel="00000000" w:rsidR="00000000" w:rsidRPr="00000000">
        <w:rPr>
          <w:rtl w:val="0"/>
        </w:rPr>
        <w:t xml:space="preserve"> Final project package delivered.</w:t>
        <w:br w:type="textWrapping"/>
      </w:r>
    </w:p>
    <w:p w:rsidR="00000000" w:rsidDel="00000000" w:rsidP="00000000" w:rsidRDefault="00000000" w:rsidRPr="00000000" w14:paraId="0000001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i w:val="1"/>
          <w:color w:val="000000"/>
          <w:sz w:val="26"/>
          <w:szCs w:val="26"/>
        </w:rPr>
      </w:pPr>
      <w:bookmarkStart w:colFirst="0" w:colLast="0" w:name="_mmre5m9nuvjn" w:id="4"/>
      <w:bookmarkEnd w:id="4"/>
      <w:r w:rsidDel="00000000" w:rsidR="00000000" w:rsidRPr="00000000">
        <w:rPr>
          <w:b w:val="1"/>
          <w:color w:val="000000"/>
          <w:sz w:val="26"/>
          <w:szCs w:val="26"/>
          <w:rtl w:val="0"/>
        </w:rPr>
        <w:t xml:space="preserve">4. Timeline</w:t>
      </w:r>
      <w:r w:rsidDel="00000000" w:rsidR="00000000" w:rsidRPr="00000000">
        <w:rPr>
          <w:rtl w:val="0"/>
        </w:rPr>
      </w:r>
    </w:p>
    <w:tbl>
      <w:tblPr>
        <w:tblStyle w:val="Table1"/>
        <w:tblW w:w="5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5"/>
        <w:gridCol w:w="1160"/>
        <w:gridCol w:w="1295"/>
        <w:tblGridChange w:id="0">
          <w:tblGrid>
            <w:gridCol w:w="3275"/>
            <w:gridCol w:w="1160"/>
            <w:gridCol w:w="12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pPr>
            <w:r w:rsidDel="00000000" w:rsidR="00000000" w:rsidRPr="00000000">
              <w:rPr>
                <w:b w:val="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pPr>
            <w:r w:rsidDel="00000000" w:rsidR="00000000" w:rsidRPr="00000000">
              <w:rPr>
                <w:b w:val="1"/>
                <w:rtl w:val="0"/>
              </w:rPr>
              <w:t xml:space="preserve">Dates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Data cleaning &amp; preparation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3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Day 1–3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KPI analysis &amp; quarterly trends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5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Day 4–8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Dashboard creation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3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Day 9–11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Report drafting &amp; 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2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Day 12–13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Final delivery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1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Day 14</w:t>
            </w:r>
          </w:p>
        </w:tc>
      </w:tr>
    </w:tbl>
    <w:p w:rsidR="00000000" w:rsidDel="00000000" w:rsidP="00000000" w:rsidRDefault="00000000" w:rsidRPr="00000000" w14:paraId="000000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i w:val="1"/>
          <w:color w:val="000000"/>
          <w:sz w:val="26"/>
          <w:szCs w:val="26"/>
        </w:rPr>
      </w:pPr>
      <w:bookmarkStart w:colFirst="0" w:colLast="0" w:name="_11aosjbbh47" w:id="5"/>
      <w:bookmarkEnd w:id="5"/>
      <w:r w:rsidDel="00000000" w:rsidR="00000000" w:rsidRPr="00000000">
        <w:rPr>
          <w:b w:val="1"/>
          <w:color w:val="000000"/>
          <w:sz w:val="26"/>
          <w:szCs w:val="26"/>
          <w:rtl w:val="0"/>
        </w:rPr>
        <w:t xml:space="preserve">5. Reports </w:t>
      </w:r>
      <w:r w:rsidDel="00000000" w:rsidR="00000000" w:rsidRPr="00000000">
        <w:rPr>
          <w:rtl w:val="0"/>
        </w:rPr>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b w:val="1"/>
          <w:rtl w:val="0"/>
        </w:rPr>
        <w:t xml:space="preserve">Frequency:</w:t>
      </w:r>
      <w:r w:rsidDel="00000000" w:rsidR="00000000" w:rsidRPr="00000000">
        <w:rPr>
          <w:rtl w:val="0"/>
        </w:rPr>
        <w:t xml:space="preserve"> Progress updates at the end of each milestone.</w:t>
        <w:br w:type="textWrapping"/>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Written summary with visuals via email or shared Google Docs link.</w:t>
        <w:br w:type="textWrapping"/>
      </w:r>
    </w:p>
    <w:p w:rsidR="00000000" w:rsidDel="00000000" w:rsidP="00000000" w:rsidRDefault="00000000" w:rsidRPr="00000000" w14:paraId="00000036">
      <w:pPr>
        <w:numPr>
          <w:ilvl w:val="0"/>
          <w:numId w:val="4"/>
        </w:numPr>
        <w:spacing w:after="240" w:before="0" w:beforeAutospacing="0" w:lineRule="auto"/>
        <w:ind w:left="720" w:hanging="360"/>
      </w:pPr>
      <w:r w:rsidDel="00000000" w:rsidR="00000000" w:rsidRPr="00000000">
        <w:rPr>
          <w:b w:val="1"/>
          <w:rtl w:val="0"/>
        </w:rPr>
        <w:t xml:space="preserve">Final Presentation:</w:t>
      </w:r>
      <w:r w:rsidDel="00000000" w:rsidR="00000000" w:rsidRPr="00000000">
        <w:rPr>
          <w:rtl w:val="0"/>
        </w:rPr>
        <w:t xml:space="preserve"> Walkthrough of the dashboard and key findings via virtual meeting.</w:t>
        <w:br w:type="textWrapping"/>
      </w:r>
    </w:p>
    <w:p w:rsidR="00000000" w:rsidDel="00000000" w:rsidP="00000000" w:rsidRDefault="00000000" w:rsidRPr="00000000" w14:paraId="000000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i w:val="1"/>
          <w:color w:val="000000"/>
          <w:sz w:val="26"/>
          <w:szCs w:val="26"/>
        </w:rPr>
      </w:pPr>
      <w:bookmarkStart w:colFirst="0" w:colLast="0" w:name="_tvwzumcmkvea" w:id="6"/>
      <w:bookmarkEnd w:id="6"/>
      <w:r w:rsidDel="00000000" w:rsidR="00000000" w:rsidRPr="00000000">
        <w:rPr>
          <w:b w:val="1"/>
          <w:color w:val="000000"/>
          <w:sz w:val="26"/>
          <w:szCs w:val="26"/>
          <w:rtl w:val="0"/>
        </w:rPr>
        <w:t xml:space="preserve">6. Boundaries</w:t>
      </w: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In Scope:</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rtl w:val="0"/>
        </w:rPr>
        <w:t xml:space="preserve">Data cleaning, preparation, and KPI calculation for 2024 quarterly and aggregate performance.</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Visualization of trends using Tableau.</w:t>
        <w:br w:type="textWrapping"/>
      </w:r>
    </w:p>
    <w:p w:rsidR="00000000" w:rsidDel="00000000" w:rsidP="00000000" w:rsidRDefault="00000000" w:rsidRPr="00000000" w14:paraId="0000003C">
      <w:pPr>
        <w:numPr>
          <w:ilvl w:val="0"/>
          <w:numId w:val="1"/>
        </w:numPr>
        <w:spacing w:after="240" w:before="0" w:beforeAutospacing="0" w:lineRule="auto"/>
        <w:ind w:left="720" w:hanging="360"/>
      </w:pPr>
      <w:r w:rsidDel="00000000" w:rsidR="00000000" w:rsidRPr="00000000">
        <w:rPr>
          <w:rtl w:val="0"/>
        </w:rPr>
        <w:t xml:space="preserve">Insights and recommendations based on descriptive analysis.</w:t>
        <w:br w:type="textWrapping"/>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Out of Scope:</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rtl w:val="0"/>
        </w:rPr>
        <w:t xml:space="preserve">Real-time or live data integration.</w:t>
        <w:br w:type="textWrapping"/>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Predictive analytics (e.g., forecasting, churn modeling).</w:t>
        <w:br w:type="textWrapping"/>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Execution of recommended business changes.</w:t>
        <w:br w:type="textWrapping"/>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tl w:val="0"/>
        </w:rPr>
        <w:t xml:space="preserve">External data collection beyond provided dataset.</w:t>
        <w:br w:type="textWrapping"/>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