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Acquisition of Organon &amp; Co. (NYSE: OGN) by Sun Pharmaceutical Industries Ltd. (NSE: SUNPHARMA)</w:t>
      </w:r>
      <w:r>
        <w:t xml:space="preserve"> </w:t>
      </w:r>
      <w:r>
        <w:rPr>
          <w:b/>
        </w:rPr>
        <w:t xml:space="preserve">Consideration:</w:t>
      </w:r>
      <w:r>
        <w:t xml:space="preserve"> </w:t>
      </w:r>
      <w:r>
        <w:t xml:space="preserve">$14.00 per share, all-cash ·</w:t>
      </w:r>
      <w:r>
        <w:t xml:space="preserve"> </w:t>
      </w:r>
      <w:r>
        <w:rPr>
          <w:b/>
        </w:rPr>
        <w:t xml:space="preserve">Enterprise value:</w:t>
      </w:r>
      <w:r>
        <w:t xml:space="preserve"> </w:t>
      </w:r>
      <w:r>
        <w:t xml:space="preserve">~$11.75bn ·</w:t>
      </w:r>
      <w:r>
        <w:t xml:space="preserve"> </w:t>
      </w:r>
      <w:r>
        <w:rPr>
          <w:b/>
        </w:rPr>
        <w:t xml:space="preserve">Announced:</w:t>
      </w:r>
      <w:r>
        <w:t xml:space="preserve"> </w:t>
      </w:r>
      <w:r>
        <w:t xml:space="preserve">April 2026 ·</w:t>
      </w:r>
      <w:r>
        <w:t xml:space="preserve"> </w:t>
      </w:r>
      <w:r>
        <w:rPr>
          <w:b/>
        </w:rPr>
        <w:t xml:space="preserve">Expected close:</w:t>
      </w:r>
      <w:r>
        <w:t xml:space="preserve"> </w:t>
      </w:r>
      <w:r>
        <w:t xml:space="preserve">early 2027</w:t>
      </w:r>
      <w:r>
        <w:t xml:space="preserve"> </w:t>
      </w:r>
      <w:r>
        <w:rPr>
          <w:b/>
        </w:rPr>
        <w:t xml:space="preserve">Classification:</w:t>
      </w:r>
      <w:r>
        <w:t xml:space="preserve"> </w:t>
      </w:r>
      <w:r>
        <w:t xml:space="preserve">Portfolio / educational — built from public filings</w:t>
      </w:r>
    </w:p>
    <w:p>
      <w:pPr>
        <w:pStyle w:val="Heading2"/>
      </w:pPr>
      <w:bookmarkStart w:id="21" w:name="X6c04f1d9f37fdeed8a52a74991ef6dd237a4639"/>
      <w:r>
        <w:t xml:space="preserve">House recommendation — CONDITIONALLY ATTRACTIVE (low entry multiple offsets an aggressive balance-sheet pivot)</w:t>
      </w:r>
      <w:bookmarkEnd w:id="21"/>
    </w:p>
    <w:p>
      <w:pPr>
        <w:pStyle w:val="FirstParagraph"/>
      </w:pPr>
      <w:r>
        <w:rPr>
          <w:b/>
        </w:rPr>
        <w:t xml:space="preserve">We view the transaction as strategically sensible and, on entry multiple, financially attractive — but it is aggressive relative to Sun Pharma’s historically pristine balance sheet, and the return depends on two things the buyer does not fully control: stabilising Organon’s declining revenue base, and refinancing the acquisition bridge below the asset yield.</w:t>
      </w:r>
      <w:r>
        <w:t xml:space="preserve"> </w:t>
      </w:r>
      <w:r>
        <w:t xml:space="preserve">Sun is acquiring ~$1.9bn of adjusted EBITDA at roughly</w:t>
      </w:r>
      <w:r>
        <w:t xml:space="preserve"> </w:t>
      </w:r>
      <w:r>
        <w:rPr>
          <w:b/>
        </w:rPr>
        <w:t xml:space="preserve">6.2x EV/EBITDA</w:t>
      </w:r>
      <w:r>
        <w:t xml:space="preserve"> </w:t>
      </w:r>
      <w:r>
        <w:t xml:space="preserve">— a low multiple for a diversified, cash-generative global pharma platform — and in doing so gains US commercial scale, a women’s-health franchise, and a top-10 biosimilars position. The catch is that the deal converts Sun from a</w:t>
      </w:r>
      <w:r>
        <w:t xml:space="preserve"> </w:t>
      </w:r>
      <w:r>
        <w:rPr>
          <w:b/>
        </w:rPr>
        <w:t xml:space="preserve">~$3.1bn net-cash</w:t>
      </w:r>
      <w:r>
        <w:t xml:space="preserve"> </w:t>
      </w:r>
      <w:r>
        <w:t xml:space="preserve">position to a leveraged acquirer (~2.3x target net leverage) and that the ~$11.75bn enterprise value is overwhelmingly a</w:t>
      </w:r>
      <w:r>
        <w:t xml:space="preserve"> </w:t>
      </w:r>
      <w:r>
        <w:rPr>
          <w:b/>
        </w:rPr>
        <w:t xml:space="preserve">debt-assumption exercise, not an equity purchase</w:t>
      </w:r>
      <w:r>
        <w:t xml:space="preserve">. The low purchase multiple provides a genuine margin of safety; the risk is that Established Brands’ secular decline erodes the EBITDA faster than the platform can be deleveraged.</w:t>
      </w:r>
      <w:r>
        <w:t xml:space="preserve"> </w:t>
      </w:r>
      <w:r>
        <w:rPr>
          <w:b/>
        </w:rPr>
        <w:t xml:space="preserve">On balance: proceed, but underwrite the debt and the decline, not the growth story.</w:t>
      </w:r>
    </w:p>
    <w:p>
      <w:pPr>
        <w:pStyle w:val="Heading2"/>
      </w:pPr>
      <w:bookmarkStart w:id="22" w:name="deal-overview"/>
      <w:r>
        <w:t xml:space="preserve">Deal overview</w:t>
      </w:r>
      <w:bookmarkEnd w:id="22"/>
    </w:p>
    <w:p>
      <w:pPr>
        <w:pStyle w:val="FirstParagraph"/>
      </w:pPr>
      <w:r>
        <w:t xml:space="preserve">Sun Pharma — India’s largest pharmaceutical company and among the top global generics players — has agreed to acquire Organon, the Merck &amp; Co. spin-off (independent since 2021) built around three franchises:</w:t>
      </w:r>
      <w:r>
        <w:t xml:space="preserve"> </w:t>
      </w:r>
      <w:r>
        <w:rPr>
          <w:b/>
        </w:rPr>
        <w:t xml:space="preserve">Established Brands</w:t>
      </w:r>
      <w:r>
        <w:t xml:space="preserve"> </w:t>
      </w:r>
      <w:r>
        <w:t xml:space="preserve">(mature, off-patent branded drugs; ~$3.7bn FY25 revenue, in structural decline),</w:t>
      </w:r>
      <w:r>
        <w:t xml:space="preserve"> </w:t>
      </w:r>
      <w:r>
        <w:rPr>
          <w:b/>
        </w:rPr>
        <w:t xml:space="preserve">Women’s Health</w:t>
      </w:r>
      <w:r>
        <w:t xml:space="preserve"> </w:t>
      </w:r>
      <w:r>
        <w:t xml:space="preserve">(~$1.8bn; contraception and fertility, the strategic jewel), and</w:t>
      </w:r>
      <w:r>
        <w:t xml:space="preserve"> </w:t>
      </w:r>
      <w:r>
        <w:rPr>
          <w:b/>
        </w:rPr>
        <w:t xml:space="preserve">Biosimilars</w:t>
      </w:r>
      <w:r>
        <w:t xml:space="preserve"> </w:t>
      </w:r>
      <w:r>
        <w:t xml:space="preserve">(~$0.69bn; the growth option). The combination creates a business with</w:t>
      </w:r>
      <w:r>
        <w:t xml:space="preserve"> </w:t>
      </w:r>
      <w:r>
        <w:rPr>
          <w:b/>
        </w:rPr>
        <w:t xml:space="preserve">~$12.4bn of combined revenue</w:t>
      </w:r>
      <w:r>
        <w:t xml:space="preserve">, vaulting Sun into the</w:t>
      </w:r>
      <w:r>
        <w:t xml:space="preserve"> </w:t>
      </w:r>
      <w:r>
        <w:rPr>
          <w:b/>
        </w:rPr>
        <w:t xml:space="preserve">top 25 global pharma companies</w:t>
      </w:r>
      <w:r>
        <w:t xml:space="preserve"> </w:t>
      </w:r>
      <w:r>
        <w:t xml:space="preserve">and establishing it as a</w:t>
      </w:r>
      <w:r>
        <w:t xml:space="preserve"> </w:t>
      </w:r>
      <w:r>
        <w:rPr>
          <w:b/>
        </w:rPr>
        <w:t xml:space="preserve">top-10 biosimilars player</w:t>
      </w:r>
      <w:r>
        <w:t xml:space="preserve"> </w:t>
      </w:r>
      <w:r>
        <w:t xml:space="preserve">— its stated strategic objectives.</w:t>
      </w:r>
    </w:p>
    <w:p>
      <w:pPr>
        <w:pStyle w:val="BodyText"/>
      </w:pPr>
      <w:r>
        <w:t xml:space="preserve">The structural feature that defines the whole analysis: at $14.00/share, Organon’s</w:t>
      </w:r>
      <w:r>
        <w:t xml:space="preserve"> </w:t>
      </w:r>
      <w:r>
        <w:rPr>
          <w:b/>
        </w:rPr>
        <w:t xml:space="preserve">equity is worth only $3.6bn, but it carries $8.6bn of gross debt (~$8.1bn net)</w:t>
      </w:r>
      <w:r>
        <w:t xml:space="preserve">. The ~$11.75bn enterprise value is therefore ~70% debt. Sun is not principally buying equity — it is absorbing and refinancing a heavily levered balance sheet in exchange for the underlying cash flows.</w:t>
      </w:r>
    </w:p>
    <w:p>
      <w:pPr>
        <w:pStyle w:val="Heading2"/>
      </w:pPr>
      <w:bookmarkStart w:id="23" w:name="transaction-value"/>
      <w:r>
        <w:t xml:space="preserve">Transaction value</w:t>
      </w:r>
      <w:bookmarkEnd w:id="23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Offer price</w:t>
            </w:r>
          </w:p>
        </w:tc>
        <w:tc>
          <w:p>
            <w:pPr>
              <w:pStyle w:val="Compact"/>
              <w:jc w:val="left"/>
            </w:pPr>
            <w:r>
              <w:t xml:space="preserve">$14.00 / share</w:t>
            </w:r>
          </w:p>
        </w:tc>
        <w:tc>
          <w:p>
            <w:pPr>
              <w:pStyle w:val="Compact"/>
              <w:jc w:val="left"/>
            </w:pPr>
            <w:r>
              <w:t xml:space="preserve">All-cash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equity value</w:t>
            </w:r>
          </w:p>
        </w:tc>
        <w:tc>
          <w:p>
            <w:pPr>
              <w:pStyle w:val="Compact"/>
              <w:jc w:val="left"/>
            </w:pPr>
            <w:r>
              <w:t xml:space="preserve">~$3.6bn</w:t>
            </w:r>
          </w:p>
        </w:tc>
        <w:tc>
          <w:p>
            <w:pPr>
              <w:pStyle w:val="Compact"/>
              <w:jc w:val="left"/>
            </w:pPr>
            <w:r>
              <w:t xml:space="preserve">~260m shares × $14.00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p>
            <w:pPr>
              <w:pStyle w:val="Compact"/>
              <w:jc w:val="left"/>
            </w:pPr>
            <w:r>
              <w:t xml:space="preserve">~$11.75bn</w:t>
            </w:r>
          </w:p>
        </w:tc>
        <w:tc>
          <w:p>
            <w:pPr>
              <w:pStyle w:val="Compact"/>
              <w:jc w:val="left"/>
            </w:pPr>
            <w:r>
              <w:t xml:space="preserve">Disclosed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net debt assumed</w:t>
            </w:r>
          </w:p>
        </w:tc>
        <w:tc>
          <w:p>
            <w:pPr>
              <w:pStyle w:val="Compact"/>
              <w:jc w:val="left"/>
            </w:pPr>
            <w:r>
              <w:t xml:space="preserve">~$8.1bn</w:t>
            </w:r>
          </w:p>
        </w:tc>
        <w:tc>
          <w:p>
            <w:pPr>
              <w:pStyle w:val="Compact"/>
              <w:jc w:val="left"/>
            </w:pPr>
            <w:r>
              <w:t xml:space="preserve">EV − equity; ties to Organon FY25 net debt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EV / FY25 Adj. EBITDA</w:t>
            </w:r>
          </w:p>
        </w:tc>
        <w:tc>
          <w:p>
            <w:pPr>
              <w:pStyle w:val="Compact"/>
              <w:jc w:val="left"/>
            </w:pPr>
            <w:r>
              <w:t xml:space="preserve">~6.2x</w:t>
            </w:r>
          </w:p>
        </w:tc>
        <w:tc>
          <w:p>
            <w:pPr>
              <w:pStyle w:val="Compact"/>
              <w:jc w:val="left"/>
            </w:pPr>
            <w:r>
              <w:t xml:space="preserve">$11.75bn / $1.91bn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EV / FY25 revenue</w:t>
            </w:r>
          </w:p>
        </w:tc>
        <w:tc>
          <w:p>
            <w:pPr>
              <w:pStyle w:val="Compact"/>
              <w:jc w:val="left"/>
            </w:pPr>
            <w:r>
              <w:t xml:space="preserve">~1.9x</w:t>
            </w:r>
          </w:p>
        </w:tc>
        <w:tc>
          <w:p>
            <w:pPr>
              <w:pStyle w:val="Compact"/>
              <w:jc w:val="left"/>
            </w:pPr>
            <w:r>
              <w:t xml:space="preserve">$11.75bn / $6.2bn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Termination fee</w:t>
            </w:r>
          </w:p>
        </w:tc>
        <w:tc>
          <w:p>
            <w:pPr>
              <w:pStyle w:val="Compact"/>
              <w:jc w:val="left"/>
            </w:pPr>
            <w:r>
              <w:t xml:space="preserve">$120m</w:t>
            </w:r>
          </w:p>
        </w:tc>
        <w:tc>
          <w:p>
            <w:pPr>
              <w:pStyle w:val="Compact"/>
              <w:jc w:val="left"/>
            </w:pPr>
            <w:r>
              <w:t xml:space="preserve">Payable by Organon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p>
            <w:pPr>
              <w:pStyle w:val="Compact"/>
              <w:jc w:val="left"/>
            </w:pPr>
            <w:r>
              <w:t xml:space="preserve">$12bn committed bridge (Sun Pharma USA) + $1bn Sun commitment</w:t>
            </w:r>
          </w:p>
        </w:tc>
        <w:tc>
          <w:p>
            <w:pPr>
              <w:pStyle w:val="Compact"/>
              <w:jc w:val="left"/>
            </w:pPr>
            <w:r>
              <w:t xml:space="preserve">Bridge-to-bond; euro issuance &amp; offshore loans explored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post-deal net leverage</w:t>
            </w:r>
          </w:p>
        </w:tc>
        <w:tc>
          <w:p>
            <w:pPr>
              <w:pStyle w:val="Compact"/>
              <w:jc w:val="left"/>
            </w:pPr>
            <w:r>
              <w:t xml:space="preserve">~2.3x</w:t>
            </w:r>
          </w:p>
        </w:tc>
        <w:tc>
          <w:p>
            <w:pPr>
              <w:pStyle w:val="Compact"/>
              <w:jc w:val="left"/>
            </w:pPr>
            <w:r>
              <w:t xml:space="preserve">From ~$3.1bn net cash pre-deal</w:t>
            </w:r>
          </w:p>
        </w:tc>
      </w:tr>
    </w:tbl>
    <w:p>
      <w:pPr>
        <w:pStyle w:val="Heading2"/>
      </w:pPr>
      <w:bookmarkStart w:id="24" w:name="deal-timeline"/>
      <w:r>
        <w:t xml:space="preserve">Deal timeline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April 2026</w:t>
      </w:r>
      <w:r>
        <w:t xml:space="preserve"> </w:t>
      </w:r>
      <w:r>
        <w:t xml:space="preserve">— Definitive merger agreement signed; announced. Boards of both companies approved.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2026</w:t>
      </w:r>
      <w:r>
        <w:t xml:space="preserve"> </w:t>
      </w:r>
      <w:r>
        <w:t xml:space="preserve">— Organon stockholder vote (merger proxy PREM14A/DEFM14A); antitrust and multi-jurisdiction regulatory filings.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Early 2027 (expected)</w:t>
      </w:r>
      <w:r>
        <w:t xml:space="preserve"> </w:t>
      </w:r>
      <w:r>
        <w:t xml:space="preserve">— Close, subject to Organon shareholder approval, antitrust/competition clearances, Indian outbound-investment approvals, and customary conditions.</w:t>
      </w:r>
    </w:p>
    <w:p>
      <w:pPr>
        <w:pStyle w:val="Heading2"/>
      </w:pPr>
      <w:bookmarkStart w:id="25" w:name="key-investment-highlights"/>
      <w:r>
        <w:t xml:space="preserve">Key investment highlights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Low entry multiple.</w:t>
      </w:r>
      <w:r>
        <w:t xml:space="preserve"> </w:t>
      </w:r>
      <w:r>
        <w:t xml:space="preserve">~6.2x EV/EBITDA and ~1.9x EV/revenue for a diversified global platform — a margin of safety rare in large pharma M&amp;A, reflecting the market’s discount for leverage and decline.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Strategic scale and reach.</w:t>
      </w:r>
      <w:r>
        <w:t xml:space="preserve"> </w:t>
      </w:r>
      <w:r>
        <w:t xml:space="preserve">Instant US commercial infrastructure, a global women’s-health franchise, and a top-10 biosimilars platform — capabilities that would take Sun years and heavy R&amp;D to build organically.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Cash-generative target.</w:t>
      </w:r>
      <w:r>
        <w:t xml:space="preserve"> </w:t>
      </w:r>
      <w:r>
        <w:t xml:space="preserve">Organon converts a high share of EBITDA to cash (mature, low-reinvestment Established Brands), supporting the deleveraging thesis.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Financing locked.</w:t>
      </w:r>
      <w:r>
        <w:t xml:space="preserve"> </w:t>
      </w:r>
      <w:r>
        <w:t xml:space="preserve">A fully committed $12bn bridge de-risks execution; Sun’s investment-grade-style profile and net-cash starting point give room to lever.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Complementary, low overlap.</w:t>
      </w:r>
      <w:r>
        <w:t xml:space="preserve"> </w:t>
      </w:r>
      <w:r>
        <w:t xml:space="preserve">Limited direct product overlap eases antitrust and creates cross-sell / emerging-market distribution synergies for Organon’s brands through Sun’s network.</w:t>
      </w:r>
    </w:p>
    <w:p>
      <w:pPr>
        <w:pStyle w:val="Heading2"/>
      </w:pPr>
      <w:bookmarkStart w:id="26" w:name="key-risks"/>
      <w:r>
        <w:t xml:space="preserve">Key risks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Secular decline of Established Brands.</w:t>
      </w:r>
      <w:r>
        <w:t xml:space="preserve"> </w:t>
      </w:r>
      <w:r>
        <w:t xml:space="preserve">~60% of Organon revenue is mature off-patent product losing share; if it declines faster than modelled, the EBITDA — and the deleveraging path — deteriorate.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Balance-sheet transformation.</w:t>
      </w:r>
      <w:r>
        <w:t xml:space="preserve"> </w:t>
      </w:r>
      <w:r>
        <w:t xml:space="preserve">Sun surrenders a ~$3.1bn net-cash position and decades of conservatism to run ~2.3x levered; reduced M&amp;A optionality and rating pressure.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Refinancing risk.</w:t>
      </w:r>
      <w:r>
        <w:t xml:space="preserve"> </w:t>
      </w:r>
      <w:r>
        <w:t xml:space="preserve">The $12bn bridge must be termed out into bonds/loans; a rate or credit-spread shock between signing and take-out raises the blended cost above the asset yield and breaks the arithmetic.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Cross-border integration.</w:t>
      </w:r>
      <w:r>
        <w:t xml:space="preserve"> </w:t>
      </w:r>
      <w:r>
        <w:t xml:space="preserve">An Indian acquirer integrating a large, complex US-listed multinational — governance, systems, talent retention, and currency (USD/INR, EUR) mismatch between debt service and cash generation.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Regulatory / tax structuring.</w:t>
      </w:r>
      <w:r>
        <w:t xml:space="preserve"> </w:t>
      </w:r>
      <w:r>
        <w:t xml:space="preserve">Multi-jurisdiction antitrust plus Indian outbound-investment and tax-treaty routing; mis-structuring erodes returns even if the commercial thesis holds.</w:t>
      </w:r>
    </w:p>
    <w:p>
      <w:pPr>
        <w:pStyle w:val="Heading2"/>
      </w:pPr>
      <w:bookmarkStart w:id="27" w:name="readers-guide-to-the-rest-of-the-report"/>
      <w:r>
        <w:t xml:space="preserve">Reader’s guide to the rest of the report</w:t>
      </w:r>
      <w:bookmarkEnd w:id="27"/>
    </w:p>
    <w:p>
      <w:pPr>
        <w:pStyle w:val="FirstParagraph"/>
      </w:pPr>
      <w:r>
        <w:t xml:space="preserve">Chapter 2 sizes the industry (pharma, women’s health, biosimilars) and the competitive landscape. Chapters 3–4 profile both companies and articulate the strategic rationale and synergy taxonomy. Chapter 5 details the deal structure and financing. Chapter 6 rebuilds five years of historicals and the ratio analysis. Chapter 7 develops the standalone valuation (DCF, comps, precedents, football field). Chapter 8 is the merger model (PPA, debt schedule, accretion/dilution). Chapters 9–10 cover risk and the final recommendation with scenario analysis.</w:t>
      </w:r>
    </w:p>
    <w:p>
      <w:pPr>
        <w:pStyle w:val="Heading3"/>
      </w:pPr>
      <w:bookmarkStart w:id="28" w:name="assumptions-notes-for-this-chapter"/>
      <w:r>
        <w:t xml:space="preserve">Assumptions &amp; notes for this chapter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Share count</w:t>
      </w:r>
      <w:r>
        <w:t xml:space="preserve"> </w:t>
      </w:r>
      <w:r>
        <w:t xml:space="preserve">(~260m) is inferred from FY25 adjusted net income $954m ÷ adjusted EPS $3.66; to be replaced by the exact diluted count from Organon’s 10-K / merger proxy.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EV/EBITDA (~6.2x)</w:t>
      </w:r>
      <w:r>
        <w:t xml:space="preserve"> </w:t>
      </w:r>
      <w:r>
        <w:t xml:space="preserve">uses Organon FY25</w:t>
      </w:r>
      <w:r>
        <w:t xml:space="preserve"> </w:t>
      </w:r>
      <w:r>
        <w:rPr>
          <w:b/>
        </w:rPr>
        <w:t xml:space="preserve">adjusted</w:t>
      </w:r>
      <w:r>
        <w:t xml:space="preserve"> </w:t>
      </w:r>
      <w:r>
        <w:t xml:space="preserve">EBITDA of $1.91bn; a clean/reported-EBITDA basis may differ and will be reconciled in the valuation chapter.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Net debt (~$8.1bn)</w:t>
      </w:r>
      <w:r>
        <w:t xml:space="preserve"> </w:t>
      </w:r>
      <w:r>
        <w:t xml:space="preserve">= FY25 gross debt $8.64bn − cash $0.574bn; exact figure and maturity ladder to be pulled from the 10-K.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FX</w:t>
      </w:r>
      <w:r>
        <w:t xml:space="preserve"> </w:t>
      </w:r>
      <w:r>
        <w:t xml:space="preserve">for Sun Pharma USD conversions uses ~₹85.5/USD (FY25); documented in</w:t>
      </w:r>
      <w:r>
        <w:t xml:space="preserve"> </w:t>
      </w:r>
      <w:r>
        <w:rPr>
          <w:rStyle w:val="VerbatimChar"/>
        </w:rPr>
        <w:t xml:space="preserve">docs/assumptions_log.md</w:t>
      </w:r>
      <w:r>
        <w:t xml:space="preserve">. Sun reports to a</w:t>
      </w:r>
      <w:r>
        <w:t xml:space="preserve"> </w:t>
      </w:r>
      <w:r>
        <w:rPr>
          <w:b/>
        </w:rPr>
        <w:t xml:space="preserve">March</w:t>
      </w:r>
      <w:r>
        <w:t xml:space="preserve"> </w:t>
      </w:r>
      <w:r>
        <w:t xml:space="preserve">year-end vs Organon’s</w:t>
      </w:r>
      <w:r>
        <w:t xml:space="preserve"> </w:t>
      </w:r>
      <w:r>
        <w:rPr>
          <w:b/>
        </w:rPr>
        <w:t xml:space="preserve">December</w:t>
      </w:r>
      <w:r>
        <w:t xml:space="preserve"> </w:t>
      </w:r>
      <w:r>
        <w:t xml:space="preserve">— calendarisation applied in the model.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Unaffected-price premium</w:t>
      </w:r>
      <w:r>
        <w:t xml:space="preserve"> </w:t>
      </w:r>
      <w:r>
        <w:t xml:space="preserve">is not yet stated here pending the exact unaffected date/price from the merger proxy — flagged rather than estimated.</w:t>
      </w:r>
    </w:p>
    <w:p>
      <w:pPr>
        <w:pStyle w:val="FirstParagraph"/>
      </w:pPr>
      <w:r>
        <w:rPr>
          <w:i/>
        </w:rPr>
        <w:t xml:space="preserve">Sources: Organon Q4/FY2025 results; Sun Pharma FY25 results; Sun Pharma/Organon definitive-agreement press releases; Organon 8-K / merger proxy. Full sourcing in</w:t>
      </w:r>
      <w:r>
        <w:t xml:space="preserve"> </w:t>
      </w:r>
      <w:r>
        <w:rPr>
          <w:rStyle w:val="VerbatimChar"/>
        </w:rPr>
        <w:t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2026-07-27T05:15:46Z</dcterms:created>
  <dcterms:modified xsi:type="dcterms:W3CDTF">2026-07-27T05:15:46Z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