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commendation"/>
      <w:r>
        <w:t xml:space="preserve">10. Recommendation</w:t>
      </w:r>
      <w:bookmarkEnd w:id="20"/>
    </w:p>
    <w:p>
      <w:pPr>
        <w:pStyle w:val="Heading2"/>
      </w:pPr>
      <w:bookmarkStart w:id="21" w:name="X7f99d5fe8069455c217f9a0dbd9b220f3846bbc"/>
      <w:r>
        <w:t xml:space="preserve">Recommendation — PROCEED (conditional on diligence and financing execution)</w:t>
      </w:r>
      <w:bookmarkEnd w:id="21"/>
    </w:p>
    <w:p>
      <w:pPr>
        <w:pStyle w:val="FirstParagraph"/>
      </w:pPr>
      <w:r>
        <w:rPr>
          <w:b/>
        </w:rPr>
        <w:t xml:space="preserve">We recommend Sun Pharma proceed with the acquisition of Organon at $14.00/share.</w:t>
      </w:r>
      <w:r>
        <w:t xml:space="preserve"> </w:t>
      </w:r>
      <w:r>
        <w:t xml:space="preserve">The price is fair-to-cheap (base-case standalone value ~$16.5/share, a ~15–20% margin of safety), the transaction is materially EPS accretive (~+60% Year 1), and it delivers scale, a women’s-health franchise, a top-10 biosimilars platform, and entry to China/Korea. The recommendation is conditional: the deal must be underwritten on Organon’s free-cash-flow durability and on terming out the bridge at a manageable cost — not on the headline EPS accretion, which is leverage-driven.</w:t>
      </w:r>
    </w:p>
    <w:p>
      <w:pPr>
        <w:pStyle w:val="Heading2"/>
      </w:pPr>
      <w:bookmarkStart w:id="22" w:name="deal-attractiveness"/>
      <w:r>
        <w:t xml:space="preserve">10.1 Deal attractiveness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Price.</w:t>
      </w:r>
      <w:r>
        <w:t xml:space="preserve"> </w:t>
      </w:r>
      <w:r>
        <w:t xml:space="preserve">~6.2x EV/EBITDA, ~1.9x revenue — low end of comps, below precedents, ~15–20% under base-case DCF.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Accretion.</w:t>
      </w:r>
      <w:r>
        <w:t xml:space="preserve"> </w:t>
      </w:r>
      <w:r>
        <w:t xml:space="preserve">~+60% Year 1 EPS, ~+75% by Year 3; no shares issued.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Strategic fit.</w:t>
      </w:r>
      <w:r>
        <w:t xml:space="preserve"> </w:t>
      </w:r>
      <w:r>
        <w:t xml:space="preserve">Top-25 global pharma; three platforms (innovative, established, biosimilars); China (~$800m) and Korea entry; Sun’s low-cost manufacturing applied to Organon’s portfolio.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Balance-sheet capacity.</w:t>
      </w:r>
      <w:r>
        <w:t xml:space="preserve"> </w:t>
      </w:r>
      <w:r>
        <w:t xml:space="preserve">Net cash funds a levered acquisition landing at ~2.3x, deleveraging on strong combined FCF.</w:t>
      </w:r>
    </w:p>
    <w:p>
      <w:pPr>
        <w:pStyle w:val="Heading2"/>
      </w:pPr>
      <w:bookmarkStart w:id="23" w:name="expected-value-creation"/>
      <w:r>
        <w:t xml:space="preserve">10.2 Expected value creation</w:t>
      </w:r>
      <w:bookmarkEnd w:id="23"/>
    </w:p>
    <w:p>
      <w:pPr>
        <w:pStyle w:val="CaptionedFigure"/>
      </w:pPr>
      <w:r>
        <w:drawing>
          <wp:inline>
            <wp:extent cx="5486400" cy="2992581"/>
            <wp:effectExtent b="0" l="0" r="0" t="0"/>
            <wp:docPr descr="Value vs price — scenario equity value per share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10_fig1_scenari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Value vs price — scenario equity value per share</w:t>
      </w:r>
    </w:p>
    <w:p>
      <w:pPr>
        <w:pStyle w:val="BodyText"/>
      </w:pPr>
      <w:r>
        <w:t xml:space="preserve">Base and bull cases sit above the $14 offer; only the bear case falls below. Value creation comes from three sources: (1) buying ~$1.9bn EBITDA below intrinsic value; (2) &gt;$350m of cost synergies; (3) redeploying Organon’s FCF to deleverage and lower the combined cost of capital. The EPS accretion is a by-product of the all-cash structure, not the value driver — the value driver is the discount to intrinsic worth plus synergies.</w:t>
      </w:r>
    </w:p>
    <w:p>
      <w:pPr>
        <w:pStyle w:val="Heading2"/>
      </w:pPr>
      <w:bookmarkStart w:id="25" w:name="key-assumptions-underpinning-the-call"/>
      <w:r>
        <w:t xml:space="preserve">10.3 Key assumptions underpinning the call</w:t>
      </w:r>
      <w:bookmarkEnd w:id="25"/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Organon revenue trajectory</w:t>
            </w:r>
          </w:p>
        </w:tc>
        <w:tc>
          <w:p>
            <w:pPr>
              <w:pStyle w:val="Compact"/>
              <w:jc w:val="left"/>
            </w:pPr>
            <w:r>
              <w:t xml:space="preserve">~flat</w:t>
            </w:r>
          </w:p>
        </w:tc>
        <w:tc>
          <w:p>
            <w:pPr>
              <w:pStyle w:val="Compact"/>
              <w:jc w:val="left"/>
            </w:pPr>
            <w:r>
              <w:t xml:space="preserve">Binding variable; decline vs growth swings value most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p>
            <w:pPr>
              <w:pStyle w:val="Compact"/>
              <w:jc w:val="left"/>
            </w:pPr>
            <w:r>
              <w:t xml:space="preserve">Holds combined FCF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synergies</w:t>
            </w:r>
          </w:p>
        </w:tc>
        <w:tc>
          <w:p>
            <w:pPr>
              <w:pStyle w:val="Compact"/>
              <w:jc w:val="left"/>
            </w:pPr>
            <w:r>
              <w:t xml:space="preserve">&gt;$350m (2–4 yrs)</w:t>
            </w:r>
          </w:p>
        </w:tc>
        <w:tc>
          <w:p>
            <w:pPr>
              <w:pStyle w:val="Compact"/>
              <w:jc w:val="left"/>
            </w:pPr>
            <w:r>
              <w:t xml:space="preserve">~5% of combined revenue; credible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debt cost</w:t>
            </w:r>
          </w:p>
        </w:tc>
        <w:tc>
          <w:p>
            <w:pPr>
              <w:pStyle w:val="Compact"/>
              <w:jc w:val="left"/>
            </w:pPr>
            <w:r>
              <w:t xml:space="preserve">~6.0% blended</w:t>
            </w:r>
          </w:p>
        </w:tc>
        <w:tc>
          <w:p>
            <w:pPr>
              <w:pStyle w:val="Compact"/>
              <w:jc w:val="left"/>
            </w:pPr>
            <w:r>
              <w:t xml:space="preserve">Bridge take-out pricing drives returns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leverage at close</w:t>
            </w:r>
          </w:p>
        </w:tc>
        <w:tc>
          <w:p>
            <w:pPr>
              <w:pStyle w:val="Compact"/>
              <w:jc w:val="left"/>
            </w:pPr>
            <w:r>
              <w:t xml:space="preserve">~2.3x</w:t>
            </w:r>
          </w:p>
        </w:tc>
        <w:tc>
          <w:p>
            <w:pPr>
              <w:pStyle w:val="Compact"/>
              <w:jc w:val="left"/>
            </w:pPr>
            <w:r>
              <w:t xml:space="preserve">Deleverages over 4–5 yrs on FCF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WACC / exit multiple</w:t>
            </w:r>
          </w:p>
        </w:tc>
        <w:tc>
          <w:p>
            <w:pPr>
              <w:pStyle w:val="Compact"/>
              <w:jc w:val="left"/>
            </w:pPr>
            <w:r>
              <w:t xml:space="preserve">9.0% / 6.0x</w:t>
            </w:r>
          </w:p>
        </w:tc>
        <w:tc>
          <w:p>
            <w:pPr>
              <w:pStyle w:val="Compact"/>
              <w:jc w:val="left"/>
            </w:pPr>
            <w:r>
              <w:t xml:space="preserve">Standalone DCF anchor</w:t>
            </w:r>
          </w:p>
        </w:tc>
      </w:tr>
    </w:tbl>
    <w:p>
      <w:pPr>
        <w:pStyle w:val="Heading2"/>
      </w:pPr>
      <w:bookmarkStart w:id="26" w:name="major-risks-to-the-recommendation"/>
      <w:r>
        <w:t xml:space="preserve">10.4 Major risks to the recommendation</w:t>
      </w:r>
      <w:bookmarkEnd w:id="26"/>
    </w:p>
    <w:p>
      <w:pPr>
        <w:pStyle w:val="FirstParagraph"/>
      </w:pPr>
      <w:r>
        <w:t xml:space="preserve">Concentrated, not diffuse (Ch.9): established-brands decline, refinancing the ~$9.5bn bridge, the Nexplanon sales-practice probe, and biosimilar price erosion. The mitigants — low entry multiple, high cash conversion, committed bridge, and contractual protection on Nexplanon — are adequate but not abundant.</w:t>
      </w:r>
    </w:p>
    <w:p>
      <w:pPr>
        <w:pStyle w:val="Heading2"/>
      </w:pPr>
      <w:bookmarkStart w:id="27" w:name="alternative-scenarios"/>
      <w:r>
        <w:t xml:space="preserve">10.5 Alternative scenarios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Bull (~$19.7/sh):</w:t>
      </w:r>
      <w:r>
        <w:t xml:space="preserve"> </w:t>
      </w:r>
      <w:r>
        <w:t xml:space="preserve">revenue +1–1.5%/yr, margin 31%, synergies at/above $350m, orderly bridge take-out → strong value creation and rapid deleveraging.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Base (~$16.5/sh):</w:t>
      </w:r>
      <w:r>
        <w:t xml:space="preserve"> </w:t>
      </w:r>
      <w:r>
        <w:t xml:space="preserve">revenue ~flat, synergies on schedule, ~2.3x deleveraging over 4–5 yrs → the recommended case; ~15–20% margin of safety.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Bear (~$8/sh):</w:t>
      </w:r>
      <w:r>
        <w:t xml:space="preserve"> </w:t>
      </w:r>
      <w:r>
        <w:t xml:space="preserve">established-brands −4%/yr, Nexplanon-driven Women’s Health hit, higher refinancing cost → value below the offer; the case diligence must rule out.</w:t>
      </w:r>
    </w:p>
    <w:p>
      <w:pPr>
        <w:pStyle w:val="Heading2"/>
      </w:pPr>
      <w:bookmarkStart w:id="28" w:name="final-verdict"/>
      <w:r>
        <w:t xml:space="preserve">10.6 Final verdict</w:t>
      </w:r>
      <w:bookmarkEnd w:id="28"/>
    </w:p>
    <w:p>
      <w:pPr>
        <w:pStyle w:val="FirstParagraph"/>
      </w:pPr>
      <w:r>
        <w:rPr>
          <w:b/>
        </w:rPr>
        <w:t xml:space="preserve">Proceed.</w:t>
      </w:r>
      <w:r>
        <w:t xml:space="preserve"> </w:t>
      </w:r>
      <w:r>
        <w:t xml:space="preserve">Sun is paying a low multiple for scale, a women’s-health franchise and a biosimilars platform, in a structure that is strongly EPS accretive and self-deleveraging on Organon’s cash flow. The margin of safety is real but not large, and the risk is concentrated in two variables — established-brands decline and bridge refinancing. Conditioned on disciplined diligence (especially the Nexplanon revenue base) and on securing the permanent financing at a manageable spread, the transaction creates value for Sun and is a fair outcome for Organon shareholders given the company’s standalone leverage and decline.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assumptions-sources"/>
      <w:r>
        <w:t xml:space="preserve">Assumptions &amp; sources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Scenario per-share values from the Ch.7 DCF (bull $19.7, base $16.5, bear ~$8.0); offer $14.00.</w:t>
      </w:r>
    </w:p>
    <w:p>
      <w:pPr>
        <w:numPr>
          <w:ilvl w:val="0"/>
          <w:numId w:val="1003"/>
        </w:numPr>
        <w:pStyle w:val="Compact"/>
      </w:pPr>
      <w:r>
        <w:t xml:space="preserve">Accretion (~+60% Yr1) from the Ch.8 merger model.</w:t>
      </w:r>
    </w:p>
    <w:p>
      <w:pPr>
        <w:numPr>
          <w:ilvl w:val="0"/>
          <w:numId w:val="1003"/>
        </w:numPr>
        <w:pStyle w:val="Compact"/>
      </w:pPr>
      <w:r>
        <w:t xml:space="preserve">Synergy, leverage and financing figures are company-disclosed where noted (Ch.4–5); all valuation inputs are analyst assumptions, flagged in their chapters.</w:t>
      </w:r>
    </w:p>
    <w:p>
      <w:pPr>
        <w:pStyle w:val="FirstParagraph"/>
      </w:pPr>
      <w:r>
        <w:rPr>
          <w:i/>
        </w:rPr>
        <w:t xml:space="preserve">Sources: synthesis of Chapters 1–9; company disclosures. Full map in</w:t>
      </w:r>
      <w:r>
        <w:rPr>
          <w:i/>
        </w:rPr>
        <w:t xml:space="preserve"> </w:t>
      </w:r>
      <w:r>
        <w:rPr>
          <w:rStyle w:val="VerbatimChar"/>
          <w:i/>
        </w:rPr>
        <w:t xml:space="preserve">05_Data/DATA_SOURCES.docx</w:t>
      </w:r>
      <w:r>
        <w:rPr>
          <w:i/>
        </w:rPr>
        <w:t xml:space="preserve">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eader" Id="rId9" Target="header1.xml" /><Relationship Type="http://schemas.openxmlformats.org/officeDocument/2006/relationships/footer" Id="rId10" Target="footer1.xml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2026-07-27T08:58:24Z</dcterms:created>
  <dcterms:modified xsi:type="dcterms:W3CDTF">2026-07-27T08:58:24Z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