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4.png" ContentType="image/png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trategic-rationale"/>
      <w:r>
        <w:t xml:space="preserve">4. Strategic Rationale</w:t>
      </w:r>
      <w:bookmarkEnd w:id="20"/>
    </w:p>
    <w:p>
      <w:pPr>
        <w:pStyle w:val="FirstParagraph"/>
      </w:pPr>
      <w:r>
        <w:t xml:space="preserve">The deal is a scale-and-diversification play funded by a clean balance sheet. Sun Pharma converts ~$3.1bn of net cash and new debt into ~$1.9bn of incremental EBITDA, a US commercial platform, a women’s-health franchise, and a top-10 biosimilars position — at ~6.2x EV/EBITDA. Management guides to &gt;$350m of cost synergies within 2–4 years and EPS accretion from the first full year. The strategic logic is sound; the execution risk is leverage and Organon’s decline.</w:t>
      </w:r>
    </w:p>
    <w:p>
      <w:pPr>
        <w:pStyle w:val="Heading2"/>
      </w:pPr>
      <w:bookmarkStart w:id="21" w:name="why-sun-pharma-is-acquiring-organon"/>
      <w:r>
        <w:t xml:space="preserve">4.1 Why Sun Pharma is acquiring Organon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Scale.</w:t>
      </w:r>
      <w:r>
        <w:t xml:space="preserve"> </w:t>
      </w:r>
      <w:r>
        <w:t xml:space="preserve">Combined revenue ~$12.4bn moves Sun into the top 25 global pharma companies.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Diversification.</w:t>
      </w:r>
      <w:r>
        <w:t xml:space="preserve"> </w:t>
      </w:r>
      <w:r>
        <w:t xml:space="preserve">Innovative medicines rise to ~27% of combined sales; the combined group runs three platforms — innovative medicines, established brands, biosimilars.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 commercial infrastructure.</w:t>
      </w:r>
      <w:r>
        <w:t xml:space="preserve"> </w:t>
      </w:r>
      <w:r>
        <w:t xml:space="preserve">Immediate depth in the world’s largest market, complementing Sun’s specialty push.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Biosimilars platform.</w:t>
      </w:r>
      <w:r>
        <w:t xml:space="preserve"> </w:t>
      </w:r>
      <w:r>
        <w:t xml:space="preserve">Acquiring Organon’s unit is faster than building — supports Sun’s top-10 biosimilars goal.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New-market entry.</w:t>
      </w:r>
      <w:r>
        <w:t xml:space="preserve"> </w:t>
      </w:r>
      <w:r>
        <w:t xml:space="preserve">Organon opens China (its ~$800m revenue base vs Sun’s negligible presence; a ~$150bn market growing 5–7%) and South Korea (Sun absent today).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Cheap entry multiple.</w:t>
      </w:r>
      <w:r>
        <w:t xml:space="preserve"> </w:t>
      </w:r>
      <w:r>
        <w:t xml:space="preserve">~6.2x EV/EBITDA and ~1.9x EV/revenue — a margin of safety.</w:t>
      </w:r>
    </w:p>
    <w:p>
      <w:pPr>
        <w:pStyle w:val="Heading2"/>
      </w:pPr>
      <w:bookmarkStart w:id="22" w:name="why-organon-agreed"/>
      <w:r>
        <w:t xml:space="preserve">4.2 Why Organon agreed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Depressed equity value.</w:t>
      </w:r>
      <w:r>
        <w:t xml:space="preserve"> </w:t>
      </w:r>
      <w:r>
        <w:t xml:space="preserve">~$8.6bn gross debt against a small equity base; the 2025 dividend cut (to prioritise debt paydown) compressed the share price.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Certainty in cash.</w:t>
      </w:r>
      <w:r>
        <w:t xml:space="preserve"> </w:t>
      </w:r>
      <w:r>
        <w:t xml:space="preserve">$14.00/share all-cash removes execution and market risk for shareholders holding a declining-brands business.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Leadership vacuum.</w:t>
      </w:r>
      <w:r>
        <w:t xml:space="preserve"> </w:t>
      </w:r>
      <w:r>
        <w:t xml:space="preserve">The October 2025 CEO resignation and Nexplanon sales-practice probe left the company without a permanent CEO — a sale to a strategic acquirer resolves the overhang.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Better owner.</w:t>
      </w:r>
      <w:r>
        <w:t xml:space="preserve"> </w:t>
      </w:r>
      <w:r>
        <w:t xml:space="preserve">Sun’s low-cost manufacturing and EM distribution can extract more value from Organon’s assets than Organon can standalone.</w:t>
      </w:r>
    </w:p>
    <w:p>
      <w:pPr>
        <w:pStyle w:val="Heading2"/>
      </w:pPr>
      <w:bookmarkStart w:id="23" w:name="synergy-taxonomy"/>
      <w:r>
        <w:t xml:space="preserve">4.3 Synergy taxonomy</w:t>
      </w:r>
      <w:bookmarkEnd w:id="23"/>
    </w:p>
    <w:p>
      <w:pPr>
        <w:pStyle w:val="FirstParagraph"/>
      </w:pPr>
      <w:r>
        <w:t xml:space="preserve">Company guidance quantifies cost synergies only. Revenue, financial and tax synergies below are framed qualitatively with illustrative ranges — flagged as analyst estimates, not disclosed figures.</w:t>
      </w:r>
    </w:p>
    <w:tbl>
      <w:tblPr>
        <w:tblStyle w:val="Table"/>
        <w:tblW w:type="pct" w:w="5000"/>
        <w:tblLayout w:type="fixed"/>
        <w:tblLook w:firstRow="1"/>
      </w:tblPr>
      <w:tblGrid>
        <w:gridCol w:w="3385"/>
        <w:gridCol w:w="1991"/>
        <w:gridCol w:w="1991"/>
        <w:gridCol w:w="199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Synergy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Magnitude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Procurement, supply-chain consolidation, shared R&amp;D, consolidated marketing, workforce alignment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&gt;$350m</w:t>
            </w:r>
            <w:r>
              <w:t xml:space="preserve"> </w:t>
            </w:r>
            <w:r>
              <w:t xml:space="preserve">run-rate in 2–4 yrs (up to ~$500m)</w:t>
            </w:r>
          </w:p>
        </w:tc>
        <w:tc>
          <w:p>
            <w:pPr>
              <w:pStyle w:val="Compact"/>
              <w:jc w:val="left"/>
            </w:pPr>
            <w:r>
              <w:t xml:space="preserve">Company guidance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Operational</w:t>
            </w:r>
          </w:p>
        </w:tc>
        <w:tc>
          <w:p>
            <w:pPr>
              <w:pStyle w:val="Compact"/>
              <w:jc w:val="left"/>
            </w:pPr>
            <w:r>
              <w:t xml:space="preserve">Move Organon manufacturing/API into Sun’s low-cost, vertically integrated base</w:t>
            </w:r>
          </w:p>
        </w:tc>
        <w:tc>
          <w:p>
            <w:pPr>
              <w:pStyle w:val="Compact"/>
              <w:jc w:val="left"/>
            </w:pPr>
            <w:r>
              <w:t xml:space="preserve">Embedded in cost synergies</w:t>
            </w:r>
          </w:p>
        </w:tc>
        <w:tc>
          <w:p>
            <w:pPr>
              <w:pStyle w:val="Compact"/>
              <w:jc w:val="left"/>
            </w:pPr>
            <w:r>
              <w:t xml:space="preserve">Analyst 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Commercial (revenue)</w:t>
            </w:r>
          </w:p>
        </w:tc>
        <w:tc>
          <w:p>
            <w:pPr>
              <w:pStyle w:val="Compact"/>
              <w:jc w:val="left"/>
            </w:pPr>
            <w:r>
              <w:t xml:space="preserve">Push Organon brands through Sun’s EM distribution; enter China / South Korea</w:t>
            </w:r>
          </w:p>
        </w:tc>
        <w:tc>
          <w:p>
            <w:pPr>
              <w:pStyle w:val="Compact"/>
              <w:jc w:val="left"/>
            </w:pPr>
            <w:r>
              <w:t xml:space="preserve">Not quantified; multi-year upside</w:t>
            </w:r>
          </w:p>
        </w:tc>
        <w:tc>
          <w:p>
            <w:pPr>
              <w:pStyle w:val="Compact"/>
              <w:jc w:val="left"/>
            </w:pPr>
            <w:r>
              <w:t xml:space="preserve">Mgmt (qualitative)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Financial</w:t>
            </w:r>
          </w:p>
        </w:tc>
        <w:tc>
          <w:p>
            <w:pPr>
              <w:pStyle w:val="Compact"/>
              <w:jc w:val="left"/>
            </w:pPr>
            <w:r>
              <w:t xml:space="preserve">Interest tax shield on ~$9.5bn acquisition debt; USD target cash flows naturally service USD debt (currency match)</w:t>
            </w:r>
          </w:p>
        </w:tc>
        <w:tc>
          <w:p>
            <w:pPr>
              <w:pStyle w:val="Compact"/>
              <w:jc w:val="left"/>
            </w:pPr>
            <w:r>
              <w:t xml:space="preserve">Illustrative</w:t>
            </w:r>
          </w:p>
        </w:tc>
        <w:tc>
          <w:p>
            <w:pPr>
              <w:pStyle w:val="Compact"/>
              <w:jc w:val="left"/>
            </w:pPr>
            <w:r>
              <w:t xml:space="preserve">Analyst 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Tax</w:t>
            </w:r>
          </w:p>
        </w:tc>
        <w:tc>
          <w:p>
            <w:pPr>
              <w:pStyle w:val="Compact"/>
              <w:jc w:val="left"/>
            </w:pPr>
            <w:r>
              <w:t xml:space="preserve">India-outbound structuring via Sun Pharma USA; deductibility of acquisition interest against US target income; treaty-efficient repatriation</w:t>
            </w:r>
          </w:p>
        </w:tc>
        <w:tc>
          <w:p>
            <w:pPr>
              <w:pStyle w:val="Compact"/>
              <w:jc w:val="left"/>
            </w:pPr>
            <w:r>
              <w:t xml:space="preserve">Illustrative</w:t>
            </w:r>
          </w:p>
        </w:tc>
        <w:tc>
          <w:p>
            <w:pPr>
              <w:pStyle w:val="Compact"/>
              <w:jc w:val="left"/>
            </w:pPr>
            <w:r>
              <w:t xml:space="preserve">Analyst 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 of capital</w:t>
            </w:r>
          </w:p>
        </w:tc>
        <w:tc>
          <w:p>
            <w:pPr>
              <w:pStyle w:val="Compact"/>
              <w:jc w:val="left"/>
            </w:pPr>
            <w:r>
              <w:t xml:space="preserve">Redeploy Organon’s cash flow to deleverage from ~2.3x over 4–5 yrs, lowering blended cost of capital over time</w:t>
            </w:r>
          </w:p>
        </w:tc>
        <w:tc>
          <w:p>
            <w:pPr>
              <w:pStyle w:val="Compact"/>
              <w:jc w:val="left"/>
            </w:pPr>
            <w:r>
              <w:t xml:space="preserve">Illustrative</w:t>
            </w:r>
          </w:p>
        </w:tc>
        <w:tc>
          <w:p>
            <w:pPr>
              <w:pStyle w:val="Compact"/>
              <w:jc w:val="left"/>
            </w:pPr>
            <w:r>
              <w:t xml:space="preserve">Disclosed leverage path</w:t>
            </w:r>
          </w:p>
        </w:tc>
      </w:tr>
    </w:tbl>
    <w:p>
      <w:pPr>
        <w:pStyle w:val="CaptionedFigure"/>
      </w:pPr>
      <w:r>
        <w:drawing>
          <wp:inline>
            <wp:extent cx="5486400" cy="2767100"/>
            <wp:effectExtent b="0" l="0" r="0" t="0"/>
            <wp:docPr descr="Cost &amp; procurement synergy phasing (illustrative)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4_fig1_synergy_phas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Cost &amp; procurement synergy phasing (illustrative)</w:t>
      </w:r>
    </w:p>
    <w:p>
      <w:pPr>
        <w:pStyle w:val="BodyText"/>
      </w:pPr>
      <w:r>
        <w:rPr>
          <w:b/>
        </w:rPr>
        <w:t xml:space="preserve">Cost synergies.</w:t>
      </w:r>
      <w:r>
        <w:t xml:space="preserve"> </w:t>
      </w:r>
      <w:r>
        <w:t xml:space="preserve">The disclosed &gt;$350m is ~5% of combined revenue — credible for a horizontal pharma combination with procurement and supply-chain overlap. Phasing is illustrative (guidance is a 2–4 year window).</w:t>
      </w:r>
    </w:p>
    <w:p>
      <w:pPr>
        <w:pStyle w:val="BodyText"/>
      </w:pPr>
      <w:r>
        <w:rPr>
          <w:b/>
        </w:rPr>
        <w:t xml:space="preserve">Commercial synergies.</w:t>
      </w:r>
      <w:r>
        <w:t xml:space="preserve"> </w:t>
      </w:r>
      <w:r>
        <w:t xml:space="preserve">The clearest upside is geographic: Organon already earns ~$800m in China where Sun is negligible, and operates in South Korea where Sun is absent. Cross-selling Organon’s established brands through Sun’s emerging-market network is the revenue thesis — real but unquantified and slower to bank than cost synergies.</w:t>
      </w:r>
    </w:p>
    <w:p>
      <w:pPr>
        <w:pStyle w:val="BodyText"/>
      </w:pPr>
      <w:r>
        <w:rPr>
          <w:b/>
        </w:rPr>
        <w:t xml:space="preserve">Financial and tax synergies (the cross-border differentiator).</w:t>
      </w:r>
      <w:r>
        <w:t xml:space="preserve"> </w:t>
      </w:r>
      <w:r>
        <w:t xml:space="preserve">Funding runs through Sun Pharma USA, an offshore acquisition vehicle. Two effects: (i) ~$9.25–9.75bn of acquisition debt generates an interest tax shield, deductible largely against US-sourced target income; and (ii) Organon’s USD cash flows naturally service USD-denominated debt, reducing currency mismatch. Structuring the acquisition offshore (rather than from the Indian parent) also navigates Indian outbound-financing constraints — the same structuring theme that recurs in the LBO analysis. These are genuine value levers but depend on holding-structure design and are sized in the merger and financing chapters, not asserted here.</w:t>
      </w:r>
    </w:p>
    <w:p>
      <w:pPr>
        <w:pStyle w:val="Heading2"/>
      </w:pPr>
      <w:bookmarkStart w:id="25" w:name="X876a783cf603f298703279e2c1e13305c2c2336"/>
      <w:r>
        <w:t xml:space="preserve">4.4 Long-term strategy and the deleveraging path</w:t>
      </w:r>
      <w:bookmarkEnd w:id="25"/>
    </w:p>
    <w:p>
      <w:pPr>
        <w:pStyle w:val="FirstParagraph"/>
      </w:pPr>
      <w:r>
        <w:t xml:space="preserve">The financing plan — ~$2–2.5bn internal accruals plus ~$9.25–9.75bn debt — takes Sun from net cash to ~2.3x net debt/EBITDA at close, with paydown over 4–5 years. Organon’s high cash conversion is the deleveraging engine: established-brands cash flow services and retires the acquisition debt while Sun tilts the combined mix toward specialty, biosimilars and EM growth.</w:t>
      </w:r>
    </w:p>
    <w:p>
      <w:pPr>
        <w:pStyle w:val="CaptionedFigure"/>
      </w:pPr>
      <w:r>
        <w:drawing>
          <wp:inline>
            <wp:extent cx="5486400" cy="2753832"/>
            <wp:effectExtent b="0" l="0" r="0" t="0"/>
            <wp:docPr descr="Illustrative deleveraging path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4_fig2_deleverag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3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Illustrative deleveraging path</w:t>
      </w:r>
    </w:p>
    <w:p>
      <w:pPr>
        <w:pStyle w:val="Heading2"/>
      </w:pPr>
      <w:bookmarkStart w:id="27" w:name="strategic-conclusion"/>
      <w:r>
        <w:t xml:space="preserve">4.5 Strategic conclusion</w:t>
      </w:r>
      <w:bookmarkEnd w:id="27"/>
    </w:p>
    <w:p>
      <w:pPr>
        <w:pStyle w:val="FirstParagraph"/>
      </w:pPr>
      <w:r>
        <w:t xml:space="preserve">The rationale holds on four legs: scale, diversification, cheap entry multiple, and a credible cost-synergy and deleveraging path. The bet is that Sun’s balance sheet and low-cost platform can hold Organon’s EBITDA long enough to deleverage while capturing China/EM revenue upside. The two threats to the thesis: established-brands erosion outrunning synergy capture, and the Nexplanon probe impairing the Women’s Health trajectory. Both are quantified in the valuation, merger and risk chapters.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assumptions-sources"/>
      <w:r>
        <w:t xml:space="preserve">Assumptions &amp; sources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Cost synergies of &gt;$350m (up to ~$500m) within 2–4 years and EPS accretion from year one are company guidance. Synergy phasing (Yr1–4) is an illustrative analyst schedule.</w:t>
      </w:r>
    </w:p>
    <w:p>
      <w:pPr>
        <w:numPr>
          <w:ilvl w:val="0"/>
          <w:numId w:val="1003"/>
        </w:numPr>
        <w:pStyle w:val="Compact"/>
      </w:pPr>
      <w:r>
        <w:t xml:space="preserve">Financing split (~$2–2.5bn internal accruals; ~$9.25–9.75bn debt) and ~2.3x net leverage at close with 4–5 year paydown are disclosed; the deleveraging trajectory shown is illustrative.</w:t>
      </w:r>
    </w:p>
    <w:p>
      <w:pPr>
        <w:numPr>
          <w:ilvl w:val="0"/>
          <w:numId w:val="1003"/>
        </w:numPr>
        <w:pStyle w:val="Compact"/>
      </w:pPr>
      <w:r>
        <w:t xml:space="preserve">Revenue, financial and tax synergies are analyst estimates, explicitly not disclosed dollar figures; sized later in the model.</w:t>
      </w:r>
    </w:p>
    <w:p>
      <w:pPr>
        <w:numPr>
          <w:ilvl w:val="0"/>
          <w:numId w:val="1003"/>
        </w:numPr>
        <w:pStyle w:val="Compact"/>
      </w:pPr>
      <w:r>
        <w:t xml:space="preserve">China revenue (~$800m) and market size (~$150bn, +5–7%) per management commentary.</w:t>
      </w:r>
    </w:p>
    <w:p>
      <w:pPr>
        <w:numPr>
          <w:ilvl w:val="0"/>
          <w:numId w:val="1003"/>
        </w:numPr>
        <w:pStyle w:val="Compact"/>
      </w:pPr>
      <w:r>
        <w:t xml:space="preserve">Management commentary attributed to Sun Pharma MD Kirti Ganorkar; Dilip Shanghvi is founder and Chairman.</w:t>
      </w:r>
    </w:p>
    <w:p>
      <w:pPr>
        <w:pStyle w:val="FirstParagraph"/>
      </w:pPr>
      <w:r>
        <w:rPr>
          <w:i/>
        </w:rPr>
        <w:t xml:space="preserve">Sources: Sun Pharma / Organon definitive-agreement press releases (Apr 2026); Sun Pharma investor commentary; Business Standard, Forbes India, Dermatology Times, IntuitionLabs deal analyses. Full sourcing map in</w:t>
      </w:r>
      <w:r>
        <w:rPr>
          <w:i/>
        </w:rPr>
        <w:t xml:space="preserve"> </w:t>
      </w:r>
      <w:r>
        <w:rPr>
          <w:rStyle w:val="VerbatimChar"/>
          <w:i/>
        </w:rPr>
        <w:t xml:space="preserve">05_Data/DATA_SOURCES.docx</w:t>
      </w:r>
      <w:r>
        <w:rPr>
          <w:i/>
        </w:rPr>
        <w:t xml:space="preserve">.</w:t>
      </w:r>
    </w:p>
    <w:sectPr>
      <w:footerReference w:type="default" r:id="rId10"/>
      <w:pgSz w:w="12240" w:h="15840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BFBFBF"/>
      </w:pBdr>
      <w:tabs>
        <w:tab w:val="right" w:pos="9360"/>
      </w:tabs>
      <w:spacing w:before="60" w:after="0"/>
    </w:pPr>
    <w:r>
      <w:rPr>
        <w:rFonts w:ascii="Arial" w:hAnsi="Arial"/>
        <w:b/>
        <w:color w:val="404040"/>
        <w:sz w:val="15"/>
      </w:rPr>
      <w:t>Sun Pharma – Organon Acquisition Analysis</w:t>
    </w:r>
    <w:r>
      <w:rPr>
        <w:rFonts w:ascii="Arial" w:hAnsi="Arial"/>
        <w:color w:val="7F7F7F"/>
        <w:sz w:val="15"/>
      </w:rPr>
      <w:tab/>
      <w:t xml:space="preserve">Page </w:t>
    </w:r>
    <w:r>
      <w:rPr>
        <w:rFonts w:ascii="Arial" w:hAnsi="Arial"/>
        <w:color w:val="7F7F7F"/>
        <w:sz w:val="15"/>
      </w:rPr>
      <w:fldChar w:fldCharType="begin"/>
    </w:r>
    <w:r>
      <w:rPr>
        <w:rFonts w:ascii="Arial" w:hAnsi="Arial"/>
        <w:color w:val="7F7F7F"/>
        <w:sz w:val="15"/>
      </w:rPr>
      <w:instrText xml:space="preserve"> PAGE </w:instrText>
    </w:r>
    <w:r>
      <w:rPr>
        <w:rFonts w:ascii="Arial" w:hAnsi="Arial"/>
        <w:color w:val="7F7F7F"/>
        <w:sz w:val="15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</v:formulas>
          <v:path textpathok="t" o:connecttype="custom"/>
          <v:textpath on="t" fitshape="t"/>
        </v:shapetype>
        <v:shape id="wm1" type="#_x0000_t136" style="position:absolute;margin-left:0;margin-top:0;width:520pt;height:130pt;rotation:-40;z-index:-251658240;mso-position-horizontal:center;mso-position-horizontal-relative:margin;mso-position-vertical:center;mso-position-vertical-relative:margin" fillcolor="#E4E4E4" stroked="f">
          <v:textpath style="font-family:&quot;Arial&quot;;font-weight:bold" string="CONFIDENTIAL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222222"/>
        <w:sz w:val="20"/>
        <w:szCs w:val="20"/>
        <w:lang w:val="en-US" w:eastAsia="en-US" w:bidi="ar-SA"/>
      </w:rPr>
    </w:rPrDefault>
    <w:pPrDefault>
      <w:pPr>
        <w:spacing w:after="14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0" w:after="14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80"/>
      <w:jc w:val="left"/>
    </w:pPr>
    <w:rPr>
      <w:rFonts w:ascii="Arial" w:eastAsia="Arial" w:hAnsi="Arial" w:cs="Arial"/>
      <w:b/>
      <w:bCs/>
      <w:color w:val="000000"/>
      <w:sz w:val="40"/>
      <w:szCs w:val="4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4" w:color="000000"/>
      </w:pBdr>
      <w:spacing w:before="360" w:after="120"/>
      <w:jc w:val="left"/>
      <w:outlineLvl w:val="0"/>
    </w:pPr>
    <w:rPr>
      <w:rFonts w:ascii="Arial" w:eastAsia="Arial" w:hAnsi="Arial" w:cs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60" w:after="60"/>
      <w:jc w:val="left"/>
      <w:outlineLvl w:val="1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jc w:val="left"/>
      <w:outlineLvl w:val="2"/>
    </w:pPr>
    <w:rPr>
      <w:rFonts w:ascii="Arial" w:eastAsia="Arial" w:hAnsi="Arial" w:cs="Arial"/>
      <w:b/>
      <w:bCs/>
      <w:color w:val="000000"/>
      <w:sz w:val="21"/>
      <w:szCs w:val="2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99"/>
    <w:qFormat/>
    <w:pPr>
      <w:spacing w:before="20" w:after="20"/>
      <w:jc w:val="left"/>
    </w:pPr>
    <w:rPr>
      <w:rFonts w:ascii="Arial" w:hAnsi="Arial"/>
      <w:sz w:val="19"/>
      <w:szCs w:val="19"/>
    </w:rPr>
    <w:tblPr>
      <w:tblInd w:w="0" w:type="dxa"/>
      <w:tblBorders>
        <w:top w:val="single" w:sz="4" w:space="0" w:color="BFBFBF"/>
        <w:bottom w:val="single" w:sz="4" w:space="0" w:color="BFBFBF"/>
        <w:insideH w:val="single" w:sz="4" w:space="0" w:color="DDDDDD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rFonts w:ascii="Arial" w:hAnsi="Arial"/>
        <w:b/>
        <w:color w:val="000000"/>
        <w:sz w:val="18"/>
      </w:rPr>
      <w:tcPr>
        <w:shd w:val="clear" w:color="auto" w:fill="E6E6E6"/>
        <w:tcBorders>
          <w:bottom w:val="single" w:sz="8" w:space="0" w:color="000000"/>
        </w:tcBorders>
      </w:tcPr>
    </w:tblStylePr>
    <w:tblStylePr w:type="band2Horz">
      <w:tcPr>
        <w:shd w:val="clear" w:color="auto" w:fill="F4F4F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eader" Id="rId9" Target="header1.xml" /><Relationship Type="http://schemas.openxmlformats.org/officeDocument/2006/relationships/footer" Id="rId10" Target="footer1.xml" /><Relationship Type="http://schemas.openxmlformats.org/officeDocument/2006/relationships/image" Id="rId24" Target="media/rId24.png" /><Relationship Type="http://schemas.openxmlformats.org/officeDocument/2006/relationships/image" Id="rId26" Target="media/rId2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2026-07-27T05:28:04Z</dcterms:created>
  <dcterms:modified xsi:type="dcterms:W3CDTF">2026-07-27T05:28:04Z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