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eal-structure"/>
      <w:r>
        <w:t xml:space="preserve">5. Deal Structure</w:t>
      </w:r>
      <w:bookmarkEnd w:id="20"/>
    </w:p>
    <w:p>
      <w:pPr>
        <w:pStyle w:val="FirstParagraph"/>
      </w:pPr>
      <w:r>
        <w:t>All-cash acquisition of 100% of Organon at $14.00/share. Enterprise value ~$11.75bn; equity value ~$3.64bn; ~$8.1bn of net debt assumed/refinanced. Funded by ~$2–2.5bn of Sun internal accruals and ~$9.25–9.75bn of new debt via a $12bn committed bridge (Sun Pharma USA). Net leverage ~2.3x at close. Break fee $120m. Expected close early 2027.</w:t>
      </w:r>
    </w:p>
    <w:p>
      <w:pPr>
        <w:pStyle w:val="Heading2"/>
      </w:pPr>
      <w:bookmarkStart w:id="21" w:name="transaction-structure"/>
      <w:r>
        <w:t xml:space="preserve">5.1 Transaction structure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Form.</w:t>
      </w:r>
      <w:r>
        <w:t xml:space="preserve"> </w:t>
      </w:r>
      <w:r>
        <w:t xml:space="preserve">All-cash merger; Sun (via a US acquisition vehicle, Sun Pharma USA) acquires 100% of Organon’s outstanding shares. Organon becomes a wholly owned subsidiary.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Consideration.</w:t>
      </w:r>
      <w:r>
        <w:t xml:space="preserve"> </w:t>
      </w:r>
      <w:r>
        <w:t xml:space="preserve">$14.00 per share in cash. No stock, no earn-out, no CVR — a clean cash deal (no exchange ratio or collar to model).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Acquisition vehicle.</w:t>
      </w:r>
      <w:r>
        <w:t xml:space="preserve"> </w:t>
      </w:r>
      <w:r>
        <w:t xml:space="preserve">Offshore US entity funds and holds the target — the structuring choice that drives the tax and financing treatment (Chapter 4) and sidesteps Indian outbound-financing constraints.</w:t>
      </w:r>
    </w:p>
    <w:p>
      <w:pPr>
        <w:pStyle w:val="Heading2"/>
      </w:pPr>
      <w:bookmarkStart w:id="22" w:name="purchase-consideration-and-value-bridge"/>
      <w:r>
        <w:t xml:space="preserve">5.2 Purchase consideration and value bridge</w:t>
      </w:r>
      <w:bookmarkEnd w:id="22"/>
    </w:p>
    <w:tbl>
      <w:tblPr>
        <w:tblStyle w:val="Table"/>
        <w:tblW w:type="pct" w:w="5000"/>
        <w:tblLayout w:type="fixed"/>
        <w:tblLook w:firstRow="1"/>
      </w:tblPr>
      <w:tblGrid>
        <w:gridCol w:w="4300"/>
        <w:gridCol w:w="2529"/>
        <w:gridCol w:w="25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Offer price per share</w:t>
            </w:r>
          </w:p>
        </w:tc>
        <w:tc>
          <w:p>
            <w:pPr>
              <w:pStyle w:val="Compact"/>
              <w:jc w:val="left"/>
            </w:pPr>
            <w:r>
              <w:t xml:space="preserve">$14.00</w:t>
            </w:r>
          </w:p>
        </w:tc>
        <w:tc>
          <w:p>
            <w:pPr>
              <w:pStyle w:val="Compact"/>
              <w:jc w:val="left"/>
            </w:pPr>
            <w:r>
              <w:t xml:space="preserve">Disclosed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Fully diluted shares</w:t>
            </w:r>
          </w:p>
        </w:tc>
        <w:tc>
          <w:p>
            <w:pPr>
              <w:pStyle w:val="Compact"/>
              <w:jc w:val="left"/>
            </w:pPr>
            <w:r>
              <w:t xml:space="preserve">~260m</w:t>
            </w:r>
          </w:p>
        </w:tc>
        <w:tc>
          <w:p>
            <w:pPr>
              <w:pStyle w:val="Compact"/>
              <w:jc w:val="left"/>
            </w:pPr>
            <w:r>
              <w:t xml:space="preserve">Inferred (adj. NI $954m ÷ EPS $3.66); confirm from proxy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Equity value</w:t>
            </w:r>
          </w:p>
        </w:tc>
        <w:tc>
          <w:p>
            <w:pPr>
              <w:pStyle w:val="Compact"/>
              <w:jc w:val="left"/>
            </w:pPr>
            <w:r>
              <w:t>~$3.64bn</w:t>
            </w:r>
          </w:p>
        </w:tc>
        <w:tc>
          <w:p>
            <w:pPr>
              <w:pStyle w:val="Compact"/>
              <w:jc w:val="left"/>
            </w:pPr>
            <w:r>
              <w:t xml:space="preserve">$14.00 × shares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(+) Net debt assumed</w:t>
            </w:r>
          </w:p>
        </w:tc>
        <w:tc>
          <w:p>
            <w:pPr>
              <w:pStyle w:val="Compact"/>
              <w:jc w:val="left"/>
            </w:pPr>
            <w:r>
              <w:t xml:space="preserve">~$8.10bn</w:t>
            </w:r>
          </w:p>
        </w:tc>
        <w:tc>
          <w:p>
            <w:pPr>
              <w:pStyle w:val="Compact"/>
              <w:jc w:val="left"/>
            </w:pPr>
            <w:r>
              <w:t xml:space="preserve">FY25 gross debt $8.64bn − cash $0.57bn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 value</w:t>
            </w:r>
          </w:p>
        </w:tc>
        <w:tc>
          <w:p>
            <w:pPr>
              <w:pStyle w:val="Compact"/>
              <w:jc w:val="left"/>
            </w:pPr>
            <w:r>
              <w:t xml:space="preserve">~$11.75bn</w:t>
            </w:r>
          </w:p>
        </w:tc>
        <w:tc>
          <w:p>
            <w:pPr>
              <w:pStyle w:val="Compact"/>
              <w:jc w:val="left"/>
            </w:pPr>
            <w:r>
              <w:t xml:space="preserve">Disclosed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 / FY25 Adj. EBITDA</w:t>
            </w:r>
          </w:p>
        </w:tc>
        <w:tc>
          <w:p>
            <w:pPr>
              <w:pStyle w:val="Compact"/>
              <w:jc w:val="left"/>
            </w:pPr>
            <w:r>
              <w:t xml:space="preserve">~6.2x</w:t>
            </w:r>
          </w:p>
        </w:tc>
        <w:tc>
          <w:p>
            <w:pPr>
              <w:pStyle w:val="Compact"/>
              <w:jc w:val="left"/>
            </w:pPr>
            <w:r>
              <w:t xml:space="preserve">$11.75bn ÷ $1.91bn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 / FY25 revenue</w:t>
            </w:r>
          </w:p>
        </w:tc>
        <w:tc>
          <w:p>
            <w:pPr>
              <w:pStyle w:val="Compact"/>
              <w:jc w:val="left"/>
            </w:pPr>
            <w:r>
              <w:t xml:space="preserve">~1.9x</w:t>
            </w:r>
          </w:p>
        </w:tc>
        <w:tc>
          <w:p>
            <w:pPr>
              <w:pStyle w:val="Compact"/>
              <w:jc w:val="left"/>
            </w:pPr>
            <w:r>
              <w:t xml:space="preserve">$11.75bn ÷ $6.2bn</w:t>
            </w:r>
          </w:p>
        </w:tc>
      </w:tr>
    </w:tbl>
    <w:p>
      <w:pPr>
        <w:pStyle w:val="CaptionedFigure"/>
      </w:pPr>
      <w:r>
        <w:drawing>
          <wp:inline>
            <wp:extent cx="5486400" cy="3014330"/>
            <wp:effectExtent b="0" l="0" r="0" t="0"/>
            <wp:docPr descr="Enterprise value bridge" title="" id="1" name="Picture"/>
            <a:graphic>
              <a:graphicData uri="http://schemas.openxmlformats.org/drawingml/2006/picture">
                <pic:pic>
                  <pic:nvPicPr>
                    <pic:cNvPr descr="/sessions/blissful-compassionate-clarke/mnt/Fin%20new%20Projects/Project%202%20-%20Sun%20Pharma-Organon%20MA/06_Visuals/ch5_fig1_ev_brid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4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Enterprise value bridge</w:t>
      </w:r>
    </w:p>
    <w:p>
      <w:pPr>
        <w:pStyle w:val="BodyText"/>
      </w:pPr>
      <w:r>
        <w:t>The bridge is the deal’s defining feature: ~$8.1bn of the ~$11.75bn (≈70%) is debt assumed, not equity purchased. The equity cheque is only ~$3.64bn.</w:t>
      </w:r>
    </w:p>
    <w:p>
      <w:pPr>
        <w:pStyle w:val="Heading2"/>
      </w:pPr>
      <w:bookmarkStart w:id="24" w:name="sources-uses"/>
      <w:r>
        <w:t xml:space="preserve">5.3 Sources &amp; Uses</w:t>
      </w:r>
      <w:bookmarkEnd w:id="24"/>
    </w:p>
    <w:p>
      <w:pPr>
        <w:pStyle w:val="CaptionedFigure"/>
      </w:pPr>
      <w:r>
        <w:drawing>
          <wp:inline>
            <wp:extent cx="5486400" cy="3003697"/>
            <wp:effectExtent b="0" l="0" r="0" t="0"/>
            <wp:docPr descr="Sources and uses" title="" id="1" name="Picture"/>
            <a:graphic>
              <a:graphicData uri="http://schemas.openxmlformats.org/drawingml/2006/picture">
                <pic:pic>
                  <pic:nvPicPr>
                    <pic:cNvPr descr="/sessions/blissful-compassionate-clarke/mnt/Fin%20new%20Projects/Project%202%20-%20Sun%20Pharma-Organon%20MA/06_Visuals/ch5_fig2_sources_us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3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Sources and uses</w:t>
      </w:r>
    </w:p>
    <w:tbl>
      <w:tblPr>
        <w:tblStyle w:val="Table"/>
        <w:tblW w:type="pct" w:w="5000"/>
        <w:tblLayout w:type="fixed"/>
        <w:tblLook w:firstRow="1"/>
      </w:tblPr>
      <w:tblGrid>
        <w:gridCol w:w="3385"/>
        <w:gridCol w:w="1991"/>
        <w:gridCol w:w="1991"/>
        <w:gridCol w:w="199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$bn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$bn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acquisition debt</w:t>
            </w:r>
          </w:p>
        </w:tc>
        <w:tc>
          <w:p>
            <w:pPr>
              <w:pStyle w:val="Compact"/>
              <w:jc w:val="right"/>
            </w:pPr>
            <w:r>
              <w:t xml:space="preserve">9.50</w:t>
            </w:r>
          </w:p>
        </w:tc>
        <w:tc>
          <w:p>
            <w:pPr>
              <w:pStyle w:val="Compact"/>
              <w:jc w:val="left"/>
            </w:pPr>
            <w:r>
              <w:t xml:space="preserve">Refinance Organon debt</w:t>
            </w:r>
          </w:p>
        </w:tc>
        <w:tc>
          <w:p>
            <w:pPr>
              <w:pStyle w:val="Compact"/>
              <w:jc w:val="right"/>
            </w:pPr>
            <w:r>
              <w:t xml:space="preserve">8.10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Sun internal accruals</w:t>
            </w:r>
          </w:p>
        </w:tc>
        <w:tc>
          <w:p>
            <w:pPr>
              <w:pStyle w:val="Compact"/>
              <w:jc w:val="right"/>
            </w:pPr>
            <w:r>
              <w:t>2.24</w:t>
            </w:r>
          </w:p>
        </w:tc>
        <w:tc>
          <w:p>
            <w:pPr>
              <w:pStyle w:val="Compact"/>
              <w:jc w:val="left"/>
            </w:pPr>
            <w:r>
              <w:t xml:space="preserve">Equity consideration</w:t>
            </w:r>
          </w:p>
        </w:tc>
        <w:tc>
          <w:p>
            <w:pPr>
              <w:pStyle w:val="Compact"/>
              <w:jc w:val="right"/>
            </w:pPr>
            <w:r>
              <w:t>3.64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Organon balance-sheet cash</w:t>
            </w:r>
          </w:p>
        </w:tc>
        <w:tc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Fees &amp; expenses (est.)</w:t>
            </w:r>
          </w:p>
        </w:tc>
        <w:tc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sources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>11.99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uses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>11.99</w:t>
            </w:r>
          </w:p>
        </w:tc>
      </w:tr>
    </w:tbl>
    <w:p>
      <w:pPr>
        <w:pStyle w:val="BodyText"/>
      </w:pPr>
      <w:r>
        <w:t xml:space="preserve">Financing mix (~$2–2.5bn internal, ~$9.25–9.75bn debt) is disclosed; the fee load and cash-use split are analyst estimates, flagged.</w:t>
      </w:r>
    </w:p>
    <w:p>
      <w:pPr>
        <w:pStyle w:val="Heading2"/>
      </w:pPr>
      <w:bookmarkStart w:id="26" w:name="financing-and-debt"/>
      <w:r>
        <w:t xml:space="preserve">5.4 Financing and debt</w:t>
      </w:r>
      <w:bookmarkEnd w:id="26"/>
    </w:p>
    <w:tbl>
      <w:tblPr>
        <w:tblStyle w:val="Table"/>
        <w:tblW w:type="pct" w:w="5000"/>
        <w:tblLayout w:type="fixed"/>
        <w:tblLook w:firstRow="1"/>
      </w:tblPr>
      <w:tblGrid>
        <w:gridCol w:w="4300"/>
        <w:gridCol w:w="2529"/>
        <w:gridCol w:w="25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Committed bridge (Sun Pharma USA)</w:t>
            </w:r>
          </w:p>
        </w:tc>
        <w:tc>
          <w:p>
            <w:pPr>
              <w:pStyle w:val="Compact"/>
              <w:jc w:val="left"/>
            </w:pPr>
            <w:r>
              <w:t xml:space="preserve">$12.0bn</w:t>
            </w:r>
          </w:p>
        </w:tc>
        <w:tc>
          <w:p>
            <w:pPr>
              <w:pStyle w:val="Compact"/>
              <w:jc w:val="left"/>
            </w:pPr>
            <w:r>
              <w:t xml:space="preserve">Fully committed backstop to fund at close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Sun Pharma funding commitment</w:t>
            </w:r>
          </w:p>
        </w:tc>
        <w:tc>
          <w:p>
            <w:pPr>
              <w:pStyle w:val="Compact"/>
              <w:jc w:val="left"/>
            </w:pPr>
            <w:r>
              <w:t xml:space="preserve">$1.0bn</w:t>
            </w:r>
          </w:p>
        </w:tc>
        <w:tc>
          <w:p>
            <w:pPr>
              <w:pStyle w:val="Compact"/>
              <w:jc w:val="left"/>
            </w:pPr>
            <w:r>
              <w:t xml:space="preserve">Parent equity/inter-company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Permanent take-out (planned)</w:t>
            </w:r>
          </w:p>
        </w:tc>
        <w:tc>
          <w:p>
            <w:pPr>
              <w:pStyle w:val="Compact"/>
              <w:jc w:val="left"/>
            </w:pPr>
            <w:r>
              <w:t xml:space="preserve">~$9.5bn</w:t>
            </w:r>
          </w:p>
        </w:tc>
        <w:tc>
          <w:p>
            <w:pPr>
              <w:pStyle w:val="Compact"/>
              <w:jc w:val="left"/>
            </w:pPr>
            <w:r>
              <w:t xml:space="preserve">Term loans + bonds; euro-denominated issue, offshore loans, possible bond swaps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/>
        </w:rPr>
        <w:t xml:space="preserve">Bridge-to-bond.</w:t>
      </w:r>
      <w:r>
        <w:t xml:space="preserve"> </w:t>
      </w:r>
      <w:r>
        <w:t xml:space="preserve">The $12bn bridge de-risks closing; it is refinanced post-close into a permanent structure of term loans and bonds. Refinancing risk (rates/spreads between signing and take-out) is the key financing exposure — carried into the risk chapter.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Leverage.</w:t>
      </w:r>
      <w:r>
        <w:t xml:space="preserve"> </w:t>
      </w:r>
      <w:r>
        <w:t xml:space="preserve">Sun moves from ~$3.1bn net cash to ~2.3x net debt/EBITDA at close, deleveraging over 4–5 years on Organon’s cash flow.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Currency.</w:t>
      </w:r>
      <w:r>
        <w:t xml:space="preserve"> </w:t>
      </w:r>
      <w:r>
        <w:t xml:space="preserve">USD/EUR debt is partly matched by Organon’s USD/EUR cash flows; residual INR exposure at the parent.</w:t>
      </w:r>
    </w:p>
    <w:p>
      <w:pPr>
        <w:pStyle w:val="Heading2"/>
      </w:pPr>
      <w:bookmarkStart w:id="27" w:name="regulatory-approvals"/>
      <w:r>
        <w:t xml:space="preserve">5.5 Regulatory approvals</w:t>
      </w:r>
      <w:bookmarkEnd w:id="27"/>
    </w:p>
    <w:tbl>
      <w:tblPr>
        <w:tblStyle w:val="Table"/>
        <w:tblW w:type="pct" w:w="5000"/>
        <w:tblLayout w:type="fixed"/>
        <w:tblLook w:firstRow="1"/>
      </w:tblPr>
      <w:tblGrid>
        <w:gridCol w:w="4300"/>
        <w:gridCol w:w="2529"/>
        <w:gridCol w:w="25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Jurisdiction / body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Antitrust (HSR)</w:t>
            </w:r>
          </w:p>
        </w:tc>
        <w:tc>
          <w:p>
            <w:pPr>
              <w:pStyle w:val="Compact"/>
              <w:jc w:val="left"/>
            </w:pPr>
            <w:r>
              <w:t xml:space="preserve">US FTC/DOJ</w:t>
            </w:r>
          </w:p>
        </w:tc>
        <w:tc>
          <w:p>
            <w:pPr>
              <w:pStyle w:val="Compact"/>
              <w:jc w:val="left"/>
            </w:pPr>
            <w:r>
              <w:t xml:space="preserve">Limited product overlap eases clearance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Merger control</w:t>
            </w:r>
          </w:p>
        </w:tc>
        <w:tc>
          <w:p>
            <w:pPr>
              <w:pStyle w:val="Compact"/>
              <w:jc w:val="left"/>
            </w:pPr>
            <w:r>
              <w:t xml:space="preserve">EU and other competition authorities</w:t>
            </w:r>
          </w:p>
        </w:tc>
        <w:tc>
          <w:p>
            <w:pPr>
              <w:pStyle w:val="Compact"/>
              <w:jc w:val="left"/>
            </w:pPr>
            <w:r>
              <w:t xml:space="preserve">Multi-jurisdiction filings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Outbound investment</w:t>
            </w:r>
          </w:p>
        </w:tc>
        <w:tc>
          <w:p>
            <w:pPr>
              <w:pStyle w:val="Compact"/>
              <w:jc w:val="left"/>
            </w:pPr>
            <w:r>
              <w:t xml:space="preserve">India (RBI / FEMA ODI framework)</w:t>
            </w:r>
          </w:p>
        </w:tc>
        <w:tc>
          <w:p>
            <w:pPr>
              <w:pStyle w:val="Compact"/>
              <w:jc w:val="left"/>
            </w:pPr>
            <w:r>
              <w:t xml:space="preserve">India-outbound structuring and approvals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Shareholder approval</w:t>
            </w:r>
          </w:p>
        </w:tc>
        <w:tc>
          <w:p>
            <w:pPr>
              <w:pStyle w:val="Compact"/>
              <w:jc w:val="left"/>
            </w:pPr>
            <w:r>
              <w:t xml:space="preserve">Organon stockholders</w:t>
            </w:r>
          </w:p>
        </w:tc>
        <w:tc>
          <w:p>
            <w:pPr>
              <w:pStyle w:val="Compact"/>
              <w:jc w:val="left"/>
            </w:pPr>
            <w:r>
              <w:t xml:space="preserve">Simple-majority vote via merger proxy</w:t>
            </w:r>
          </w:p>
        </w:tc>
      </w:tr>
    </w:tbl>
    <w:p>
      <w:pPr>
        <w:pStyle w:val="BodyText"/>
      </w:pPr>
      <w:r>
        <w:t xml:space="preserve">Low direct product overlap makes antitrust the lower-risk gate; the cross-border/outbound approvals and the shareholder vote are the practical path items.</w:t>
      </w:r>
    </w:p>
    <w:p>
      <w:pPr>
        <w:pStyle w:val="Heading2"/>
      </w:pPr>
      <w:bookmarkStart w:id="28" w:name="expected-timeline"/>
      <w:r>
        <w:t xml:space="preserve">5.6 Expected timeline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April 2026</w:t>
      </w:r>
      <w:r>
        <w:t xml:space="preserve"> </w:t>
      </w:r>
      <w:r>
        <w:t xml:space="preserve">— Definitive merger agreement signed and announced; both boards approve.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2026</w:t>
      </w:r>
      <w:r>
        <w:t xml:space="preserve"> </w:t>
      </w:r>
      <w:r>
        <w:t xml:space="preserve">— Organon files merger proxy (PREM14A/DEFM14A); shareholder vote; regulatory filings.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2026–early 2027</w:t>
      </w:r>
      <w:r>
        <w:t xml:space="preserve"> </w:t>
      </w:r>
      <w:r>
        <w:t xml:space="preserve">— Antitrust and cross-border clearances; bridge financing termed out.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Early 2027 (expected)</w:t>
      </w:r>
      <w:r>
        <w:t xml:space="preserve"> </w:t>
      </w:r>
      <w:r>
        <w:t xml:space="preserve">— Close; Organon delists and becomes a Sun subsidiary.</w:t>
      </w:r>
    </w:p>
    <w:p>
      <w:pPr>
        <w:pStyle w:val="FirstParagraph"/>
      </w:pPr>
      <w:r>
        <w:rPr>
          <w:b/>
        </w:rPr>
        <w:t xml:space="preserve">Deal protection.</w:t>
      </w:r>
      <w:r>
        <w:t xml:space="preserve"> </w:t>
      </w:r>
      <w:r>
        <w:t>$120m termination fee payable by Organon under specified circumstances (superior-proposal / no-vote). Modest relative to the ~$3.64bn equity value (~3.3%).</w:t>
      </w:r>
    </w:p>
    <w:p>
      <w:pPr>
        <w:pStyle w:val="Heading2"/>
      </w:pPr>
      <w:bookmarkStart w:id="29" w:name="structure-conclusion"/>
      <w:r>
        <w:t xml:space="preserve">5.7 Structure conclusion</w:t>
      </w:r>
      <w:bookmarkEnd w:id="29"/>
    </w:p>
    <w:p>
      <w:pPr>
        <w:pStyle w:val="FirstParagraph"/>
      </w:pPr>
      <w:r>
        <w:t xml:space="preserve">A clean, all-cash, debt-funded acquisition where the real financing task is absorbing and refinancing ~$8.1bn of target debt, not paying a large equity premium. The structure is de-risked on closing (committed bridge) and on antitrust (low overlap); the live risks are the bridge take-out cost and the cross-border/shareholder approval path. This structure feeds directly into the merger model — purchase price allocation, the debt schedule, and accretion/dilution — in Chapter 8.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assumptions-sources"/>
      <w:r>
        <w:t xml:space="preserve">Assumptions &amp; sources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Enterprise value ($11.75bn), $14.00/share, financing split (~$2–2.5bn internal; ~$9.25–9.75bn debt), $12bn committed bridge (Sun Pharma USA), ~2.3x net leverage, and $120m break fee are disclosed.</w:t>
      </w:r>
    </w:p>
    <w:p>
      <w:pPr>
        <w:numPr>
          <w:ilvl w:val="0"/>
          <w:numId w:val="1004"/>
        </w:numPr>
        <w:pStyle w:val="Compact"/>
      </w:pPr>
      <w:r>
        <w:t xml:space="preserve">Share count (~260m), net debt ($8.1bn = gross $8.64bn − cash $0.57bn), fees (~$0.25bn) and the Sources &amp; Uses split are estimates for illustration; exact figures to be tied to the merger proxy and financing documents.</w:t>
      </w:r>
    </w:p>
    <w:p>
      <w:pPr>
        <w:numPr>
          <w:ilvl w:val="0"/>
          <w:numId w:val="1004"/>
        </w:numPr>
        <w:pStyle w:val="Compact"/>
      </w:pPr>
      <w:r>
        <w:t xml:space="preserve">Permanent financing structure (term loans/bonds/euro issue/bond swaps) reflects disclosed intent; final tranching not yet set.</w:t>
      </w:r>
    </w:p>
    <w:p>
      <w:pPr>
        <w:numPr>
          <w:ilvl w:val="0"/>
          <w:numId w:val="1004"/>
        </w:numPr>
        <w:pStyle w:val="Compact"/>
      </w:pPr>
      <w:r>
        <w:t xml:space="preserve">Regulatory items reflect the deal’s jurisdictions; specific clearance conditions to be confirmed from filings.</w:t>
      </w:r>
    </w:p>
    <w:p>
      <w:pPr>
        <w:pStyle w:val="FirstParagraph"/>
      </w:pPr>
      <w:r>
        <w:rPr>
          <w:i/>
        </w:rPr>
        <w:t xml:space="preserve">Sources: Sun Pharma / Organon definitive-agreement press releases (Apr 2026); Sun Pharma investor commentary; Outlook Business and Business Standard on financing; Organon merger proxy (to be pulled). Full sourcing map in</w:t>
      </w:r>
      <w:r>
        <w:rPr>
          <w:i/>
        </w:rPr>
        <w:t xml:space="preserve"> </w:t>
      </w:r>
      <w:r>
        <w:rPr>
          <w:rStyle w:val="VerbatimChar"/>
          <w:i/>
        </w:rPr>
        <w:t xml:space="preserve">05_Data/DATA_SOURCES.docx</w:t>
      </w:r>
      <w:r>
        <w:rPr>
          <w:i/>
        </w:rPr>
        <w:t xml:space="preserve">.</w:t>
      </w:r>
    </w:p>
    <w:sectPr>
      <w:footerReference w:type="default" r:id="rId10"/>
      <w:pgSz w:w="12240" w:h="15840"/>
      <w:pgMar w:top="144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BFBFBF"/>
      </w:pBdr>
      <w:tabs>
        <w:tab w:val="right" w:pos="9360"/>
      </w:tabs>
      <w:spacing w:before="60" w:after="0"/>
    </w:pPr>
    <w:r>
      <w:rPr>
        <w:rFonts w:ascii="Arial" w:hAnsi="Arial"/>
        <w:b/>
        <w:color w:val="404040"/>
        <w:sz w:val="15"/>
      </w:rPr>
      <w:t>Sun Pharma – Organon Acquisition Analysis</w:t>
    </w:r>
    <w:r>
      <w:rPr>
        <w:rFonts w:ascii="Arial" w:hAnsi="Arial"/>
        <w:color w:val="7F7F7F"/>
        <w:sz w:val="15"/>
      </w:rPr>
      <w:tab/>
      <w:t xml:space="preserve">Page </w:t>
    </w:r>
    <w:r>
      <w:rPr>
        <w:rFonts w:ascii="Arial" w:hAnsi="Arial"/>
        <w:color w:val="7F7F7F"/>
        <w:sz w:val="15"/>
      </w:rPr>
      <w:fldChar w:fldCharType="begin"/>
    </w:r>
    <w:r>
      <w:rPr>
        <w:rFonts w:ascii="Arial" w:hAnsi="Arial"/>
        <w:color w:val="7F7F7F"/>
        <w:sz w:val="15"/>
      </w:rPr>
      <w:instrText xml:space="preserve"> PAGE </w:instrText>
    </w:r>
    <w:r>
      <w:rPr>
        <w:rFonts w:ascii="Arial" w:hAnsi="Arial"/>
        <w:color w:val="7F7F7F"/>
        <w:sz w:val="15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</v:formulas>
          <v:path textpathok="t" o:connecttype="custom"/>
          <v:textpath on="t" fitshape="t"/>
        </v:shapetype>
        <v:shape id="wm1" type="#_x0000_t136" style="position:absolute;margin-left:0;margin-top:0;width:520pt;height:130pt;rotation:-40;z-index:-251658240;mso-position-horizontal:center;mso-position-horizontal-relative:margin;mso-position-vertical:center;mso-position-vertical-relative:margin" fillcolor="#E4E4E4" stroked="f">
          <v:textpath style="font-family:&quot;Arial&quot;;font-weight:bold" string="CONFIDENTIAL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222222"/>
        <w:sz w:val="20"/>
        <w:szCs w:val="20"/>
        <w:lang w:val="en-US" w:eastAsia="en-US" w:bidi="ar-SA"/>
      </w:rPr>
    </w:rPrDefault>
    <w:pPrDefault>
      <w:pPr>
        <w:spacing w:after="14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qFormat/>
    <w:pPr>
      <w:spacing w:before="0" w:after="14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240" w:after="80"/>
      <w:jc w:val="left"/>
    </w:pPr>
    <w:rPr>
      <w:rFonts w:ascii="Arial" w:eastAsia="Arial" w:hAnsi="Arial" w:cs="Arial"/>
      <w:b/>
      <w:bCs/>
      <w:color w:val="000000"/>
      <w:sz w:val="40"/>
      <w:szCs w:val="4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4" w:color="000000"/>
      </w:pBdr>
      <w:spacing w:before="360" w:after="120"/>
      <w:jc w:val="left"/>
      <w:outlineLvl w:val="0"/>
    </w:pPr>
    <w:rPr>
      <w:rFonts w:ascii="Arial" w:eastAsia="Arial" w:hAnsi="Arial" w:cs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60" w:after="60"/>
      <w:jc w:val="left"/>
      <w:outlineLvl w:val="1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/>
      <w:jc w:val="left"/>
      <w:outlineLvl w:val="2"/>
    </w:pPr>
    <w:rPr>
      <w:rFonts w:ascii="Arial" w:eastAsia="Arial" w:hAnsi="Arial" w:cs="Arial"/>
      <w:b/>
      <w:bCs/>
      <w:color w:val="000000"/>
      <w:sz w:val="21"/>
      <w:szCs w:val="2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99"/>
    <w:qFormat/>
    <w:pPr>
      <w:spacing w:before="20" w:after="20"/>
      <w:jc w:val="left"/>
    </w:pPr>
    <w:rPr>
      <w:rFonts w:ascii="Arial" w:hAnsi="Arial"/>
      <w:sz w:val="19"/>
      <w:szCs w:val="19"/>
    </w:rPr>
    <w:tblPr>
      <w:tblInd w:w="0" w:type="dxa"/>
      <w:tblBorders>
        <w:top w:val="single" w:sz="4" w:space="0" w:color="BFBFBF"/>
        <w:bottom w:val="single" w:sz="4" w:space="0" w:color="BFBFBF"/>
        <w:insideH w:val="single" w:sz="4" w:space="0" w:color="DDDDDD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rFonts w:ascii="Arial" w:hAnsi="Arial"/>
        <w:b/>
        <w:color w:val="000000"/>
        <w:sz w:val="18"/>
      </w:rPr>
      <w:tcPr>
        <w:shd w:val="clear" w:color="auto" w:fill="E6E6E6"/>
        <w:tcBorders>
          <w:bottom w:val="single" w:sz="8" w:space="0" w:color="000000"/>
        </w:tcBorders>
      </w:tcPr>
    </w:tblStylePr>
    <w:tblStylePr w:type="band2Horz">
      <w:tcPr>
        <w:shd w:val="clear" w:color="auto" w:fill="F4F4F4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image" Target="media/rId23.png"/><Relationship Id="rId25" Type="http://schemas.openxmlformats.org/officeDocument/2006/relationships/image" Target="media/rId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2026-07-27T05:32:04Z</dcterms:created>
  <dcterms:modified xsi:type="dcterms:W3CDTF">2026-07-27T05:32:04Z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