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5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cial-analysis"/>
      <w:r>
        <w:t xml:space="preserve">6. Financial Analysis</w:t>
      </w:r>
      <w:bookmarkEnd w:id="20"/>
    </w:p>
    <w:p>
      <w:pPr>
        <w:pStyle w:val="FirstParagraph"/>
      </w:pPr>
      <w:r>
        <w:t xml:space="preserve">Two opposite financial profiles. Sun Pharma: revenue +11.6% CAGR (FY21–FY25), margin expanding to ~29%, net cash ~$3.1bn. Organon: revenue flat-to-declining (−0.3% CAGR), adj. EBITDA margin stable at ~31%, but ~$8.6–9.1bn of persistent debt and GAAP net income collapsing to $187m in 2025 on charges. Organon is a high-margin, high-cash-conversion, high-leverage asset in slow decline; Sun is a growing, lowly levered compounder.</w:t>
      </w:r>
    </w:p>
    <w:p>
      <w:pPr>
        <w:pStyle w:val="Heading2"/>
      </w:pPr>
      <w:bookmarkStart w:id="21" w:name="basis-of-analysis"/>
      <w:r>
        <w:t xml:space="preserve">6.1 Basis of analysis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Fiscal years.</w:t>
      </w:r>
      <w:r>
        <w:t xml:space="preserve"> </w:t>
      </w:r>
      <w:r>
        <w:t xml:space="preserve">Sun Pharma reports in INR to a 31 March year-end; Organon in USD to a 31 December year-end. Not calendar-aligned — normalised in the model.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FX.</w:t>
      </w:r>
      <w:r>
        <w:t xml:space="preserve"> </w:t>
      </w:r>
      <w:r>
        <w:t xml:space="preserve">Sun figures in INR; USD conversions at ~₹85.5/USD (FY25) where shown.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Adjusted vs reported.</w:t>
      </w:r>
      <w:r>
        <w:t xml:space="preserve"> </w:t>
      </w:r>
      <w:r>
        <w:t xml:space="preserve">Organon</w:t>
      </w:r>
      <w:r>
        <w:t xml:space="preserve"> </w:t>
      </w:r>
      <w:r>
        <w:t xml:space="preserve">“</w:t>
      </w:r>
      <w:r>
        <w:t xml:space="preserve">Adjusted EBITDA</w:t>
      </w:r>
      <w:r>
        <w:t xml:space="preserve">”</w:t>
      </w:r>
      <w:r>
        <w:t xml:space="preserve"> </w:t>
      </w:r>
      <w:r>
        <w:t xml:space="preserve">is management-defined (excludes IPR&amp;D, restructuring, step-up). GAAP net income is shown separately.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Confidence.</w:t>
      </w:r>
      <w:r>
        <w:t xml:space="preserve"> </w:t>
      </w:r>
      <w:r>
        <w:t xml:space="preserve">FY23–FY25 (Sun) and 2023–2025 (Organon) figures are firm; earlier years and some margins are approximate, flagged, to be tied to annual reports/10-Ks.</w:t>
      </w:r>
    </w:p>
    <w:p>
      <w:pPr>
        <w:pStyle w:val="Heading2"/>
      </w:pPr>
      <w:bookmarkStart w:id="22" w:name="sun-pharma-five-year-financials"/>
      <w:r>
        <w:t xml:space="preserve">6.2 Sun Pharma — five-year financials</w:t>
      </w:r>
      <w:bookmarkEnd w:id="22"/>
    </w:p>
    <w:p>
      <w:pPr>
        <w:pStyle w:val="CaptionedFigure"/>
      </w:pPr>
      <w:r>
        <w:drawing>
          <wp:inline>
            <wp:extent cx="5486400" cy="2913320"/>
            <wp:effectExtent b="0" l="0" r="0" t="0"/>
            <wp:docPr descr="Sun Pharma revenue and EBITDA margin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6_fig1_sun_tre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3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Sun Pharma revenue and EBITDA margin</w:t>
      </w:r>
    </w:p>
    <w:tbl>
      <w:tblPr>
        <w:tblStyle w:val="Table"/>
        <w:tblW w:type="pct" w:w="5000"/>
        <w:tblLayout w:type="fixed"/>
        <w:tblLook w:firstRow="1"/>
      </w:tblPr>
      <w:tblGrid>
        <w:gridCol w:w="2374"/>
        <w:gridCol w:w="1397"/>
        <w:gridCol w:w="1397"/>
        <w:gridCol w:w="1397"/>
        <w:gridCol w:w="1397"/>
        <w:gridCol w:w="13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₹ crore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FY21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FY22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FY23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FY24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FY25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p>
            <w:pPr>
              <w:pStyle w:val="Compact"/>
              <w:jc w:val="right"/>
            </w:pPr>
            <w:r>
              <w:t xml:space="preserve">33,498</w:t>
            </w:r>
          </w:p>
        </w:tc>
        <w:tc>
          <w:p>
            <w:pPr>
              <w:pStyle w:val="Compact"/>
              <w:jc w:val="right"/>
            </w:pPr>
            <w:r>
              <w:t xml:space="preserve">38,654</w:t>
            </w:r>
          </w:p>
        </w:tc>
        <w:tc>
          <w:p>
            <w:pPr>
              <w:pStyle w:val="Compact"/>
              <w:jc w:val="right"/>
            </w:pPr>
            <w:r>
              <w:t xml:space="preserve">43,279</w:t>
            </w:r>
          </w:p>
        </w:tc>
        <w:tc>
          <w:p>
            <w:pPr>
              <w:pStyle w:val="Compact"/>
              <w:jc w:val="right"/>
            </w:pPr>
            <w:r>
              <w:t xml:space="preserve">48,497</w:t>
            </w:r>
          </w:p>
        </w:tc>
        <w:tc>
          <w:p>
            <w:pPr>
              <w:pStyle w:val="Compact"/>
              <w:jc w:val="right"/>
            </w:pPr>
            <w:r>
              <w:t xml:space="preserve">52,041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p>
            <w:pPr>
              <w:pStyle w:val="Compact"/>
              <w:jc w:val="right"/>
            </w:pPr>
            <w:r>
              <w:t xml:space="preserve">~8,040</w:t>
            </w:r>
          </w:p>
        </w:tc>
        <w:tc>
          <w:p>
            <w:pPr>
              <w:pStyle w:val="Compact"/>
              <w:jc w:val="right"/>
            </w:pPr>
            <w:r>
              <w:t xml:space="preserve">~9,664</w:t>
            </w:r>
          </w:p>
        </w:tc>
        <w:tc>
          <w:p>
            <w:pPr>
              <w:pStyle w:val="Compact"/>
              <w:jc w:val="right"/>
            </w:pPr>
            <w:r>
              <w:t xml:space="preserve">11,647</w:t>
            </w:r>
          </w:p>
        </w:tc>
        <w:tc>
          <w:p>
            <w:pPr>
              <w:pStyle w:val="Compact"/>
              <w:jc w:val="right"/>
            </w:pPr>
            <w:r>
              <w:t xml:space="preserve">~13,337</w:t>
            </w:r>
          </w:p>
        </w:tc>
        <w:tc>
          <w:p>
            <w:pPr>
              <w:pStyle w:val="Compact"/>
              <w:jc w:val="right"/>
            </w:pPr>
            <w:r>
              <w:t xml:space="preserve">~15,092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p>
            <w:pPr>
              <w:pStyle w:val="Compact"/>
              <w:jc w:val="right"/>
            </w:pPr>
            <w:r>
              <w:t xml:space="preserve">~24%</w:t>
            </w:r>
          </w:p>
        </w:tc>
        <w:tc>
          <w:p>
            <w:pPr>
              <w:pStyle w:val="Compact"/>
              <w:jc w:val="right"/>
            </w:pPr>
            <w:r>
              <w:t xml:space="preserve">~25%</w:t>
            </w:r>
          </w:p>
        </w:tc>
        <w:tc>
          <w:p>
            <w:pPr>
              <w:pStyle w:val="Compact"/>
              <w:jc w:val="right"/>
            </w:pPr>
            <w:r>
              <w:t xml:space="preserve">26.5%</w:t>
            </w:r>
          </w:p>
        </w:tc>
        <w:tc>
          <w:p>
            <w:pPr>
              <w:pStyle w:val="Compact"/>
              <w:jc w:val="right"/>
            </w:pPr>
            <w:r>
              <w:t xml:space="preserve">~27.5%</w:t>
            </w:r>
          </w:p>
        </w:tc>
        <w:tc>
          <w:p>
            <w:pPr>
              <w:pStyle w:val="Compact"/>
              <w:jc w:val="right"/>
            </w:pPr>
            <w:r>
              <w:t xml:space="preserve">~29%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profit</w:t>
            </w:r>
          </w:p>
        </w:tc>
        <w:tc>
          <w:p>
            <w:pPr>
              <w:pStyle w:val="Compact"/>
              <w:jc w:val="right"/>
            </w:pPr>
            <w:r>
              <w:t xml:space="preserve">2,904</w:t>
            </w:r>
          </w:p>
        </w:tc>
        <w:tc>
          <w:p>
            <w:pPr>
              <w:pStyle w:val="Compact"/>
              <w:jc w:val="right"/>
            </w:pPr>
            <w:r>
              <w:t xml:space="preserve">3,273</w:t>
            </w:r>
          </w:p>
        </w:tc>
        <w:tc>
          <w:p>
            <w:pPr>
              <w:pStyle w:val="Compact"/>
              <w:jc w:val="right"/>
            </w:pPr>
            <w:r>
              <w:t xml:space="preserve">8,474</w:t>
            </w:r>
          </w:p>
        </w:tc>
        <w:tc>
          <w:p>
            <w:pPr>
              <w:pStyle w:val="Compact"/>
              <w:jc w:val="right"/>
            </w:pPr>
            <w:r>
              <w:t xml:space="preserve">9,576</w:t>
            </w:r>
          </w:p>
        </w:tc>
        <w:tc>
          <w:p>
            <w:pPr>
              <w:pStyle w:val="Compact"/>
              <w:jc w:val="right"/>
            </w:pPr>
            <w:r>
              <w:t xml:space="preserve">10,929</w:t>
            </w:r>
          </w:p>
        </w:tc>
      </w:tr>
    </w:tbl>
    <w:p>
      <w:pPr>
        <w:pStyle w:val="BodyText"/>
      </w:pPr>
      <w:r>
        <w:t xml:space="preserve">Revenue compounded ~11.6%. EBITDA margin expanded ~500 bps as specialty scaled. FY21–FY22 net profit was depressed by exceptional items (incl. a large US antitrust settlement); FY23 onward reflects normalised earnings — net profit ~3.8x from FY21 to FY25.</w:t>
      </w:r>
    </w:p>
    <w:p>
      <w:pPr>
        <w:pStyle w:val="Heading2"/>
      </w:pPr>
      <w:bookmarkStart w:id="24" w:name="organon-five-year-financials"/>
      <w:r>
        <w:t xml:space="preserve">6.3 Organon — five-year financials</w:t>
      </w:r>
      <w:bookmarkEnd w:id="24"/>
    </w:p>
    <w:p>
      <w:pPr>
        <w:pStyle w:val="CaptionedFigure"/>
      </w:pPr>
      <w:r>
        <w:drawing>
          <wp:inline>
            <wp:extent cx="5486400" cy="2913320"/>
            <wp:effectExtent b="0" l="0" r="0" t="0"/>
            <wp:docPr descr="Organon revenue and adjusted EBITDA margin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6_fig2_organon_tre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3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Organon revenue and adjusted EBITDA margin</w:t>
      </w:r>
    </w:p>
    <w:tbl>
      <w:tblPr>
        <w:tblStyle w:val="Table"/>
        <w:tblW w:type="pct" w:w="5000"/>
        <w:tblLayout w:type="fixed"/>
        <w:tblLook w:firstRow="1"/>
      </w:tblPr>
      <w:tblGrid>
        <w:gridCol w:w="2374"/>
        <w:gridCol w:w="1397"/>
        <w:gridCol w:w="1397"/>
        <w:gridCol w:w="1397"/>
        <w:gridCol w:w="1397"/>
        <w:gridCol w:w="13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US$ 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p>
            <w:pPr>
              <w:pStyle w:val="Compact"/>
              <w:jc w:val="right"/>
            </w:pPr>
            <w:r>
              <w:t xml:space="preserve">6,304</w:t>
            </w:r>
          </w:p>
        </w:tc>
        <w:tc>
          <w:p>
            <w:pPr>
              <w:pStyle w:val="Compact"/>
              <w:jc w:val="right"/>
            </w:pPr>
            <w:r>
              <w:t xml:space="preserve">6,174</w:t>
            </w:r>
          </w:p>
        </w:tc>
        <w:tc>
          <w:p>
            <w:pPr>
              <w:pStyle w:val="Compact"/>
              <w:jc w:val="right"/>
            </w:pPr>
            <w:r>
              <w:t xml:space="preserve">6,263</w:t>
            </w:r>
          </w:p>
        </w:tc>
        <w:tc>
          <w:p>
            <w:pPr>
              <w:pStyle w:val="Compact"/>
              <w:jc w:val="right"/>
            </w:pPr>
            <w:r>
              <w:t xml:space="preserve">6,403</w:t>
            </w:r>
          </w:p>
        </w:tc>
        <w:tc>
          <w:p>
            <w:pPr>
              <w:pStyle w:val="Compact"/>
              <w:jc w:val="right"/>
            </w:pPr>
            <w:r>
              <w:t xml:space="preserve">6,216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Adj. EBITDA</w:t>
            </w:r>
          </w:p>
        </w:tc>
        <w:tc>
          <w:p>
            <w:pPr>
              <w:pStyle w:val="Compact"/>
              <w:jc w:val="right"/>
            </w:pPr>
            <w:r>
              <w:t xml:space="preserve">~2,270</w:t>
            </w:r>
          </w:p>
        </w:tc>
        <w:tc>
          <w:p>
            <w:pPr>
              <w:pStyle w:val="Compact"/>
              <w:jc w:val="right"/>
            </w:pPr>
            <w:r>
              <w:t xml:space="preserve">~2,100</w:t>
            </w:r>
          </w:p>
        </w:tc>
        <w:tc>
          <w:p>
            <w:pPr>
              <w:pStyle w:val="Compact"/>
              <w:jc w:val="right"/>
            </w:pPr>
            <w:r>
              <w:t xml:space="preserve">~1,900</w:t>
            </w:r>
          </w:p>
        </w:tc>
        <w:tc>
          <w:p>
            <w:pPr>
              <w:pStyle w:val="Compact"/>
              <w:jc w:val="right"/>
            </w:pPr>
            <w:r>
              <w:t xml:space="preserve">1,960</w:t>
            </w:r>
          </w:p>
        </w:tc>
        <w:tc>
          <w:p>
            <w:pPr>
              <w:pStyle w:val="Compact"/>
              <w:jc w:val="right"/>
            </w:pPr>
            <w:r>
              <w:t xml:space="preserve">1,910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Adj. EBITDA margin</w:t>
            </w:r>
          </w:p>
        </w:tc>
        <w:tc>
          <w:p>
            <w:pPr>
              <w:pStyle w:val="Compact"/>
              <w:jc w:val="right"/>
            </w:pPr>
            <w:r>
              <w:t xml:space="preserve">~36%</w:t>
            </w:r>
          </w:p>
        </w:tc>
        <w:tc>
          <w:p>
            <w:pPr>
              <w:pStyle w:val="Compact"/>
              <w:jc w:val="right"/>
            </w:pPr>
            <w:r>
              <w:t xml:space="preserve">~34%</w:t>
            </w:r>
          </w:p>
        </w:tc>
        <w:tc>
          <w:p>
            <w:pPr>
              <w:pStyle w:val="Compact"/>
              <w:jc w:val="right"/>
            </w:pPr>
            <w:r>
              <w:t xml:space="preserve">31.0%</w:t>
            </w:r>
          </w:p>
        </w:tc>
        <w:tc>
          <w:p>
            <w:pPr>
              <w:pStyle w:val="Compact"/>
              <w:jc w:val="right"/>
            </w:pPr>
            <w:r>
              <w:t xml:space="preserve">30.6%</w:t>
            </w:r>
          </w:p>
        </w:tc>
        <w:tc>
          <w:p>
            <w:pPr>
              <w:pStyle w:val="Compact"/>
              <w:jc w:val="right"/>
            </w:pPr>
            <w:r>
              <w:t xml:space="preserve">30.7%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GAAP net income</w:t>
            </w:r>
          </w:p>
        </w:tc>
        <w:tc>
          <w:p>
            <w:pPr>
              <w:pStyle w:val="Compact"/>
              <w:jc w:val="right"/>
            </w:pPr>
            <w:r>
              <w:t xml:space="preserve">n/a*</w:t>
            </w:r>
          </w:p>
        </w:tc>
        <w:tc>
          <w:p>
            <w:pPr>
              <w:pStyle w:val="Compact"/>
              <w:jc w:val="right"/>
            </w:pPr>
            <w:r>
              <w:t xml:space="preserve">n/a*</w:t>
            </w:r>
          </w:p>
        </w:tc>
        <w:tc>
          <w:p>
            <w:pPr>
              <w:pStyle w:val="Compact"/>
              <w:jc w:val="right"/>
            </w:pPr>
            <w:r>
              <w:t xml:space="preserve">1,027</w:t>
            </w:r>
          </w:p>
        </w:tc>
        <w:tc>
          <w:p>
            <w:pPr>
              <w:pStyle w:val="Compact"/>
              <w:jc w:val="right"/>
            </w:pPr>
            <w:r>
              <w:t xml:space="preserve">864</w:t>
            </w:r>
          </w:p>
        </w:tc>
        <w:tc>
          <w:p>
            <w:pPr>
              <w:pStyle w:val="Compact"/>
              <w:jc w:val="right"/>
            </w:pPr>
            <w:r>
              <w:t xml:space="preserve">187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FCF before one-time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875</w:t>
            </w:r>
          </w:p>
        </w:tc>
        <w:tc>
          <w:p>
            <w:pPr>
              <w:pStyle w:val="Compact"/>
              <w:jc w:val="right"/>
            </w:pPr>
            <w:r>
              <w:t xml:space="preserve">&gt;1,000</w:t>
            </w:r>
          </w:p>
        </w:tc>
        <w:tc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p>
            <w:pPr>
              <w:pStyle w:val="Compact"/>
              <w:jc w:val="right"/>
            </w:pPr>
            <w:r>
              <w:t xml:space="preserve">&gt;900</w:t>
            </w:r>
          </w:p>
        </w:tc>
      </w:tr>
    </w:tbl>
    <w:p>
      <w:pPr>
        <w:pStyle w:val="BodyText"/>
      </w:pPr>
      <w:r>
        <w:t xml:space="preserve">Revenue has been flat within a $6.2–6.4bn band for five years — the definition of a mature, ex-growth base. Margin held at ~31%. The 2025 GAAP net-income collapse to $187m reflects charges/impairments, not an operating cliff; adjusted net income was ~$954m ($3.66/sh). Cash conversion is the strength: ~$0.9–1.0bn of FCF before one-time costs, year after year — the engine that services the debt.</w:t>
      </w:r>
    </w:p>
    <w:p>
      <w:pPr>
        <w:pStyle w:val="Heading2"/>
      </w:pPr>
      <w:bookmarkStart w:id="26" w:name="balance-sheet-and-leverage"/>
      <w:r>
        <w:t xml:space="preserve">6.4 Balance sheet and leverage</w:t>
      </w:r>
      <w:bookmarkEnd w:id="26"/>
    </w:p>
    <w:p>
      <w:pPr>
        <w:pStyle w:val="CaptionedFigure"/>
      </w:pPr>
      <w:r>
        <w:drawing>
          <wp:inline>
            <wp:extent cx="5486400" cy="2934586"/>
            <wp:effectExtent b="0" l="0" r="0" t="0"/>
            <wp:docPr descr="Organon gross debt vs cash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6_fig3_organon_deb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Organon gross debt vs cash</w:t>
      </w:r>
    </w:p>
    <w:p>
      <w:pPr>
        <w:pStyle w:val="BodyText"/>
      </w:pPr>
      <w:r>
        <w:t xml:space="preserve">Organon has carried ~$8.6–9.1bn of gross debt since the 2021 spin, against &lt;$0.75bn of cash — net debt ~$8.1–8.4bn throughout, i.e. ~4.2x net debt/adj. EBITDA. Deleveraging has been slow because FCF has partly funded the (since-cut) dividend. Sun, by contrast, sits on ~$3.1bn net cash (roughly −1.7x). The deal fuses the two balance sheets: Sun’s capacity absorbs Organon’s leverage, landing the combined group at ~2.3x.</w:t>
      </w:r>
    </w:p>
    <w:p>
      <w:pPr>
        <w:pStyle w:val="Heading2"/>
      </w:pPr>
      <w:bookmarkStart w:id="28" w:name="cash-flow-and-capital-intensity"/>
      <w:r>
        <w:t xml:space="preserve">6.5 Cash flow and capital intensity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Organon.</w:t>
      </w:r>
      <w:r>
        <w:t xml:space="preserve"> </w:t>
      </w:r>
      <w:r>
        <w:t xml:space="preserve">Low capex (mature portfolio), high FCF conversion (~$0.9–1.0bn/yr before one-offs). This is the deleveraging fuel.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Sun Pharma.</w:t>
      </w:r>
      <w:r>
        <w:t xml:space="preserve"> </w:t>
      </w:r>
      <w:r>
        <w:t xml:space="preserve">Higher reinvestment (R&amp;D ~7–8% of sales, specialty and biosimilar pipeline), still strongly FCF-positive, funding the net-cash build.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Working capital.</w:t>
      </w:r>
      <w:r>
        <w:t xml:space="preserve"> </w:t>
      </w:r>
      <w:r>
        <w:t xml:space="preserve">Both carry pharma-typical inventory/receivables; no unusual swings disclosed. The Nexplanon channel-stuffing finding (Chapter 3) is a receivables/revenue-timing red flag to test in diligence.</w:t>
      </w:r>
    </w:p>
    <w:p>
      <w:pPr>
        <w:pStyle w:val="Heading2"/>
      </w:pPr>
      <w:bookmarkStart w:id="29" w:name="comparative-ratio-dashboard-fy2025"/>
      <w:r>
        <w:t xml:space="preserve">6.6 Comparative ratio dashboard (FY2025)</w:t>
      </w:r>
      <w:bookmarkEnd w:id="29"/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Sun Pharma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Organon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growth (YoY)</w:t>
            </w:r>
          </w:p>
        </w:tc>
        <w:tc>
          <w:p>
            <w:pPr>
              <w:pStyle w:val="Compact"/>
              <w:jc w:val="right"/>
            </w:pPr>
            <w:r>
              <w:t xml:space="preserve">+9%</w:t>
            </w:r>
          </w:p>
        </w:tc>
        <w:tc>
          <w:p>
            <w:pPr>
              <w:pStyle w:val="Compact"/>
              <w:jc w:val="right"/>
            </w:pPr>
            <w:r>
              <w:t xml:space="preserve">(3%)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EBITDA margin</w:t>
            </w:r>
          </w:p>
        </w:tc>
        <w:tc>
          <w:p>
            <w:pPr>
              <w:pStyle w:val="Compact"/>
              <w:jc w:val="right"/>
            </w:pPr>
            <w:r>
              <w:t xml:space="preserve">~29%</w:t>
            </w:r>
          </w:p>
        </w:tc>
        <w:tc>
          <w:p>
            <w:pPr>
              <w:pStyle w:val="Compact"/>
              <w:jc w:val="right"/>
            </w:pPr>
            <w:r>
              <w:t xml:space="preserve">30.7%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margin (GAAP)</w:t>
            </w:r>
          </w:p>
        </w:tc>
        <w:tc>
          <w:p>
            <w:pPr>
              <w:pStyle w:val="Compact"/>
              <w:jc w:val="right"/>
            </w:pPr>
            <w:r>
              <w:t xml:space="preserve">~21%</w:t>
            </w:r>
          </w:p>
        </w:tc>
        <w:tc>
          <w:p>
            <w:pPr>
              <w:pStyle w:val="Compact"/>
              <w:jc w:val="right"/>
            </w:pPr>
            <w:r>
              <w:t xml:space="preserve">3.0%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margin (adjusted)</w:t>
            </w:r>
          </w:p>
        </w:tc>
        <w:tc>
          <w:p>
            <w:pPr>
              <w:pStyle w:val="Compact"/>
              <w:jc w:val="right"/>
            </w:pPr>
            <w:r>
              <w:t xml:space="preserve">~21%</w:t>
            </w:r>
          </w:p>
        </w:tc>
        <w:tc>
          <w:p>
            <w:pPr>
              <w:pStyle w:val="Compact"/>
              <w:jc w:val="right"/>
            </w:pPr>
            <w:r>
              <w:t xml:space="preserve">~15%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debt / EBITDA</w:t>
            </w:r>
          </w:p>
        </w:tc>
        <w:tc>
          <w:p>
            <w:pPr>
              <w:pStyle w:val="Compact"/>
              <w:jc w:val="right"/>
            </w:pPr>
            <w:r>
              <w:t xml:space="preserve">~(1.7x) net cash</w:t>
            </w:r>
          </w:p>
        </w:tc>
        <w:tc>
          <w:p>
            <w:pPr>
              <w:pStyle w:val="Compact"/>
              <w:jc w:val="right"/>
            </w:pPr>
            <w:r>
              <w:t xml:space="preserve">~4.2x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ROE (est.)</w:t>
            </w:r>
          </w:p>
        </w:tc>
        <w:tc>
          <w:p>
            <w:pPr>
              <w:pStyle w:val="Compact"/>
              <w:jc w:val="right"/>
            </w:pPr>
            <w:r>
              <w:t xml:space="preserve">~15%</w:t>
            </w:r>
          </w:p>
        </w:tc>
        <w:tc>
          <w:p>
            <w:pPr>
              <w:pStyle w:val="Compact"/>
              <w:jc w:val="right"/>
            </w:pPr>
            <w:r>
              <w:t xml:space="preserve">distorted (low equity)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ROIC (est.)</w:t>
            </w:r>
          </w:p>
        </w:tc>
        <w:tc>
          <w:p>
            <w:pPr>
              <w:pStyle w:val="Compact"/>
              <w:jc w:val="right"/>
            </w:pPr>
            <w:r>
              <w:t xml:space="preserve">~15%+</w:t>
            </w:r>
          </w:p>
        </w:tc>
        <w:tc>
          <w:p>
            <w:pPr>
              <w:pStyle w:val="Compact"/>
              <w:jc w:val="right"/>
            </w:pPr>
            <w:r>
              <w:t xml:space="preserve">~9–10%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FCF (before one-time)</w:t>
            </w:r>
          </w:p>
        </w:tc>
        <w:tc>
          <w:p>
            <w:pPr>
              <w:pStyle w:val="Compact"/>
              <w:jc w:val="right"/>
            </w:pPr>
            <w:r>
              <w:t xml:space="preserve">strongly positive</w:t>
            </w:r>
          </w:p>
        </w:tc>
        <w:tc>
          <w:p>
            <w:pPr>
              <w:pStyle w:val="Compact"/>
              <w:jc w:val="right"/>
            </w:pPr>
            <w:r>
              <w:t xml:space="preserve">~$0.9–1.0bn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Capex intensity</w:t>
            </w:r>
          </w:p>
        </w:tc>
        <w:tc>
          <w:p>
            <w:pPr>
              <w:pStyle w:val="Compact"/>
              <w:jc w:val="right"/>
            </w:pPr>
            <w:r>
              <w:t xml:space="preserve">moderate (pipeline)</w:t>
            </w:r>
          </w:p>
        </w:tc>
        <w:tc>
          <w:p>
            <w:pPr>
              <w:pStyle w:val="Compact"/>
              <w:jc w:val="right"/>
            </w:pPr>
            <w:r>
              <w:t xml:space="preserve">low (mature)</w:t>
            </w:r>
          </w:p>
        </w:tc>
      </w:tr>
    </w:tbl>
    <w:p>
      <w:pPr>
        <w:pStyle w:val="BodyText"/>
      </w:pPr>
      <w:r>
        <w:t xml:space="preserve">Positive figures are the norm for Sun; Organon’s headline weakness is leverage and the GAAP net-margin optics, not operating cash generation.</w:t>
      </w:r>
    </w:p>
    <w:p>
      <w:pPr>
        <w:pStyle w:val="Heading2"/>
      </w:pPr>
      <w:bookmarkStart w:id="30" w:name="conclusion"/>
      <w:r>
        <w:t xml:space="preserve">6.7 Conclusion</w:t>
      </w:r>
      <w:bookmarkEnd w:id="30"/>
    </w:p>
    <w:p>
      <w:pPr>
        <w:pStyle w:val="FirstParagraph"/>
      </w:pPr>
      <w:r>
        <w:t xml:space="preserve">The financials frame the deal precisely. Organon offers a stable ~31% margin and ~$0.9–1.0bn of annual FCF — enough to service and amortise the acquisition debt — but no growth and a heavy balance sheet. Sun offers growth, margin momentum and the balance-sheet capacity to carry the leverage. The combination works if Organon’s FCF holds while Sun deleverages; it fails if established-brands decline (or the Nexplanon issue) erodes that FCF faster than modelled. Chapter 7 values the target on this base; Chapter 8 tests the combined leverage and accretion.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assumptions-sources"/>
      <w:r>
        <w:t xml:space="preserve">Assumptions &amp; sources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*Organon GAAP net income for 2021–2022 not shown (to be confirmed from 10-K); 2023–2025 are reported ($1,027m / $864m / $187m). Adjusted net income 2024/2025 = $1,065m / $954m.</w:t>
      </w:r>
    </w:p>
    <w:p>
      <w:pPr>
        <w:numPr>
          <w:ilvl w:val="0"/>
          <w:numId w:val="1003"/>
        </w:numPr>
        <w:pStyle w:val="Compact"/>
      </w:pPr>
      <w:r>
        <w:t xml:space="preserve">Sun Pharma EBITDA for FY21/FY22/FY24 is approximated from revenue × estimated margin; FY23 EBITDA (₹11,647cr, 26.5%) and FY25 EBITDA (~₹15,300cr) are reported. Revenue series is reported consolidated revenue from operations (approx.); tie to annual reports.</w:t>
      </w:r>
    </w:p>
    <w:p>
      <w:pPr>
        <w:numPr>
          <w:ilvl w:val="0"/>
          <w:numId w:val="1003"/>
        </w:numPr>
        <w:pStyle w:val="Compact"/>
      </w:pPr>
      <w:r>
        <w:t xml:space="preserve">Organon adj. EBITDA 2021–2022 (~$2.27bn / ~$2.10bn) estimated; 2023–2025 reported ($1.9bn / $1.96bn / $1.91bn).</w:t>
      </w:r>
    </w:p>
    <w:p>
      <w:pPr>
        <w:numPr>
          <w:ilvl w:val="0"/>
          <w:numId w:val="1003"/>
        </w:numPr>
        <w:pStyle w:val="Compact"/>
      </w:pPr>
      <w:r>
        <w:t xml:space="preserve">Organon debt/cash per 10-K/earnings: gross debt $9.13bn (2021) → $8.64bn (2025); cash $0.74bn → $0.57bn.</w:t>
      </w:r>
    </w:p>
    <w:p>
      <w:pPr>
        <w:numPr>
          <w:ilvl w:val="0"/>
          <w:numId w:val="1003"/>
        </w:numPr>
        <w:pStyle w:val="Compact"/>
      </w:pPr>
      <w:r>
        <w:t xml:space="preserve">ROE/ROIC are illustrative estimates pending full balance-sheet build in the model.</w:t>
      </w:r>
    </w:p>
    <w:p>
      <w:pPr>
        <w:numPr>
          <w:ilvl w:val="0"/>
          <w:numId w:val="1003"/>
        </w:numPr>
        <w:pStyle w:val="Compact"/>
      </w:pPr>
      <w:r>
        <w:t xml:space="preserve">FX ~₹85.5/USD (FY25).</w:t>
      </w:r>
    </w:p>
    <w:p>
      <w:pPr>
        <w:pStyle w:val="FirstParagraph"/>
      </w:pPr>
      <w:r>
        <w:rPr>
          <w:i/>
        </w:rPr>
        <w:t xml:space="preserve">Sources: Sun Pharma FY21–FY25 results and annual reports; Organon Q4/FY 2021–2025 earnings releases and 10-K; Macrotrends/StockAnalysis for cross-checks. Full sourcing in</w:t>
      </w:r>
      <w:r>
        <w:rPr>
          <w:i/>
        </w:rPr>
        <w:t xml:space="preserve"> </w:t>
      </w:r>
      <w:r>
        <w:rPr>
          <w:rStyle w:val="VerbatimChar"/>
          <w:i/>
        </w:rPr>
        <w:t xml:space="preserve">05_Data/DATA_SOURCES.docx</w:t>
      </w:r>
      <w:r>
        <w:rPr>
          <w:i/>
        </w:rPr>
        <w:t xml:space="preserve">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eader" Id="rId9" Target="header1.xml" /><Relationship Type="http://schemas.openxmlformats.org/officeDocument/2006/relationships/footer" Id="rId10" Target="footer1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2026-07-27T05:35:44Z</dcterms:created>
  <dcterms:modified xsi:type="dcterms:W3CDTF">2026-07-27T05:35:44Z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