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30.png" ContentType="image/png"/>
  <Override PartName="/word/media/rId25.png" ContentType="image/png"/>
  <Override PartName="/word/media/rId27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valuation"/>
      <w:r>
        <w:t xml:space="preserve">7. Valuation</w:t>
      </w:r>
      <w:bookmarkEnd w:id="20"/>
    </w:p>
    <w:p>
      <w:pPr>
        <w:pStyle w:val="FirstParagraph"/>
      </w:pPr>
      <w:r>
        <w:t xml:space="preserve">Three methods triangulate Organon’s standalone value. Base-case DCF: enterprise value ~$12.4bn, equity ~$16.5/share. Trading comps (6.0–7.5x EV/EBITDA): ~$11.5–14.3bn. Precedent transactions (7.0–9.0x): ~$13.4–17.2bn. The $14.00 offer sits at the low end of DCF and comps and well below precedents. Read: the price is fair-to-cheap for Sun and defensible-but-not-generous for Organon holders, consistent with a levered asset in secular decline.</w:t>
      </w:r>
    </w:p>
    <w:p>
      <w:pPr>
        <w:pStyle w:val="Heading2"/>
      </w:pPr>
      <w:bookmarkStart w:id="21" w:name="dcf-assumptions"/>
      <w:r>
        <w:t xml:space="preserve">7.1 DCF — assumptions</w:t>
      </w:r>
      <w:bookmarkEnd w:id="21"/>
    </w:p>
    <w:p>
      <w:pPr>
        <w:pStyle w:val="FirstParagraph"/>
      </w:pPr>
      <w:r>
        <w:t xml:space="preserve">Standalone, unlevered, five-year explicit forecast (2026–2030) plus terminal value. Analyst assumptions, flagged; anchored on FY2025 actuals.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Revenue.</w:t>
      </w:r>
      <w:r>
        <w:t xml:space="preserve"> </w:t>
      </w:r>
      <w:r>
        <w:t xml:space="preserve">−2%, −1%, 0%, +1%, +1% — established-brands decline moderating as Women’s Health and Biosimilars mix up. Net ~flat, in line with the five-year history.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EBITDA margin.</w:t>
      </w:r>
      <w:r>
        <w:t xml:space="preserve"> </w:t>
      </w:r>
      <w:r>
        <w:t xml:space="preserve">30% (vs 30.7% FY25) — slight erosion for pricing pressure.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D&amp;A</w:t>
      </w:r>
      <w:r>
        <w:t xml:space="preserve"> </w:t>
      </w:r>
      <w:r>
        <w:t xml:space="preserve">$300m;</w:t>
      </w:r>
      <w:r>
        <w:t xml:space="preserve"> </w:t>
      </w:r>
      <w:r>
        <w:rPr>
          <w:b/>
        </w:rPr>
        <w:t xml:space="preserve">capex</w:t>
      </w:r>
      <w:r>
        <w:t xml:space="preserve"> </w:t>
      </w:r>
      <w:r>
        <w:t xml:space="preserve">$160m (~2.5% of revenue, mature base);</w:t>
      </w:r>
      <w:r>
        <w:t xml:space="preserve"> </w:t>
      </w:r>
      <w:r>
        <w:rPr>
          <w:b/>
        </w:rPr>
        <w:t xml:space="preserve">ΔNWC</w:t>
      </w:r>
      <w:r>
        <w:t xml:space="preserve"> </w:t>
      </w:r>
      <w:r>
        <w:t xml:space="preserve">$40m outflow;</w:t>
      </w:r>
      <w:r>
        <w:t xml:space="preserve"> </w:t>
      </w:r>
      <w:r>
        <w:rPr>
          <w:b/>
        </w:rPr>
        <w:t xml:space="preserve">tax</w:t>
      </w:r>
      <w:r>
        <w:t xml:space="preserve"> </w:t>
      </w:r>
      <w:r>
        <w:t xml:space="preserve">19% (Organon’s low effective rate).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Terminal value.</w:t>
      </w:r>
      <w:r>
        <w:t xml:space="preserve"> </w:t>
      </w:r>
      <w:r>
        <w:t xml:space="preserve">Exit 6.0x EV/EBITDA base (a declining-brands multiple), cross-checked vs Gordon growth. Exit multiple preferred over perpetuity growth for an ex-growth asset.</w:t>
      </w:r>
    </w:p>
    <w:p>
      <w:pPr>
        <w:pStyle w:val="Heading2"/>
      </w:pPr>
      <w:bookmarkStart w:id="22" w:name="wacc-build"/>
      <w:r>
        <w:t xml:space="preserve">7.2 WACC build</w:t>
      </w:r>
      <w:bookmarkEnd w:id="22"/>
    </w:p>
    <w:tbl>
      <w:tblPr>
        <w:tblStyle w:val="Table"/>
        <w:tblW w:type="pct" w:w="5000"/>
        <w:tblLayout w:type="fixed"/>
        <w:tblLook w:firstRow="1"/>
      </w:tblPr>
      <w:tblGrid>
        <w:gridCol w:w="5893"/>
        <w:gridCol w:w="3467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Risk-free rate (US 10-yr)</w:t>
            </w:r>
          </w:p>
        </w:tc>
        <w:tc>
          <w:p>
            <w:pPr>
              <w:pStyle w:val="Compact"/>
              <w:jc w:val="right"/>
            </w:pPr>
            <w:r>
              <w:t xml:space="preserve">4.5%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Equity risk premium</w:t>
            </w:r>
          </w:p>
        </w:tc>
        <w:tc>
          <w:p>
            <w:pPr>
              <w:pStyle w:val="Compact"/>
              <w:jc w:val="right"/>
            </w:pPr>
            <w:r>
              <w:t xml:space="preserve">5.5%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Beta (levered)</w:t>
            </w:r>
          </w:p>
        </w:tc>
        <w:tc>
          <w:p>
            <w:pPr>
              <w:pStyle w:val="Compact"/>
              <w:jc w:val="right"/>
            </w:pPr>
            <w:r>
              <w:t xml:space="preserve">1.05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Cost of equity (CAPM)</w:t>
            </w:r>
          </w:p>
        </w:tc>
        <w:tc>
          <w:p>
            <w:pPr>
              <w:pStyle w:val="Compact"/>
              <w:jc w:val="right"/>
            </w:pPr>
            <w:r>
              <w:t xml:space="preserve">10.3%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Pre-tax cost of debt</w:t>
            </w:r>
          </w:p>
        </w:tc>
        <w:tc>
          <w:p>
            <w:pPr>
              <w:pStyle w:val="Compact"/>
              <w:jc w:val="right"/>
            </w:pPr>
            <w:r>
              <w:t xml:space="preserve">7.0%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After-tax cost of debt (19%)</w:t>
            </w:r>
          </w:p>
        </w:tc>
        <w:tc>
          <w:p>
            <w:pPr>
              <w:pStyle w:val="Compact"/>
              <w:jc w:val="right"/>
            </w:pPr>
            <w:r>
              <w:t xml:space="preserve">5.7%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Target weights (E / D)</w:t>
            </w:r>
          </w:p>
        </w:tc>
        <w:tc>
          <w:p>
            <w:pPr>
              <w:pStyle w:val="Compact"/>
              <w:jc w:val="right"/>
            </w:pPr>
            <w:r>
              <w:t xml:space="preserve">65% / 35%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WACC (CAPM)</w:t>
            </w:r>
          </w:p>
        </w:tc>
        <w:tc>
          <w:p>
            <w:pPr>
              <w:pStyle w:val="Compact"/>
              <w:jc w:val="right"/>
            </w:pPr>
            <w:r>
              <w:t xml:space="preserve">~8.7%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(+) company-specific premium (decline / governance)</w:t>
            </w:r>
          </w:p>
        </w:tc>
        <w:tc>
          <w:p>
            <w:pPr>
              <w:pStyle w:val="Compact"/>
              <w:jc w:val="right"/>
            </w:pPr>
            <w:r>
              <w:t xml:space="preserve">~0.3%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WACC — base case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~9.0%</w:t>
            </w:r>
          </w:p>
        </w:tc>
      </w:tr>
    </w:tbl>
    <w:p>
      <w:pPr>
        <w:pStyle w:val="Heading2"/>
      </w:pPr>
      <w:bookmarkStart w:id="23" w:name="dcf-output"/>
      <w:r>
        <w:t xml:space="preserve">7.3 DCF — output</w:t>
      </w:r>
      <w:bookmarkEnd w:id="23"/>
    </w:p>
    <w:tbl>
      <w:tblPr>
        <w:tblStyle w:val="Table"/>
        <w:tblW w:type="pct" w:w="5000"/>
        <w:tblLayout w:type="fixed"/>
        <w:tblLook w:firstRow="1"/>
      </w:tblPr>
      <w:tblGrid>
        <w:gridCol w:w="2374"/>
        <w:gridCol w:w="1397"/>
        <w:gridCol w:w="1397"/>
        <w:gridCol w:w="1397"/>
        <w:gridCol w:w="1397"/>
        <w:gridCol w:w="139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US$ 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2026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2027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2028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2029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2030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Revenue</w:t>
            </w:r>
          </w:p>
        </w:tc>
        <w:tc>
          <w:p>
            <w:pPr>
              <w:pStyle w:val="Compact"/>
              <w:jc w:val="right"/>
            </w:pPr>
            <w:r>
              <w:t xml:space="preserve">6,092</w:t>
            </w:r>
          </w:p>
        </w:tc>
        <w:tc>
          <w:p>
            <w:pPr>
              <w:pStyle w:val="Compact"/>
              <w:jc w:val="right"/>
            </w:pPr>
            <w:r>
              <w:t xml:space="preserve">6,031</w:t>
            </w:r>
          </w:p>
        </w:tc>
        <w:tc>
          <w:p>
            <w:pPr>
              <w:pStyle w:val="Compact"/>
              <w:jc w:val="right"/>
            </w:pPr>
            <w:r>
              <w:t xml:space="preserve">6,031</w:t>
            </w:r>
          </w:p>
        </w:tc>
        <w:tc>
          <w:p>
            <w:pPr>
              <w:pStyle w:val="Compact"/>
              <w:jc w:val="right"/>
            </w:pPr>
            <w:r>
              <w:t xml:space="preserve">6,091</w:t>
            </w:r>
          </w:p>
        </w:tc>
        <w:tc>
          <w:p>
            <w:pPr>
              <w:pStyle w:val="Compact"/>
              <w:jc w:val="right"/>
            </w:pPr>
            <w:r>
              <w:t xml:space="preserve">6,152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EBITDA (30%)</w:t>
            </w:r>
          </w:p>
        </w:tc>
        <w:tc>
          <w:p>
            <w:pPr>
              <w:pStyle w:val="Compact"/>
              <w:jc w:val="right"/>
            </w:pPr>
            <w:r>
              <w:t xml:space="preserve">1,828</w:t>
            </w:r>
          </w:p>
        </w:tc>
        <w:tc>
          <w:p>
            <w:pPr>
              <w:pStyle w:val="Compact"/>
              <w:jc w:val="right"/>
            </w:pPr>
            <w:r>
              <w:t xml:space="preserve">1,809</w:t>
            </w:r>
          </w:p>
        </w:tc>
        <w:tc>
          <w:p>
            <w:pPr>
              <w:pStyle w:val="Compact"/>
              <w:jc w:val="right"/>
            </w:pPr>
            <w:r>
              <w:t xml:space="preserve">1,809</w:t>
            </w:r>
          </w:p>
        </w:tc>
        <w:tc>
          <w:p>
            <w:pPr>
              <w:pStyle w:val="Compact"/>
              <w:jc w:val="right"/>
            </w:pPr>
            <w:r>
              <w:t xml:space="preserve">1,827</w:t>
            </w:r>
          </w:p>
        </w:tc>
        <w:tc>
          <w:p>
            <w:pPr>
              <w:pStyle w:val="Compact"/>
              <w:jc w:val="right"/>
            </w:pPr>
            <w:r>
              <w:t xml:space="preserve">1,846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(−) D&amp;A</w:t>
            </w:r>
          </w:p>
        </w:tc>
        <w:tc>
          <w:p>
            <w:pPr>
              <w:pStyle w:val="Compact"/>
              <w:jc w:val="right"/>
            </w:pPr>
            <w:r>
              <w:t xml:space="preserve">(300)</w:t>
            </w:r>
          </w:p>
        </w:tc>
        <w:tc>
          <w:p>
            <w:pPr>
              <w:pStyle w:val="Compact"/>
              <w:jc w:val="right"/>
            </w:pPr>
            <w:r>
              <w:t xml:space="preserve">(300)</w:t>
            </w:r>
          </w:p>
        </w:tc>
        <w:tc>
          <w:p>
            <w:pPr>
              <w:pStyle w:val="Compact"/>
              <w:jc w:val="right"/>
            </w:pPr>
            <w:r>
              <w:t xml:space="preserve">(300)</w:t>
            </w:r>
          </w:p>
        </w:tc>
        <w:tc>
          <w:p>
            <w:pPr>
              <w:pStyle w:val="Compact"/>
              <w:jc w:val="right"/>
            </w:pPr>
            <w:r>
              <w:t xml:space="preserve">(300)</w:t>
            </w:r>
          </w:p>
        </w:tc>
        <w:tc>
          <w:p>
            <w:pPr>
              <w:pStyle w:val="Compact"/>
              <w:jc w:val="right"/>
            </w:pPr>
            <w:r>
              <w:t xml:space="preserve">(300)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EBIT</w:t>
            </w:r>
          </w:p>
        </w:tc>
        <w:tc>
          <w:p>
            <w:pPr>
              <w:pStyle w:val="Compact"/>
              <w:jc w:val="right"/>
            </w:pPr>
            <w:r>
              <w:t xml:space="preserve">1,528</w:t>
            </w:r>
          </w:p>
        </w:tc>
        <w:tc>
          <w:p>
            <w:pPr>
              <w:pStyle w:val="Compact"/>
              <w:jc w:val="right"/>
            </w:pPr>
            <w:r>
              <w:t xml:space="preserve">1,509</w:t>
            </w:r>
          </w:p>
        </w:tc>
        <w:tc>
          <w:p>
            <w:pPr>
              <w:pStyle w:val="Compact"/>
              <w:jc w:val="right"/>
            </w:pPr>
            <w:r>
              <w:t xml:space="preserve">1,509</w:t>
            </w:r>
          </w:p>
        </w:tc>
        <w:tc>
          <w:p>
            <w:pPr>
              <w:pStyle w:val="Compact"/>
              <w:jc w:val="right"/>
            </w:pPr>
            <w:r>
              <w:t xml:space="preserve">1,527</w:t>
            </w:r>
          </w:p>
        </w:tc>
        <w:tc>
          <w:p>
            <w:pPr>
              <w:pStyle w:val="Compact"/>
              <w:jc w:val="right"/>
            </w:pPr>
            <w:r>
              <w:t xml:space="preserve">1,546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NOPAT (19% tax)</w:t>
            </w:r>
          </w:p>
        </w:tc>
        <w:tc>
          <w:p>
            <w:pPr>
              <w:pStyle w:val="Compact"/>
              <w:jc w:val="right"/>
            </w:pPr>
            <w:r>
              <w:t xml:space="preserve">1,237</w:t>
            </w:r>
          </w:p>
        </w:tc>
        <w:tc>
          <w:p>
            <w:pPr>
              <w:pStyle w:val="Compact"/>
              <w:jc w:val="right"/>
            </w:pPr>
            <w:r>
              <w:t xml:space="preserve">1,222</w:t>
            </w:r>
          </w:p>
        </w:tc>
        <w:tc>
          <w:p>
            <w:pPr>
              <w:pStyle w:val="Compact"/>
              <w:jc w:val="right"/>
            </w:pPr>
            <w:r>
              <w:t xml:space="preserve">1,222</w:t>
            </w:r>
          </w:p>
        </w:tc>
        <w:tc>
          <w:p>
            <w:pPr>
              <w:pStyle w:val="Compact"/>
              <w:jc w:val="right"/>
            </w:pPr>
            <w:r>
              <w:t xml:space="preserve">1,237</w:t>
            </w:r>
          </w:p>
        </w:tc>
        <w:tc>
          <w:p>
            <w:pPr>
              <w:pStyle w:val="Compact"/>
              <w:jc w:val="right"/>
            </w:pPr>
            <w:r>
              <w:t xml:space="preserve">1,252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(+) D&amp;A (−) capex (−) ΔNWC</w:t>
            </w:r>
          </w:p>
        </w:tc>
        <w:tc>
          <w:p>
            <w:pPr>
              <w:pStyle w:val="Compact"/>
              <w:jc w:val="right"/>
            </w:pPr>
            <w:r>
              <w:t xml:space="preserve">+100</w:t>
            </w:r>
          </w:p>
        </w:tc>
        <w:tc>
          <w:p>
            <w:pPr>
              <w:pStyle w:val="Compact"/>
              <w:jc w:val="right"/>
            </w:pPr>
            <w:r>
              <w:t xml:space="preserve">+100</w:t>
            </w:r>
          </w:p>
        </w:tc>
        <w:tc>
          <w:p>
            <w:pPr>
              <w:pStyle w:val="Compact"/>
              <w:jc w:val="right"/>
            </w:pPr>
            <w:r>
              <w:t xml:space="preserve">+100</w:t>
            </w:r>
          </w:p>
        </w:tc>
        <w:tc>
          <w:p>
            <w:pPr>
              <w:pStyle w:val="Compact"/>
              <w:jc w:val="right"/>
            </w:pPr>
            <w:r>
              <w:t xml:space="preserve">+100</w:t>
            </w:r>
          </w:p>
        </w:tc>
        <w:tc>
          <w:p>
            <w:pPr>
              <w:pStyle w:val="Compact"/>
              <w:jc w:val="right"/>
            </w:pPr>
            <w:r>
              <w:t xml:space="preserve">+100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Unlevered FCF</w:t>
            </w:r>
          </w:p>
        </w:tc>
        <w:tc>
          <w:p>
            <w:pPr>
              <w:pStyle w:val="Compact"/>
              <w:jc w:val="right"/>
            </w:pPr>
            <w:r>
              <w:t xml:space="preserve">1,337</w:t>
            </w:r>
          </w:p>
        </w:tc>
        <w:tc>
          <w:p>
            <w:pPr>
              <w:pStyle w:val="Compact"/>
              <w:jc w:val="right"/>
            </w:pPr>
            <w:r>
              <w:t xml:space="preserve">1,322</w:t>
            </w:r>
          </w:p>
        </w:tc>
        <w:tc>
          <w:p>
            <w:pPr>
              <w:pStyle w:val="Compact"/>
              <w:jc w:val="right"/>
            </w:pPr>
            <w:r>
              <w:t xml:space="preserve">1,322</w:t>
            </w:r>
          </w:p>
        </w:tc>
        <w:tc>
          <w:p>
            <w:pPr>
              <w:pStyle w:val="Compact"/>
              <w:jc w:val="right"/>
            </w:pPr>
            <w:r>
              <w:t xml:space="preserve">1,337</w:t>
            </w:r>
          </w:p>
        </w:tc>
        <w:tc>
          <w:p>
            <w:pPr>
              <w:pStyle w:val="Compact"/>
              <w:jc w:val="right"/>
            </w:pPr>
            <w:r>
              <w:t xml:space="preserve">1,352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Discount factor (9%)</w:t>
            </w:r>
          </w:p>
        </w:tc>
        <w:tc>
          <w:p>
            <w:pPr>
              <w:pStyle w:val="Compact"/>
              <w:jc w:val="right"/>
            </w:pPr>
            <w:r>
              <w:t xml:space="preserve">0.917</w:t>
            </w:r>
          </w:p>
        </w:tc>
        <w:tc>
          <w:p>
            <w:pPr>
              <w:pStyle w:val="Compact"/>
              <w:jc w:val="right"/>
            </w:pPr>
            <w:r>
              <w:t xml:space="preserve">0.842</w:t>
            </w:r>
          </w:p>
        </w:tc>
        <w:tc>
          <w:p>
            <w:pPr>
              <w:pStyle w:val="Compact"/>
              <w:jc w:val="right"/>
            </w:pPr>
            <w:r>
              <w:t xml:space="preserve">0.772</w:t>
            </w:r>
          </w:p>
        </w:tc>
        <w:tc>
          <w:p>
            <w:pPr>
              <w:pStyle w:val="Compact"/>
              <w:jc w:val="right"/>
            </w:pPr>
            <w:r>
              <w:t xml:space="preserve">0.708</w:t>
            </w:r>
          </w:p>
        </w:tc>
        <w:tc>
          <w:p>
            <w:pPr>
              <w:pStyle w:val="Compact"/>
              <w:jc w:val="right"/>
            </w:pPr>
            <w:r>
              <w:t xml:space="preserve">0.650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PV of UFCF</w:t>
            </w:r>
          </w:p>
        </w:tc>
        <w:tc>
          <w:p>
            <w:pPr>
              <w:pStyle w:val="Compact"/>
              <w:jc w:val="right"/>
            </w:pPr>
            <w:r>
              <w:t xml:space="preserve">1,227</w:t>
            </w:r>
          </w:p>
        </w:tc>
        <w:tc>
          <w:p>
            <w:pPr>
              <w:pStyle w:val="Compact"/>
              <w:jc w:val="right"/>
            </w:pPr>
            <w:r>
              <w:t xml:space="preserve">1,113</w:t>
            </w:r>
          </w:p>
        </w:tc>
        <w:tc>
          <w:p>
            <w:pPr>
              <w:pStyle w:val="Compact"/>
              <w:jc w:val="right"/>
            </w:pPr>
            <w:r>
              <w:t xml:space="preserve">1,021</w:t>
            </w:r>
          </w:p>
        </w:tc>
        <w:tc>
          <w:p>
            <w:pPr>
              <w:pStyle w:val="Compact"/>
              <w:jc w:val="right"/>
            </w:pPr>
            <w:r>
              <w:t xml:space="preserve">947</w:t>
            </w:r>
          </w:p>
        </w:tc>
        <w:tc>
          <w:p>
            <w:pPr>
              <w:pStyle w:val="Compact"/>
              <w:jc w:val="right"/>
            </w:pPr>
            <w:r>
              <w:t xml:space="preserve">879</w:t>
            </w:r>
          </w:p>
        </w:tc>
      </w:tr>
    </w:tbl>
    <w:tbl>
      <w:tblPr>
        <w:tblStyle w:val="Table"/>
        <w:tblW w:type="pct" w:w="5000"/>
        <w:tblLayout w:type="fixed"/>
        <w:tblLook w:firstRow="1"/>
      </w:tblPr>
      <w:tblGrid>
        <w:gridCol w:w="5893"/>
        <w:gridCol w:w="3467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DCF summary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US$ 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Sum PV of UFCF (2026–30)</w:t>
            </w:r>
          </w:p>
        </w:tc>
        <w:tc>
          <w:p>
            <w:pPr>
              <w:pStyle w:val="Compact"/>
              <w:jc w:val="right"/>
            </w:pPr>
            <w:r>
              <w:t xml:space="preserve">5,187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Terminal value (6.0x EBITDA 2030)</w:t>
            </w:r>
          </w:p>
        </w:tc>
        <w:tc>
          <w:p>
            <w:pPr>
              <w:pStyle w:val="Compact"/>
              <w:jc w:val="right"/>
            </w:pPr>
            <w:r>
              <w:t xml:space="preserve">11,074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PV of terminal value</w:t>
            </w:r>
          </w:p>
        </w:tc>
        <w:tc>
          <w:p>
            <w:pPr>
              <w:pStyle w:val="Compact"/>
              <w:jc w:val="right"/>
            </w:pPr>
            <w:r>
              <w:t xml:space="preserve">7,197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Enterprise value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12,384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(−) Net debt</w:t>
            </w:r>
          </w:p>
        </w:tc>
        <w:tc>
          <w:p>
            <w:pPr>
              <w:pStyle w:val="Compact"/>
              <w:jc w:val="right"/>
            </w:pPr>
            <w:r>
              <w:t xml:space="preserve">(8,100)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Equity value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4,284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Shares (m)</w:t>
            </w:r>
          </w:p>
        </w:tc>
        <w:tc>
          <w:p>
            <w:pPr>
              <w:pStyle w:val="Compact"/>
              <w:jc w:val="right"/>
            </w:pPr>
            <w:r>
              <w:t xml:space="preserve">260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Equity value per share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$16.5</w:t>
            </w:r>
          </w:p>
        </w:tc>
      </w:tr>
    </w:tbl>
    <w:p>
      <w:pPr>
        <w:pStyle w:val="BodyText"/>
      </w:pPr>
      <w:r>
        <w:t xml:space="preserve">Base-case equity value is ~$16.5/share, ~18% above the $14.00 offer. The offer maps almost exactly to a 5.5x terminal at a 9% WACC — i.e., the deal prices Organon as a modestly-declining, ~5.5x asset.</w:t>
      </w:r>
    </w:p>
    <w:p>
      <w:pPr>
        <w:pStyle w:val="Heading2"/>
      </w:pPr>
      <w:bookmarkStart w:id="24" w:name="sensitivity-analysis"/>
      <w:r>
        <w:t xml:space="preserve">7.4 Sensitivity analysis</w:t>
      </w:r>
      <w:bookmarkEnd w:id="24"/>
    </w:p>
    <w:p>
      <w:pPr>
        <w:pStyle w:val="CaptionedFigure"/>
      </w:pPr>
      <w:r>
        <w:drawing>
          <wp:inline>
            <wp:extent cx="5486400" cy="3058510"/>
            <wp:effectExtent b="0" l="0" r="0" t="0"/>
            <wp:docPr descr="DCF sensitivity — equity value per share" title="" id="1" name="Picture"/>
            <a:graphic>
              <a:graphicData uri="http://schemas.openxmlformats.org/drawingml/2006/picture">
                <pic:pic>
                  <pic:nvPicPr>
                    <pic:cNvPr descr="/sessions/blissful-compassionate-clarke/mnt/Fin%20new%20Projects/Project%202%20-%20Sun%20Pharma-Organon%20MA/06_Visuals/ch7_fig2_sensitivity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585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DCF sensitivity — equity value per share</w:t>
      </w:r>
    </w:p>
    <w:p>
      <w:pPr>
        <w:pStyle w:val="BodyText"/>
      </w:pPr>
      <w:r>
        <w:t xml:space="preserve">Across WACC 8.0–10.0% and exit 5.0–7.0x, implied equity value spans ~$10–23/share. The $14.00 offer is covered by the lower-left of the grid (higher WACC, lower exit) — the region appropriate for a declining, levered asset.</w:t>
      </w:r>
    </w:p>
    <w:p>
      <w:pPr>
        <w:pStyle w:val="Heading2"/>
      </w:pPr>
      <w:bookmarkStart w:id="26" w:name="trading-comparables"/>
      <w:r>
        <w:t xml:space="preserve">7.5 Trading comparables</w:t>
      </w:r>
      <w:bookmarkEnd w:id="26"/>
    </w:p>
    <w:p>
      <w:pPr>
        <w:pStyle w:val="CaptionedFigure"/>
      </w:pPr>
      <w:r>
        <w:drawing>
          <wp:inline>
            <wp:extent cx="5486400" cy="2791046"/>
            <wp:effectExtent b="0" l="0" r="0" t="0"/>
            <wp:docPr descr="EV/EBITDA — peers vs deal" title="" id="1" name="Picture"/>
            <a:graphic>
              <a:graphicData uri="http://schemas.openxmlformats.org/drawingml/2006/picture">
                <pic:pic>
                  <pic:nvPicPr>
                    <pic:cNvPr descr="/sessions/blissful-compassionate-clarke/mnt/Fin%20new%20Projects/Project%202%20-%20Sun%20Pharma-Organon%20MA/06_Visuals/ch7_fig3_comp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910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EV/EBITDA — peers vs deal</w:t>
      </w:r>
    </w:p>
    <w:tbl>
      <w:tblPr>
        <w:tblStyle w:val="Table"/>
        <w:tblW w:type="pct" w:w="5000"/>
        <w:tblLayout w:type="fixed"/>
        <w:tblLook w:firstRow="1"/>
      </w:tblPr>
      <w:tblGrid>
        <w:gridCol w:w="4300"/>
        <w:gridCol w:w="2529"/>
        <w:gridCol w:w="2531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Peer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EV/EBITDA (approx.)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Profile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Viatris</w:t>
            </w:r>
          </w:p>
        </w:tc>
        <w:tc>
          <w:p>
            <w:pPr>
              <w:pStyle w:val="Compact"/>
              <w:jc w:val="right"/>
            </w:pPr>
            <w:r>
              <w:t xml:space="preserve">~6.0x</w:t>
            </w:r>
          </w:p>
        </w:tc>
        <w:tc>
          <w:p>
            <w:pPr>
              <w:pStyle w:val="Compact"/>
              <w:jc w:val="left"/>
            </w:pPr>
            <w:r>
              <w:t xml:space="preserve">Mature generics/brands (closest comp)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Organon (at deal)</w:t>
            </w:r>
          </w:p>
        </w:tc>
        <w:tc>
          <w:p>
            <w:pPr>
              <w:pStyle w:val="Compact"/>
              <w:jc w:val="right"/>
            </w:pPr>
            <w:r>
              <w:t xml:space="preserve">6.2x</w:t>
            </w:r>
          </w:p>
        </w:tc>
        <w:tc>
          <w:p>
            <w:pPr>
              <w:pStyle w:val="Compact"/>
              <w:jc w:val="left"/>
            </w:pPr>
            <w:r>
              <w:t xml:space="preserve">This transaction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Teva</w:t>
            </w:r>
          </w:p>
        </w:tc>
        <w:tc>
          <w:p>
            <w:pPr>
              <w:pStyle w:val="Compact"/>
              <w:jc w:val="right"/>
            </w:pPr>
            <w:r>
              <w:t xml:space="preserve">~7.2x</w:t>
            </w:r>
          </w:p>
        </w:tc>
        <w:tc>
          <w:p>
            <w:pPr>
              <w:pStyle w:val="Compact"/>
              <w:jc w:val="left"/>
            </w:pPr>
            <w:r>
              <w:t xml:space="preserve">Generics + specialty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Hikma</w:t>
            </w:r>
          </w:p>
        </w:tc>
        <w:tc>
          <w:p>
            <w:pPr>
              <w:pStyle w:val="Compact"/>
              <w:jc w:val="right"/>
            </w:pPr>
            <w:r>
              <w:t xml:space="preserve">~7.8x</w:t>
            </w:r>
          </w:p>
        </w:tc>
        <w:tc>
          <w:p>
            <w:pPr>
              <w:pStyle w:val="Compact"/>
              <w:jc w:val="left"/>
            </w:pPr>
            <w:r>
              <w:t xml:space="preserve">Generics/branded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Dr Reddy’s</w:t>
            </w:r>
          </w:p>
        </w:tc>
        <w:tc>
          <w:p>
            <w:pPr>
              <w:pStyle w:val="Compact"/>
              <w:jc w:val="right"/>
            </w:pPr>
            <w:r>
              <w:t xml:space="preserve">~11.0x</w:t>
            </w:r>
          </w:p>
        </w:tc>
        <w:tc>
          <w:p>
            <w:pPr>
              <w:pStyle w:val="Compact"/>
              <w:jc w:val="left"/>
            </w:pPr>
            <w:r>
              <w:t xml:space="preserve">Indian generics (premium)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Cipla</w:t>
            </w:r>
          </w:p>
        </w:tc>
        <w:tc>
          <w:p>
            <w:pPr>
              <w:pStyle w:val="Compact"/>
              <w:jc w:val="right"/>
            </w:pPr>
            <w:r>
              <w:t xml:space="preserve">~12.5x</w:t>
            </w:r>
          </w:p>
        </w:tc>
        <w:tc>
          <w:p>
            <w:pPr>
              <w:pStyle w:val="Compact"/>
              <w:jc w:val="left"/>
            </w:pPr>
            <w:r>
              <w:t xml:space="preserve">Indian generics (premium)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Relevant range (ex-India)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6.0–7.5x</w:t>
            </w:r>
          </w:p>
        </w:tc>
        <w:tc>
          <w:p>
            <w:pPr>
              <w:pStyle w:val="Compact"/>
              <w:jc w:val="left"/>
            </w:pPr>
            <w:r>
              <w:t xml:space="preserve">Implied EV $11.5–14.3bn</w:t>
            </w:r>
          </w:p>
        </w:tc>
      </w:tr>
    </w:tbl>
    <w:p>
      <w:pPr>
        <w:pStyle w:val="BodyText"/>
      </w:pPr>
      <w:r>
        <w:t xml:space="preserve">At 6.2x, the deal is at the low end of the relevant (Western generics/mature-brands) range and far below Indian-peer multiples. Implied equity value at 6.0–7.5x: ~$12.9–23.9/share. Peer multiples are approximate and to be tied to each peer’s latest filing.</w:t>
      </w:r>
    </w:p>
    <w:p>
      <w:pPr>
        <w:pStyle w:val="Heading2"/>
      </w:pPr>
      <w:bookmarkStart w:id="28" w:name="precedent-transactions"/>
      <w:r>
        <w:t xml:space="preserve">7.6 Precedent transactions</w:t>
      </w:r>
      <w:bookmarkEnd w:id="28"/>
    </w:p>
    <w:tbl>
      <w:tblPr>
        <w:tblStyle w:val="Table"/>
        <w:tblW w:type="pct" w:w="5000"/>
        <w:tblLayout w:type="fixed"/>
        <w:tblLook w:firstRow="1"/>
      </w:tblPr>
      <w:tblGrid>
        <w:gridCol w:w="4300"/>
        <w:gridCol w:w="2529"/>
        <w:gridCol w:w="2531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Precedent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EV/EBITDA (approx.)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Mylan + Upjohn → Viatris (2020)</w:t>
            </w:r>
          </w:p>
        </w:tc>
        <w:tc>
          <w:p>
            <w:pPr>
              <w:pStyle w:val="Compact"/>
              <w:jc w:val="left"/>
            </w:pPr>
            <w:r>
              <w:t xml:space="preserve">Mature-brands spin-merge</w:t>
            </w:r>
          </w:p>
        </w:tc>
        <w:tc>
          <w:p>
            <w:pPr>
              <w:pStyle w:val="Compact"/>
              <w:jc w:val="right"/>
            </w:pPr>
            <w:r>
              <w:t xml:space="preserve">mid-single digit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STADA (Bain/Cinven, 2017)</w:t>
            </w:r>
          </w:p>
        </w:tc>
        <w:tc>
          <w:p>
            <w:pPr>
              <w:pStyle w:val="Compact"/>
              <w:jc w:val="left"/>
            </w:pPr>
            <w:r>
              <w:t xml:space="preserve">Generics LBO</w:t>
            </w:r>
          </w:p>
        </w:tc>
        <w:tc>
          <w:p>
            <w:pPr>
              <w:pStyle w:val="Compact"/>
              <w:jc w:val="right"/>
            </w:pPr>
            <w:r>
              <w:t xml:space="preserve">~high-single digit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Teva / Allergan Generics (2016)</w:t>
            </w:r>
          </w:p>
        </w:tc>
        <w:tc>
          <w:p>
            <w:pPr>
              <w:pStyle w:val="Compact"/>
              <w:jc w:val="left"/>
            </w:pPr>
            <w:r>
              <w:t xml:space="preserve">Generics scale (later impaired)</w:t>
            </w:r>
          </w:p>
        </w:tc>
        <w:tc>
          <w:p>
            <w:pPr>
              <w:pStyle w:val="Compact"/>
              <w:jc w:val="right"/>
            </w:pPr>
            <w:r>
              <w:t xml:space="preserve">~low-double digit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Amgen / Horizon (2023)</w:t>
            </w:r>
          </w:p>
        </w:tc>
        <w:tc>
          <w:p>
            <w:pPr>
              <w:pStyle w:val="Compact"/>
              <w:jc w:val="left"/>
            </w:pPr>
            <w:r>
              <w:t xml:space="preserve">Growth biopharma (not comparable)</w:t>
            </w:r>
          </w:p>
        </w:tc>
        <w:tc>
          <w:p>
            <w:pPr>
              <w:pStyle w:val="Compact"/>
              <w:jc w:val="right"/>
            </w:pPr>
            <w:r>
              <w:t xml:space="preserve">~20x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Relevant range (mature/generic)</w:t>
            </w:r>
          </w:p>
        </w:tc>
        <w:tc>
          <w:p/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7.0–9.0x</w:t>
            </w:r>
          </w:p>
        </w:tc>
      </w:tr>
    </w:tbl>
    <w:p>
      <w:pPr>
        <w:pStyle w:val="BodyText"/>
      </w:pPr>
      <w:r>
        <w:t xml:space="preserve">Precedent multiples for control deals in mature pharma cluster ~7–9x, implying EV ~$13.4–17.2bn (~$20–35/share). This overstates Organon’s value — most precedents carried growth or strategic scarcity that Organon lacks — but confirms the offer is undemanding versus history.</w:t>
      </w:r>
    </w:p>
    <w:p>
      <w:pPr>
        <w:pStyle w:val="Heading2"/>
      </w:pPr>
      <w:bookmarkStart w:id="29" w:name="football-field"/>
      <w:r>
        <w:t xml:space="preserve">7.7 Football field</w:t>
      </w:r>
      <w:bookmarkEnd w:id="29"/>
    </w:p>
    <w:p>
      <w:pPr>
        <w:pStyle w:val="CaptionedFigure"/>
      </w:pPr>
      <w:r>
        <w:drawing>
          <wp:inline>
            <wp:extent cx="5669280" cy="3026818"/>
            <wp:effectExtent b="0" l="0" r="0" t="0"/>
            <wp:docPr descr="Organon valuation football field" title="" id="1" name="Picture"/>
            <a:graphic>
              <a:graphicData uri="http://schemas.openxmlformats.org/drawingml/2006/picture">
                <pic:pic>
                  <pic:nvPicPr>
                    <pic:cNvPr descr="/sessions/blissful-compassionate-clarke/mnt/Fin%20new%20Projects/Project%202%20-%20Sun%20Pharma-Organon%20MA/06_Visuals/ch7_fig1_footballfield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30268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Organon valuation football field</w:t>
      </w:r>
    </w:p>
    <w:p>
      <w:pPr>
        <w:pStyle w:val="BodyText"/>
      </w:pPr>
      <w:r>
        <w:t xml:space="preserve">The $14.00 offer sits at the bottom of the DCF and trading-comps ranges, inside the 52-week trading range, and below precedents. No method places fair value below the offer — the transaction is not a premium valuation.</w:t>
      </w:r>
    </w:p>
    <w:p>
      <w:pPr>
        <w:pStyle w:val="Heading2"/>
      </w:pPr>
      <w:bookmarkStart w:id="31" w:name="scenario-analysis"/>
      <w:r>
        <w:t xml:space="preserve">7.8 Scenario analysis</w:t>
      </w:r>
      <w:bookmarkEnd w:id="31"/>
    </w:p>
    <w:tbl>
      <w:tblPr>
        <w:tblStyle w:val="Table"/>
        <w:tblW w:type="pct" w:w="5000"/>
        <w:tblLayout w:type="fixed"/>
        <w:tblLook w:firstRow="1"/>
      </w:tblPr>
      <w:tblGrid>
        <w:gridCol w:w="3385"/>
        <w:gridCol w:w="1991"/>
        <w:gridCol w:w="1991"/>
        <w:gridCol w:w="1993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Key drivers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EV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Equity/share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Bull</w:t>
            </w:r>
          </w:p>
        </w:tc>
        <w:tc>
          <w:p>
            <w:pPr>
              <w:pStyle w:val="Compact"/>
              <w:jc w:val="left"/>
            </w:pPr>
            <w:r>
              <w:t xml:space="preserve">Revenue +1%/yr, margin 31%, exit 6.5x, WACC 8.5%</w:t>
            </w:r>
          </w:p>
        </w:tc>
        <w:tc>
          <w:p>
            <w:pPr>
              <w:pStyle w:val="Compact"/>
              <w:jc w:val="right"/>
            </w:pPr>
            <w:r>
              <w:t xml:space="preserve">~$13.2bn</w:t>
            </w:r>
          </w:p>
        </w:tc>
        <w:tc>
          <w:p>
            <w:pPr>
              <w:pStyle w:val="Compact"/>
              <w:jc w:val="right"/>
            </w:pPr>
            <w:r>
              <w:t xml:space="preserve">~$19.7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Base</w:t>
            </w:r>
          </w:p>
        </w:tc>
        <w:tc>
          <w:p>
            <w:pPr>
              <w:pStyle w:val="Compact"/>
              <w:jc w:val="left"/>
            </w:pPr>
            <w:r>
              <w:t xml:space="preserve">Revenue ~flat, margin 30%, exit 6.0x, WACC 9.0%</w:t>
            </w:r>
          </w:p>
        </w:tc>
        <w:tc>
          <w:p>
            <w:pPr>
              <w:pStyle w:val="Compact"/>
              <w:jc w:val="right"/>
            </w:pPr>
            <w:r>
              <w:t xml:space="preserve">~$12.4bn</w:t>
            </w:r>
          </w:p>
        </w:tc>
        <w:tc>
          <w:p>
            <w:pPr>
              <w:pStyle w:val="Compact"/>
              <w:jc w:val="right"/>
            </w:pPr>
            <w:r>
              <w:t xml:space="preserve">~$16.5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Bear</w:t>
            </w:r>
          </w:p>
        </w:tc>
        <w:tc>
          <w:p>
            <w:pPr>
              <w:pStyle w:val="Compact"/>
              <w:jc w:val="left"/>
            </w:pPr>
            <w:r>
              <w:t xml:space="preserve">Established-brands decline −4%/yr, margin 28%, exit 5.0x, WACC 10% + Nexplanon impairment</w:t>
            </w:r>
          </w:p>
        </w:tc>
        <w:tc>
          <w:p>
            <w:pPr>
              <w:pStyle w:val="Compact"/>
              <w:jc w:val="right"/>
            </w:pPr>
            <w:r>
              <w:t xml:space="preserve">~$10.0bn</w:t>
            </w:r>
          </w:p>
        </w:tc>
        <w:tc>
          <w:p>
            <w:pPr>
              <w:pStyle w:val="Compact"/>
              <w:jc w:val="right"/>
            </w:pPr>
            <w:r>
              <w:t xml:space="preserve">~$7–9</w:t>
            </w:r>
          </w:p>
        </w:tc>
      </w:tr>
    </w:tbl>
    <w:p>
      <w:pPr>
        <w:pStyle w:val="BodyText"/>
      </w:pPr>
      <w:r>
        <w:t xml:space="preserve">The bear case — accelerated decline plus a Nexplanon-driven Women’s Health hit — is the only scenario that takes value below the offer. That is precisely the risk Sun underwrites.</w:t>
      </w:r>
    </w:p>
    <w:p>
      <w:pPr>
        <w:pStyle w:val="Heading2"/>
      </w:pPr>
      <w:bookmarkStart w:id="32" w:name="valuation-conclusion"/>
      <w:r>
        <w:t xml:space="preserve">7.9 Valuation conclusion</w:t>
      </w:r>
      <w:bookmarkEnd w:id="32"/>
    </w:p>
    <w:p>
      <w:pPr>
        <w:pStyle w:val="FirstParagraph"/>
      </w:pPr>
      <w:r>
        <w:t xml:space="preserve">Base-case standalone value:</w:t>
      </w:r>
      <w:r>
        <w:t xml:space="preserve"> </w:t>
      </w:r>
      <w:r>
        <w:rPr>
          <w:b/>
        </w:rPr>
        <w:t xml:space="preserve">EV ~$12.4bn, equity ~$16.5/share</w:t>
      </w:r>
      <w:r>
        <w:t xml:space="preserve"> </w:t>
      </w:r>
      <w:r>
        <w:t xml:space="preserve">— ~18% above the $14.00 offer. Triangulated across methods, fair value is ~$12–14bn EV / ~$15–18/share.</w:t>
      </w:r>
      <w:r>
        <w:t xml:space="preserve"> </w:t>
      </w:r>
      <w:r>
        <w:rPr>
          <w:b/>
        </w:rPr>
        <w:t xml:space="preserve">The offer is fair-to-cheap for Sun</w:t>
      </w:r>
      <w:r>
        <w:t xml:space="preserve"> </w:t>
      </w:r>
      <w:r>
        <w:t xml:space="preserve">(a margin of safety of ~15–20% versus base DCF) and</w:t>
      </w:r>
      <w:r>
        <w:t xml:space="preserve"> </w:t>
      </w:r>
      <w:r>
        <w:rPr>
          <w:b/>
        </w:rPr>
        <w:t xml:space="preserve">defensible for Organon’s board</w:t>
      </w:r>
      <w:r>
        <w:t xml:space="preserve"> </w:t>
      </w:r>
      <w:r>
        <w:t xml:space="preserve">given the standalone leverage, decline and governance overhang that cap the realistic exit. The valuation supports proceeding; the risk is the bear case, quantified next in the merger and risk chapters.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3" w:name="assumptions-sources"/>
      <w:r>
        <w:t xml:space="preserve">Assumptions &amp; sources</w:t>
      </w:r>
      <w:bookmarkEnd w:id="33"/>
    </w:p>
    <w:p>
      <w:pPr>
        <w:numPr>
          <w:ilvl w:val="0"/>
          <w:numId w:val="1002"/>
        </w:numPr>
        <w:pStyle w:val="Compact"/>
      </w:pPr>
      <w:r>
        <w:t xml:space="preserve">All DCF inputs (growth, margin, D&amp;A, capex, NWC, tax, WACC, terminal multiple) are analyst assumptions anchored on FY2025 actuals; flagged, not company guidance.</w:t>
      </w:r>
    </w:p>
    <w:p>
      <w:pPr>
        <w:numPr>
          <w:ilvl w:val="0"/>
          <w:numId w:val="1002"/>
        </w:numPr>
        <w:pStyle w:val="Compact"/>
      </w:pPr>
      <w:r>
        <w:t xml:space="preserve">Shares (~260m) and net debt (~$8.1bn) as prior chapters; confirm from 10-K / proxy.</w:t>
      </w:r>
    </w:p>
    <w:p>
      <w:pPr>
        <w:numPr>
          <w:ilvl w:val="0"/>
          <w:numId w:val="1002"/>
        </w:numPr>
        <w:pStyle w:val="Compact"/>
      </w:pPr>
      <w:r>
        <w:t xml:space="preserve">Peer and precedent multiples are approximate/illustrative, to be tied to each company’s latest filing and each deal’s disclosure. Indian peers shown for context but excluded from the relevant range (different growth/market).</w:t>
      </w:r>
    </w:p>
    <w:p>
      <w:pPr>
        <w:numPr>
          <w:ilvl w:val="0"/>
          <w:numId w:val="1002"/>
        </w:numPr>
        <w:pStyle w:val="Compact"/>
      </w:pPr>
      <w:r>
        <w:t xml:space="preserve">Bear-case Nexplanon impairment is a modelled sensitivity, not a quantified disclosure.</w:t>
      </w:r>
    </w:p>
    <w:p>
      <w:pPr>
        <w:numPr>
          <w:ilvl w:val="0"/>
          <w:numId w:val="1002"/>
        </w:numPr>
        <w:pStyle w:val="Compact"/>
      </w:pPr>
      <w:r>
        <w:t xml:space="preserve">WACC build uses rf 4.5%, ERP 5.5%, beta 1.05, pre-tax Kd 7.0%, 65/35 target structure, +30 bps company-specific premium.</w:t>
      </w:r>
    </w:p>
    <w:p>
      <w:pPr>
        <w:pStyle w:val="FirstParagraph"/>
      </w:pPr>
      <w:r>
        <w:rPr>
          <w:i/>
        </w:rPr>
        <w:t xml:space="preserve">Sources: Organon FY2025 financials (base year); US Treasury / FRED (risk-free); company filings for peer multiples; deal press releases for precedents. Full sourcing in</w:t>
      </w:r>
      <w:r>
        <w:rPr>
          <w:i/>
        </w:rPr>
        <w:t xml:space="preserve"> </w:t>
      </w:r>
      <w:r>
        <w:rPr>
          <w:rStyle w:val="VerbatimChar"/>
          <w:i/>
        </w:rPr>
        <w:t xml:space="preserve">05_Data/DATA_SOURCES.docx</w:t>
      </w:r>
      <w:r>
        <w:rPr>
          <w:i/>
        </w:rPr>
        <w:t xml:space="preserve">.</w:t>
      </w:r>
    </w:p>
    <w:sectPr>
      <w:footerReference w:type="default" r:id="rId10"/>
      <w:pgSz w:w="12240" w:h="15840"/>
      <w:pgMar w:top="1440" w:right="1440" w:bottom="1440" w:left="1440" w:header="720" w:footer="576" w:gutter="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Bdr>
        <w:top w:val="single" w:sz="4" w:space="6" w:color="BFBFBF"/>
      </w:pBdr>
      <w:tabs>
        <w:tab w:val="right" w:pos="9360"/>
      </w:tabs>
      <w:spacing w:before="60" w:after="0"/>
    </w:pPr>
    <w:r>
      <w:rPr>
        <w:rFonts w:ascii="Arial" w:hAnsi="Arial"/>
        <w:b/>
        <w:color w:val="404040"/>
        <w:sz w:val="15"/>
      </w:rPr>
      <w:t>Sun Pharma – Organon Acquisition Analysis</w:t>
    </w:r>
    <w:r>
      <w:rPr>
        <w:rFonts w:ascii="Arial" w:hAnsi="Arial"/>
        <w:color w:val="7F7F7F"/>
        <w:sz w:val="15"/>
      </w:rPr>
      <w:tab/>
      <w:t xml:space="preserve">Page </w:t>
    </w:r>
    <w:r>
      <w:rPr>
        <w:rFonts w:ascii="Arial" w:hAnsi="Arial"/>
        <w:color w:val="7F7F7F"/>
        <w:sz w:val="15"/>
      </w:rPr>
      <w:fldChar w:fldCharType="begin"/>
    </w:r>
    <w:r>
      <w:rPr>
        <w:rFonts w:ascii="Arial" w:hAnsi="Arial"/>
        <w:color w:val="7F7F7F"/>
        <w:sz w:val="15"/>
      </w:rPr>
      <w:instrText xml:space="preserve"> PAGE </w:instrText>
    </w:r>
    <w:r>
      <w:rPr>
        <w:rFonts w:ascii="Arial" w:hAnsi="Arial"/>
        <w:color w:val="7F7F7F"/>
        <w:sz w:val="15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>
  <w:p>
    <w: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</v:formulas>
          <v:path textpathok="t" o:connecttype="custom"/>
          <v:textpath on="t" fitshape="t"/>
        </v:shapetype>
        <v:shape id="wm1" type="#_x0000_t136" style="position:absolute;margin-left:0;margin-top:0;width:520pt;height:130pt;rotation:-40;z-index:-251658240;mso-position-horizontal:center;mso-position-horizontal-relative:margin;mso-position-vertical:center;mso-position-vertical-relative:margin" fillcolor="#E4E4E4" stroked="f">
          <v:textpath style="font-family:&quot;Arial&quot;;font-weight:bold" string="CONFIDENTIAL"/>
        </v:shape>
      </w:pict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color w:val="222222"/>
        <w:sz w:val="20"/>
        <w:szCs w:val="20"/>
        <w:lang w:val="en-US" w:eastAsia="en-US" w:bidi="ar-SA"/>
      </w:rPr>
    </w:rPrDefault>
    <w:pPrDefault>
      <w:pPr>
        <w:spacing w:after="140" w:line="264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jc w:val="both"/>
    </w:pPr>
  </w:style>
  <w:style w:type="paragraph" w:styleId="BodyText">
    <w:name w:val="Body Text"/>
    <w:basedOn w:val="Normal"/>
    <w:link w:val="BodyTextChar"/>
    <w:qFormat/>
    <w:pPr>
      <w:spacing w:before="0" w:after="140"/>
      <w:jc w:val="both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240" w:after="80"/>
      <w:jc w:val="left"/>
    </w:pPr>
    <w:rPr>
      <w:rFonts w:ascii="Arial" w:eastAsia="Arial" w:hAnsi="Arial" w:cs="Arial"/>
      <w:b/>
      <w:bCs/>
      <w:color w:val="000000"/>
      <w:sz w:val="40"/>
      <w:szCs w:val="40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pBdr>
        <w:bottom w:val="single" w:sz="6" w:space="4" w:color="000000"/>
      </w:pBdr>
      <w:spacing w:before="360" w:after="120"/>
      <w:jc w:val="left"/>
      <w:outlineLvl w:val="0"/>
    </w:pPr>
    <w:rPr>
      <w:rFonts w:ascii="Arial" w:eastAsia="Arial" w:hAnsi="Arial" w:cs="Arial"/>
      <w:b/>
      <w:bCs/>
      <w:color w:val="000000"/>
      <w:sz w:val="30"/>
      <w:szCs w:val="30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60" w:after="60"/>
      <w:jc w:val="left"/>
      <w:outlineLvl w:val="1"/>
    </w:pPr>
    <w:rPr>
      <w:rFonts w:ascii="Arial" w:eastAsia="Arial" w:hAnsi="Arial" w:cs="Arial"/>
      <w:b/>
      <w:bCs/>
      <w:color w:val="000000"/>
      <w:sz w:val="24"/>
      <w:szCs w:val="24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40"/>
      <w:jc w:val="left"/>
      <w:outlineLvl w:val="2"/>
    </w:pPr>
    <w:rPr>
      <w:rFonts w:ascii="Arial" w:eastAsia="Arial" w:hAnsi="Arial" w:cs="Arial"/>
      <w:b/>
      <w:bCs/>
      <w:color w:val="000000"/>
      <w:sz w:val="21"/>
      <w:szCs w:val="2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uiPriority w:val="99"/>
    <w:qFormat/>
    <w:pPr>
      <w:spacing w:before="20" w:after="20"/>
      <w:jc w:val="left"/>
    </w:pPr>
    <w:rPr>
      <w:rFonts w:ascii="Arial" w:hAnsi="Arial"/>
      <w:sz w:val="19"/>
      <w:szCs w:val="19"/>
    </w:rPr>
    <w:tblPr>
      <w:tblInd w:w="0" w:type="dxa"/>
      <w:tblBorders>
        <w:top w:val="single" w:sz="4" w:space="0" w:color="BFBFBF"/>
        <w:bottom w:val="single" w:sz="4" w:space="0" w:color="BFBFBF"/>
        <w:insideH w:val="single" w:sz="4" w:space="0" w:color="DDDDDD"/>
      </w:tblBorders>
      <w:tblCellMar>
        <w:top w:w="40" w:type="dxa"/>
        <w:left w:w="108" w:type="dxa"/>
        <w:bottom w:w="40" w:type="dxa"/>
        <w:right w:w="108" w:type="dxa"/>
      </w:tblCellMar>
    </w:tblPr>
    <w:tblStylePr w:type="firstRow">
      <w:rPr>
        <w:rFonts w:ascii="Arial" w:hAnsi="Arial"/>
        <w:b/>
        <w:color w:val="000000"/>
        <w:sz w:val="18"/>
      </w:rPr>
      <w:tcPr>
        <w:shd w:val="clear" w:color="auto" w:fill="E6E6E6"/>
        <w:tcBorders>
          <w:bottom w:val="single" w:sz="8" w:space="0" w:color="000000"/>
        </w:tcBorders>
      </w:tcPr>
    </w:tblStylePr>
    <w:tblStylePr w:type="band2Horz">
      <w:tcPr>
        <w:shd w:val="clear" w:color="auto" w:fill="F4F4F4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eader" Id="rId9" Target="header1.xml" /><Relationship Type="http://schemas.openxmlformats.org/officeDocument/2006/relationships/footer" Id="rId10" Target="footer1.xml" /><Relationship Type="http://schemas.openxmlformats.org/officeDocument/2006/relationships/image" Id="rId30" Target="media/rId30.png" /><Relationship Type="http://schemas.openxmlformats.org/officeDocument/2006/relationships/image" Id="rId25" Target="media/rId25.png" /><Relationship Type="http://schemas.openxmlformats.org/officeDocument/2006/relationships/image" Id="rId27" Target="media/rId27.pn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2026-07-27T09:24:24Z</dcterms:created>
  <dcterms:modified xsi:type="dcterms:W3CDTF">2026-07-27T09:24:24Z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