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erger-model"/>
      <w:r>
        <w:t xml:space="preserve">8. Merger Model</w:t>
      </w:r>
      <w:bookmarkEnd w:id="20"/>
    </w:p>
    <w:p>
      <w:pPr>
        <w:pStyle w:val="FirstParagraph"/>
      </w:pPr>
      <w:r>
        <w:t xml:space="preserve">All-cash, debt-funded, no shares issued. The deal is heavily</w:t>
      </w:r>
      <w:r>
        <w:t xml:space="preserve"> </w:t>
      </w:r>
      <w:r>
        <w:rPr>
          <w:b/>
        </w:rPr>
        <w:t xml:space="preserve">EPS accretive — ~+60% in Year 1, ~+75% by Year 3</w:t>
      </w:r>
      <w:r>
        <w:t xml:space="preserve"> </w:t>
      </w:r>
      <w:r>
        <w:t xml:space="preserve">— because Sun adds a business almost its own size without diluting its share count, and Organon’s earnings yield far exceeds the after-tax cost of the acquisition debt. The accretion is real but leverage-driven: the headline EPS lift is financial engineering, so the deal must be judged on returns and the deleveraging path, not on EPS alone. Goodwill created ~$1.3bn; net leverage ~2.3x at close.</w:t>
      </w:r>
    </w:p>
    <w:p>
      <w:pPr>
        <w:pStyle w:val="Heading2"/>
      </w:pPr>
      <w:bookmarkStart w:id="21" w:name="sources-uses-mm"/>
      <w:r>
        <w:t xml:space="preserve">8.1 Sources &amp; Uses ($mm)</w:t>
      </w:r>
      <w:bookmarkEnd w:id="21"/>
    </w:p>
    <w:tbl>
      <w:tblPr>
        <w:tblStyle w:val="Table"/>
        <w:tblW w:type="pct" w:w="5000"/>
        <w:tblLayout w:type="fixed"/>
        <w:tblLook w:firstRow="1"/>
      </w:tblPr>
      <w:tblGrid>
        <w:gridCol w:w="3385"/>
        <w:gridCol w:w="1991"/>
        <w:gridCol w:w="1991"/>
        <w:gridCol w:w="199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$mm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$mm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acquisition debt</w:t>
            </w:r>
          </w:p>
        </w:tc>
        <w:tc>
          <w:p>
            <w:pPr>
              <w:pStyle w:val="Compact"/>
              <w:jc w:val="right"/>
            </w:pPr>
            <w:r>
              <w:t xml:space="preserve">9,500</w:t>
            </w:r>
          </w:p>
        </w:tc>
        <w:tc>
          <w:p>
            <w:pPr>
              <w:pStyle w:val="Compact"/>
              <w:jc w:val="left"/>
            </w:pPr>
            <w:r>
              <w:t xml:space="preserve">Refinance Organon debt</w:t>
            </w:r>
          </w:p>
        </w:tc>
        <w:tc>
          <w:p>
            <w:pPr>
              <w:pStyle w:val="Compact"/>
              <w:jc w:val="right"/>
            </w:pPr>
            <w:r>
              <w:t xml:space="preserve">8,100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Sun internal accruals</w:t>
            </w:r>
          </w:p>
        </w:tc>
        <w:tc>
          <w:p>
            <w:pPr>
              <w:pStyle w:val="Compact"/>
              <w:jc w:val="right"/>
            </w:pPr>
            <w:r>
              <w:t>2,240</w:t>
            </w:r>
          </w:p>
        </w:tc>
        <w:tc>
          <w:p>
            <w:pPr>
              <w:pStyle w:val="Compact"/>
              <w:jc w:val="left"/>
            </w:pPr>
            <w:r>
              <w:t xml:space="preserve">Equity consideration</w:t>
            </w:r>
          </w:p>
        </w:tc>
        <w:tc>
          <w:p>
            <w:pPr>
              <w:pStyle w:val="Compact"/>
              <w:jc w:val="right"/>
            </w:pPr>
            <w:r>
              <w:t>3,640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Organon balance-sheet cash</w:t>
            </w:r>
          </w:p>
        </w:tc>
        <w:tc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Fees &amp; expenses (est.)</w:t>
            </w:r>
          </w:p>
        </w:tc>
        <w:tc>
          <w:p>
            <w:pPr>
              <w:pStyle w:val="Compact"/>
              <w:jc w:val="right"/>
            </w:pPr>
            <w:r>
              <w:t xml:space="preserve">250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sources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>11,990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uses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>11,990</w:t>
            </w:r>
          </w:p>
        </w:tc>
      </w:tr>
    </w:tbl>
    <w:p>
      <w:pPr>
        <w:pStyle w:val="Heading2"/>
      </w:pPr>
      <w:bookmarkStart w:id="22" w:name="purchase-price-allocation"/>
      <w:r>
        <w:t xml:space="preserve">8.2 Purchase price allocation</w:t>
      </w:r>
      <w:bookmarkEnd w:id="22"/>
    </w:p>
    <w:tbl>
      <w:tblPr>
        <w:tblStyle w:val="Table"/>
        <w:tblW w:type="pct" w:w="5000"/>
        <w:tblLayout w:type="fixed"/>
        <w:tblLook w:firstRow="1"/>
      </w:tblPr>
      <w:tblGrid>
        <w:gridCol w:w="5893"/>
        <w:gridCol w:w="34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PPA ($mm)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Equity purchase price</w:t>
            </w:r>
          </w:p>
        </w:tc>
        <w:tc>
          <w:p>
            <w:pPr>
              <w:pStyle w:val="Compact"/>
              <w:jc w:val="right"/>
            </w:pPr>
            <w:r>
              <w:t>3,640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less: Organon book equity (est.)</w:t>
            </w:r>
          </w:p>
        </w:tc>
        <w:tc>
          <w:p>
            <w:pPr>
              <w:pStyle w:val="Compact"/>
              <w:jc w:val="right"/>
            </w:pPr>
            <w:r>
              <w:t xml:space="preserve">(700)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Allocable excess</w:t>
            </w:r>
          </w:p>
        </w:tc>
        <w:tc>
          <w:p>
            <w:pPr>
              <w:pStyle w:val="Compact"/>
              <w:jc w:val="right"/>
            </w:pPr>
            <w:r>
              <w:t>2,940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Identifiable intangible step-up</w:t>
            </w:r>
          </w:p>
        </w:tc>
        <w:tc>
          <w:p>
            <w:pPr>
              <w:pStyle w:val="Compact"/>
              <w:jc w:val="right"/>
            </w:pPr>
            <w:r>
              <w:t xml:space="preserve">2,000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Deferred tax liability on step-up (19%)</w:t>
            </w:r>
          </w:p>
        </w:tc>
        <w:tc>
          <w:p>
            <w:pPr>
              <w:pStyle w:val="Compact"/>
              <w:jc w:val="right"/>
            </w:pPr>
            <w:r>
              <w:t xml:space="preserve">380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Goodwill (plug)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>1,320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amortization, pre-tax (15-yr life)</w:t>
            </w:r>
          </w:p>
        </w:tc>
        <w:tc>
          <w:p>
            <w:pPr>
              <w:pStyle w:val="Compact"/>
              <w:jc w:val="right"/>
            </w:pPr>
            <w:r>
              <w:t xml:space="preserve">133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Incremental amortization, after-tax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108</w:t>
            </w:r>
          </w:p>
        </w:tc>
      </w:tr>
    </w:tbl>
    <w:p>
      <w:pPr>
        <w:pStyle w:val="BodyText"/>
      </w:pPr>
      <w:r>
        <w:t xml:space="preserve">Goodwill is not amortized (no EPS impact). The step-up creates ~$108m of after-tax amortization drag per year — the only PPA item that hits accretion. Book equity and step-up are analyst estimates, flagged.</w:t>
      </w:r>
    </w:p>
    <w:p>
      <w:pPr>
        <w:pStyle w:val="Heading2"/>
      </w:pPr>
      <w:bookmarkStart w:id="23" w:name="debt-schedule"/>
      <w:r>
        <w:t xml:space="preserve">8.3 Debt schedule</w:t>
      </w:r>
      <w:bookmarkEnd w:id="23"/>
    </w:p>
    <w:p>
      <w:pPr>
        <w:pStyle w:val="CaptionedFigure"/>
      </w:pPr>
      <w:r>
        <w:drawing>
          <wp:inline>
            <wp:extent cx="5486400" cy="2913320"/>
            <wp:effectExtent b="0" l="0" r="0" t="0"/>
            <wp:docPr descr="Combined debt paydown and leverage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8_fig3_debt_schedu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3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Combined debt paydown and leverage</w:t>
      </w:r>
    </w:p>
    <w:p>
      <w:pPr>
        <w:pStyle w:val="BodyText"/>
      </w:pPr>
      <w:r>
        <w:t xml:space="preserve">Opening acquisition debt ~$9.5bn; interest computed on the opening balance (~$570m Year 1) to avoid circularity; a flat ~$1.8bn/yr FCF sweep repays principal. Net leverage starts ~2.3x and falls steadily on Organon’s cash flow. The paydown pace shown is illustrative (flat sweep); the point is directional — the combined entity deleverages quickly if Organon’s FCF holds.</w:t>
      </w:r>
    </w:p>
    <w:p>
      <w:pPr>
        <w:pStyle w:val="Heading2"/>
      </w:pPr>
      <w:bookmarkStart w:id="25" w:name="accretion-dilution"/>
      <w:r>
        <w:t xml:space="preserve">8.4 Accretion / dilution</w:t>
      </w:r>
      <w:bookmarkEnd w:id="25"/>
    </w:p>
    <w:p>
      <w:pPr>
        <w:pStyle w:val="CaptionedFigure"/>
      </w:pPr>
      <w:r>
        <w:drawing>
          <wp:inline>
            <wp:extent cx="5486400" cy="2934586"/>
            <wp:effectExtent b="0" l="0" r="0" t="0"/>
            <wp:docPr descr="EPS accretion — standalone vs pro forma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8_fig1_accre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4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EPS accretion — standalone vs pro forma</w:t>
      </w:r>
    </w:p>
    <w:tbl>
      <w:tblPr>
        <w:tblStyle w:val="Table"/>
        <w:tblW w:type="pct" w:w="5000"/>
        <w:tblLayout w:type="fixed"/>
        <w:tblLook w:firstRow="1"/>
      </w:tblPr>
      <w:tblGrid>
        <w:gridCol w:w="3385"/>
        <w:gridCol w:w="1991"/>
        <w:gridCol w:w="1991"/>
        <w:gridCol w:w="199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Accretion ($mm unless noted)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Year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Year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Year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Sun standalone net income</w:t>
            </w:r>
          </w:p>
        </w:tc>
        <w:tc>
          <w:p>
            <w:pPr>
              <w:pStyle w:val="Compact"/>
              <w:jc w:val="right"/>
            </w:pPr>
            <w:r>
              <w:t xml:space="preserve">1,278</w:t>
            </w:r>
          </w:p>
        </w:tc>
        <w:tc>
          <w:p>
            <w:pPr>
              <w:pStyle w:val="Compact"/>
              <w:jc w:val="right"/>
            </w:pPr>
            <w:r>
              <w:t xml:space="preserve">1,278</w:t>
            </w:r>
          </w:p>
        </w:tc>
        <w:tc>
          <w:p>
            <w:pPr>
              <w:pStyle w:val="Compact"/>
              <w:jc w:val="right"/>
            </w:pPr>
            <w:r>
              <w:t xml:space="preserve">1,278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Organon pre-financing earnings (after-tax)</w:t>
            </w:r>
          </w:p>
        </w:tc>
        <w:tc>
          <w:p>
            <w:pPr>
              <w:pStyle w:val="Compact"/>
              <w:jc w:val="right"/>
            </w:pPr>
            <w:r>
              <w:t xml:space="preserve">1,319</w:t>
            </w:r>
          </w:p>
        </w:tc>
        <w:tc>
          <w:p>
            <w:pPr>
              <w:pStyle w:val="Compact"/>
              <w:jc w:val="right"/>
            </w:pPr>
            <w:r>
              <w:t xml:space="preserve">1,319</w:t>
            </w:r>
          </w:p>
        </w:tc>
        <w:tc>
          <w:p>
            <w:pPr>
              <w:pStyle w:val="Compact"/>
              <w:jc w:val="right"/>
            </w:pPr>
            <w:r>
              <w:t xml:space="preserve">1,319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less: new acquisition interest (after-tax)</w:t>
            </w:r>
          </w:p>
        </w:tc>
        <w:tc>
          <w:p>
            <w:pPr>
              <w:pStyle w:val="Compact"/>
              <w:jc w:val="right"/>
            </w:pPr>
            <w:r>
              <w:t xml:space="preserve">(462)</w:t>
            </w:r>
          </w:p>
        </w:tc>
        <w:tc>
          <w:p>
            <w:pPr>
              <w:pStyle w:val="Compact"/>
              <w:jc w:val="right"/>
            </w:pPr>
            <w:r>
              <w:t xml:space="preserve">(462)</w:t>
            </w:r>
          </w:p>
        </w:tc>
        <w:tc>
          <w:p>
            <w:pPr>
              <w:pStyle w:val="Compact"/>
              <w:jc w:val="right"/>
            </w:pPr>
            <w:r>
              <w:t xml:space="preserve">(462)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less: forgone interest on cash (after-tax)</w:t>
            </w:r>
          </w:p>
        </w:tc>
        <w:tc>
          <w:p>
            <w:pPr>
              <w:pStyle w:val="Compact"/>
              <w:jc w:val="right"/>
            </w:pPr>
            <w:r>
              <w:t xml:space="preserve">(73)</w:t>
            </w:r>
          </w:p>
        </w:tc>
        <w:tc>
          <w:p>
            <w:pPr>
              <w:pStyle w:val="Compact"/>
              <w:jc w:val="right"/>
            </w:pPr>
            <w:r>
              <w:t xml:space="preserve">(73)</w:t>
            </w:r>
          </w:p>
        </w:tc>
        <w:tc>
          <w:p>
            <w:pPr>
              <w:pStyle w:val="Compact"/>
              <w:jc w:val="right"/>
            </w:pPr>
            <w:r>
              <w:t xml:space="preserve">(73)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less: incremental PPA amortization (after-tax)</w:t>
            </w:r>
          </w:p>
        </w:tc>
        <w:tc>
          <w:p>
            <w:pPr>
              <w:pStyle w:val="Compact"/>
              <w:jc w:val="right"/>
            </w:pPr>
            <w:r>
              <w:t xml:space="preserve">(108)</w:t>
            </w:r>
          </w:p>
        </w:tc>
        <w:tc>
          <w:p>
            <w:pPr>
              <w:pStyle w:val="Compact"/>
              <w:jc w:val="right"/>
            </w:pPr>
            <w:r>
              <w:t xml:space="preserve">(108)</w:t>
            </w:r>
          </w:p>
        </w:tc>
        <w:tc>
          <w:p>
            <w:pPr>
              <w:pStyle w:val="Compact"/>
              <w:jc w:val="right"/>
            </w:pPr>
            <w:r>
              <w:t xml:space="preserve">(108)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add: synergies (after-tax)</w:t>
            </w:r>
          </w:p>
        </w:tc>
        <w:tc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p>
            <w:pPr>
              <w:pStyle w:val="Compact"/>
              <w:jc w:val="right"/>
            </w:pPr>
            <w:r>
              <w:t>198</w:t>
            </w:r>
          </w:p>
        </w:tc>
        <w:tc>
          <w:p>
            <w:pPr>
              <w:pStyle w:val="Compact"/>
              <w:jc w:val="right"/>
            </w:pPr>
            <w:r>
              <w:t>283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 forma net income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2,039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2,152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2,237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Sun standalone EPS (₹)</w:t>
            </w:r>
          </w:p>
        </w:tc>
        <w:tc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p>
            <w:pPr>
              <w:pStyle w:val="Compact"/>
              <w:jc w:val="right"/>
            </w:pPr>
            <w:r>
              <w:t xml:space="preserve">45.5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 forma EPS (₹)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72.7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76.7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79.7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Accretion / (dilution) 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+59.5%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+68.4%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+75.1%</w:t>
            </w:r>
          </w:p>
        </w:tc>
      </w:tr>
    </w:tbl>
    <w:p>
      <w:pPr>
        <w:pStyle w:val="BodyText"/>
      </w:pPr>
      <w:r>
        <w:t xml:space="preserve">New interest is held at the opening $9.5bn balance (conservative — no credit for deleveraging). Synergies phase 30% / 70% / 100%. No new Sun shares issued, so the full earnings pickup flows to EPS.</w:t>
      </w:r>
    </w:p>
    <w:p>
      <w:pPr>
        <w:pStyle w:val="CaptionedFigure"/>
      </w:pPr>
      <w:r>
        <w:drawing>
          <wp:inline>
            <wp:extent cx="5669280" cy="3026818"/>
            <wp:effectExtent b="0" l="0" r="0" t="0"/>
            <wp:docPr descr="Year-1 EPS accretion bridge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8_fig2_eps_brid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2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Year-1 EPS accretion bridge</w:t>
      </w:r>
    </w:p>
    <w:p>
      <w:pPr>
        <w:pStyle w:val="BodyText"/>
      </w:pPr>
      <w:r>
        <w:t xml:space="preserve">The bridge shows the mechanics: Organon’s ~₹30.5/share earnings pickup dwarfs the ~₹6.4/share combined drag from acquisition interest and PPA amortization, with synergies (~₹3.0) on top.</w:t>
      </w:r>
    </w:p>
    <w:p>
      <w:pPr>
        <w:pStyle w:val="Heading2"/>
      </w:pPr>
      <w:bookmarkStart w:id="28" w:name="Xa795d1e9fff8cafd7111011f358908357ce5894"/>
      <w:r>
        <w:t xml:space="preserve">8.5 Why the accretion is so large — and what it hides</w:t>
      </w:r>
      <w:bookmarkEnd w:id="28"/>
    </w:p>
    <w:p>
      <w:pPr>
        <w:pStyle w:val="FirstParagraph"/>
      </w:pPr>
      <w:r>
        <w:t xml:space="preserve">The +60% headline follows mechanically from three facts: (1) all-cash, so</w:t>
      </w:r>
      <w:r>
        <w:t xml:space="preserve"> </w:t>
      </w:r>
      <w:r>
        <w:rPr>
          <w:b/>
        </w:rPr>
        <w:t xml:space="preserve">no new shares</w:t>
      </w:r>
      <w:r>
        <w:t xml:space="preserve"> </w:t>
      </w:r>
      <w:r>
        <w:t xml:space="preserve">dilute the denominator; (2) Organon adds ~$1.3bn of pre-financing after-tax earnings against Sun’s ~$1.3bn — nearly doubling the business; (3) Organon’s earnings yield (EBIT ÷ EV ≈ 13–14%) far exceeds the ~4.9% after-tax cost of the debt used to buy it. Any all-cash, debt-funded acquisition of a high-earnings-yield target at a low multiple is strongly accretive.</w:t>
      </w:r>
    </w:p>
    <w:p>
      <w:pPr>
        <w:pStyle w:val="BodyText"/>
      </w:pPr>
      <w:r>
        <w:t xml:space="preserve">That is exactly why EPS accretion is the wrong scorecard here. The lift is bought with ~$9.5bn of debt; the same leverage that inflates EPS also concentrates risk. The correct tests — run in the risk chapter — are whether Organon’s FCF services and retires that debt, and whether returns exceed Sun’s cost of capital. EPS says yes loudly; the balance sheet says proceed carefully.</w:t>
      </w:r>
    </w:p>
    <w:p>
      <w:pPr>
        <w:pStyle w:val="Heading2"/>
      </w:pPr>
      <w:bookmarkStart w:id="29" w:name="merger-conclusion"/>
      <w:r>
        <w:t xml:space="preserve">8.6 Merger conclusion</w:t>
      </w:r>
      <w:bookmarkEnd w:id="29"/>
    </w:p>
    <w:p>
      <w:pPr>
        <w:pStyle w:val="FirstParagraph"/>
      </w:pPr>
      <w:r>
        <w:t xml:space="preserve">The transaction is materially EPS accretive from Year 1 (~+60%), rising to ~+75% by Year 3 as synergies phase in — with ~$1.3bn of goodwill and ~2.3x opening leverage that deleverages on Organon’s cash flow. Accretion is not the binding constraint; the binding constraints are Organon’s FCF durability (established-brands decline, the Nexplanon overhang) and refinancing the bridge. Those are stress-tested next.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assumptions-sources"/>
      <w:r>
        <w:t xml:space="preserve">Assumptions &amp; sources</w:t>
      </w:r>
      <w:bookmarkEnd w:id="30"/>
    </w:p>
    <w:p>
      <w:pPr>
        <w:numPr>
          <w:ilvl w:val="0"/>
          <w:numId w:val="1001"/>
        </w:numPr>
        <w:pStyle w:val="Compact"/>
      </w:pPr>
      <w:r>
        <w:t xml:space="preserve">Sun standalone: net income $1,278m (₹10,929cr ÷ FX 85.5), 2,399.3m shares, EPS ₹45.5. Held flat across years (conservative).</w:t>
      </w:r>
    </w:p>
    <w:p>
      <w:pPr>
        <w:numPr>
          <w:ilvl w:val="0"/>
          <w:numId w:val="1001"/>
        </w:numPr>
        <w:pStyle w:val="Compact"/>
      </w:pPr>
      <w:r>
        <w:t xml:space="preserve">Organon: adj. net income $954m; existing pre-tax interest ~$450m added back to derive pre-financing earnings; EBITDA $1,910m.</w:t>
      </w:r>
    </w:p>
    <w:p>
      <w:pPr>
        <w:numPr>
          <w:ilvl w:val="0"/>
          <w:numId w:val="1001"/>
        </w:numPr>
        <w:pStyle w:val="Compact"/>
      </w:pPr>
      <w:r>
        <w:t>Financing: new debt $9,500m at 6.0% blended; $2,240m Sun cash used at 4.0% forgone; tax 19%.</w:t>
      </w:r>
    </w:p>
    <w:p>
      <w:pPr>
        <w:numPr>
          <w:ilvl w:val="0"/>
          <w:numId w:val="1001"/>
        </w:numPr>
        <w:pStyle w:val="Compact"/>
      </w:pPr>
      <w:r>
        <w:t xml:space="preserve">Synergies: $350m run-rate, phased 30/70/100 (Ch.4); after-tax.</w:t>
      </w:r>
    </w:p>
    <w:p>
      <w:pPr>
        <w:numPr>
          <w:ilvl w:val="0"/>
          <w:numId w:val="1001"/>
        </w:numPr>
        <w:pStyle w:val="Compact"/>
      </w:pPr>
      <w:r>
        <w:t>PPA: equity purchase $3,640m, book equity $700m (est.), intangible step-up $2,000m over 15 yrs, DTL at 19%; goodwill is the plug.</w:t>
      </w:r>
    </w:p>
    <w:p>
      <w:pPr>
        <w:numPr>
          <w:ilvl w:val="0"/>
          <w:numId w:val="1001"/>
        </w:numPr>
        <w:pStyle w:val="Compact"/>
      </w:pPr>
      <w:r>
        <w:t xml:space="preserve">Debt schedule: interest on opening balance; flat $1,800m/yr FCF sweep — illustrative deleveraging, not a forecast.</w:t>
      </w:r>
    </w:p>
    <w:p>
      <w:pPr>
        <w:numPr>
          <w:ilvl w:val="0"/>
          <w:numId w:val="1001"/>
        </w:numPr>
        <w:pStyle w:val="Compact"/>
      </w:pPr>
      <w:r>
        <w:t xml:space="preserve">FX ₹85.5/USD; cross-border — INR acquirer, USD target.</w:t>
      </w:r>
    </w:p>
    <w:p>
      <w:pPr>
        <w:pStyle w:val="FirstParagraph"/>
      </w:pPr>
      <w:r>
        <w:rPr>
          <w:i/>
        </w:rPr>
        <w:t xml:space="preserve">Live model:</w:t>
      </w:r>
      <w:r>
        <w:rPr>
          <w:i/>
        </w:rPr>
        <w:t xml:space="preserve"> </w:t>
      </w:r>
      <w:r>
        <w:rPr>
          <w:rStyle w:val="VerbatimChar"/>
          <w:i/>
        </w:rPr>
        <w:t xml:space="preserve">Chapter 8 - Merger Model/Merger_Model.xlsx</w:t>
      </w:r>
      <w:r>
        <w:rPr>
          <w:i/>
        </w:rPr>
        <w:t xml:space="preserve"> </w:t>
      </w:r>
      <w:r>
        <w:rPr>
          <w:i/>
        </w:rPr>
        <w:t xml:space="preserve">(Sources &amp; Uses, PPA, Debt Schedule, Accretion — all formula-linked). Sources: prior chapters and company disclosures; full map in</w:t>
      </w:r>
      <w:r>
        <w:rPr>
          <w:i/>
        </w:rPr>
        <w:t xml:space="preserve"> </w:t>
      </w:r>
      <w:r>
        <w:rPr>
          <w:rStyle w:val="VerbatimChar"/>
          <w:i/>
        </w:rPr>
        <w:t xml:space="preserve">05_Data/DATA_SOURCES.docx</w:t>
      </w:r>
      <w:r>
        <w:rPr>
          <w:i/>
        </w:rPr>
        <w:t xml:space="preserve">.</w:t>
      </w:r>
    </w:p>
    <w:sectPr>
      <w:footerReference w:type="default" r:id="rId10"/>
      <w:pgSz w:w="12240" w:h="15840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BFBFBF"/>
      </w:pBdr>
      <w:tabs>
        <w:tab w:val="right" w:pos="9360"/>
      </w:tabs>
      <w:spacing w:before="60" w:after="0"/>
    </w:pPr>
    <w:r>
      <w:rPr>
        <w:rFonts w:ascii="Arial" w:hAnsi="Arial"/>
        <w:b/>
        <w:color w:val="404040"/>
        <w:sz w:val="15"/>
      </w:rPr>
      <w:t>Sun Pharma – Organon Acquisition Analysis</w:t>
    </w:r>
    <w:r>
      <w:rPr>
        <w:rFonts w:ascii="Arial" w:hAnsi="Arial"/>
        <w:color w:val="7F7F7F"/>
        <w:sz w:val="15"/>
      </w:rPr>
      <w:tab/>
      <w:t xml:space="preserve">Page </w:t>
    </w:r>
    <w:r>
      <w:rPr>
        <w:rFonts w:ascii="Arial" w:hAnsi="Arial"/>
        <w:color w:val="7F7F7F"/>
        <w:sz w:val="15"/>
      </w:rPr>
      <w:fldChar w:fldCharType="begin"/>
    </w:r>
    <w:r>
      <w:rPr>
        <w:rFonts w:ascii="Arial" w:hAnsi="Arial"/>
        <w:color w:val="7F7F7F"/>
        <w:sz w:val="15"/>
      </w:rPr>
      <w:instrText xml:space="preserve"> PAGE </w:instrText>
    </w:r>
    <w:r>
      <w:rPr>
        <w:rFonts w:ascii="Arial" w:hAnsi="Arial"/>
        <w:color w:val="7F7F7F"/>
        <w:sz w:val="1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</v:formulas>
          <v:path textpathok="t" o:connecttype="custom"/>
          <v:textpath on="t" fitshape="t"/>
        </v:shapetype>
        <v:shape id="wm1" type="#_x0000_t136" style="position:absolute;margin-left:0;margin-top:0;width:520pt;height:130pt;rotation:-40;z-index:-251658240;mso-position-horizontal:center;mso-position-horizontal-relative:margin;mso-position-vertical:center;mso-position-vertical-relative:margin" fillcolor="#E4E4E4" stroked="f">
          <v:textpath style="font-family:&quot;Arial&quot;;font-weight:bold" string="CONFIDENTIAL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222222"/>
        <w:sz w:val="20"/>
        <w:szCs w:val="20"/>
        <w:lang w:val="en-US" w:eastAsia="en-US" w:bidi="ar-SA"/>
      </w:rPr>
    </w:rPrDefault>
    <w:pPrDefault>
      <w:pPr>
        <w:spacing w:after="14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0" w:after="14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80"/>
      <w:jc w:val="left"/>
    </w:pPr>
    <w:rPr>
      <w:rFonts w:ascii="Arial" w:eastAsia="Arial" w:hAnsi="Arial" w:cs="Arial"/>
      <w:b/>
      <w:bCs/>
      <w:color w:val="000000"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000000"/>
      </w:pBdr>
      <w:spacing w:before="360" w:after="120"/>
      <w:jc w:val="left"/>
      <w:outlineLvl w:val="0"/>
    </w:pPr>
    <w:rPr>
      <w:rFonts w:ascii="Arial" w:eastAsia="Arial" w:hAnsi="Arial" w:cs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60" w:after="60"/>
      <w:jc w:val="left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jc w:val="left"/>
      <w:outlineLvl w:val="2"/>
    </w:pPr>
    <w:rPr>
      <w:rFonts w:ascii="Arial" w:eastAsia="Arial" w:hAnsi="Arial" w:cs="Arial"/>
      <w:b/>
      <w:bCs/>
      <w:color w:val="000000"/>
      <w:sz w:val="21"/>
      <w:szCs w:val="2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qFormat/>
    <w:pPr>
      <w:spacing w:before="20" w:after="20"/>
      <w:jc w:val="left"/>
    </w:pPr>
    <w:rPr>
      <w:rFonts w:ascii="Arial" w:hAnsi="Arial"/>
      <w:sz w:val="19"/>
      <w:szCs w:val="19"/>
    </w:rPr>
    <w:tblPr>
      <w:tblInd w:w="0" w:type="dxa"/>
      <w:tblBorders>
        <w:top w:val="single" w:sz="4" w:space="0" w:color="BFBFBF"/>
        <w:bottom w:val="single" w:sz="4" w:space="0" w:color="BFBFBF"/>
        <w:insideH w:val="single" w:sz="4" w:space="0" w:color="DDDDDD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rFonts w:ascii="Arial" w:hAnsi="Arial"/>
        <w:b/>
        <w:color w:val="000000"/>
        <w:sz w:val="18"/>
      </w:rPr>
      <w:tcPr>
        <w:shd w:val="clear" w:color="auto" w:fill="E6E6E6"/>
        <w:tcBorders>
          <w:bottom w:val="single" w:sz="8" w:space="0" w:color="000000"/>
        </w:tcBorders>
      </w:tcPr>
    </w:tblStylePr>
    <w:tblStylePr w:type="band2Horz">
      <w:tcPr>
        <w:shd w:val="clear" w:color="auto" w:fill="F4F4F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6" Type="http://schemas.openxmlformats.org/officeDocument/2006/relationships/image" Target="media/rId26.png"/><Relationship Id="rId27" Type="http://schemas.openxmlformats.org/officeDocument/2006/relationships/image" Target="media/rId27.png"/><Relationship Id="rId24" Type="http://schemas.openxmlformats.org/officeDocument/2006/relationships/image" Target="media/rId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2026-07-27T08:52:55Z</dcterms:created>
  <dcterms:modified xsi:type="dcterms:W3CDTF">2026-07-27T08:52:55Z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