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isk-analysis"/>
      <w:r>
        <w:t xml:space="preserve">9. Risk Analysis</w:t>
      </w:r>
      <w:bookmarkEnd w:id="20"/>
    </w:p>
    <w:p>
      <w:pPr>
        <w:pStyle w:val="FirstParagraph"/>
      </w:pPr>
      <w:r>
        <w:t xml:space="preserve">The thesis has one dominant risk and three secondary ones. Dominant: Organon’s established-brands cash flow declining faster than modelled, which breaks the deleveraging math. Secondary: refinancing the ~$9.5bn bridge, the Nexplanon sales-practice probe, and biosimilar price erosion. Every other risk is manageable. The valuation’s ~15–20% margin of safety and Organon’s high cash conversion are the buffers.</w:t>
      </w:r>
    </w:p>
    <w:p>
      <w:pPr>
        <w:pStyle w:val="Heading2"/>
      </w:pPr>
      <w:bookmarkStart w:id="21" w:name="risk-heatmap"/>
      <w:r>
        <w:t xml:space="preserve">9.1 Risk heatmap</w:t>
      </w:r>
      <w:bookmarkEnd w:id="21"/>
    </w:p>
    <w:p>
      <w:pPr>
        <w:pStyle w:val="CaptionedFigure"/>
      </w:pPr>
      <w:r>
        <w:drawing>
          <wp:inline>
            <wp:extent cx="5577840" cy="3445136"/>
            <wp:effectExtent b="0" l="0" r="0" t="0"/>
            <wp:docPr descr="Risk heatmap — probability × impact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9_fig1_heat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44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Risk heatmap — probability × impact</w:t>
      </w:r>
    </w:p>
    <w:p>
      <w:pPr>
        <w:pStyle w:val="BodyText"/>
      </w:pPr>
      <w:r>
        <w:t xml:space="preserve">Four risks sit in the high-priority zone (score ≥12): established-brands decline, refinancing/rates, the Nexplanon probe, and biosimilar erosion. The full register — probability, impact, score and mitigation for each — is in</w:t>
      </w:r>
      <w:r>
        <w:t xml:space="preserve"> </w:t>
      </w:r>
      <w:r>
        <w:rPr>
          <w:rStyle w:val="VerbatimChar"/>
        </w:rPr>
        <w:t xml:space="preserve">Risk_Register.xlsx</w:t>
      </w:r>
      <w:r>
        <w:t xml:space="preserve">.</w:t>
      </w:r>
    </w:p>
    <w:p>
      <w:pPr>
        <w:pStyle w:val="Heading2"/>
      </w:pPr>
      <w:bookmarkStart w:id="23" w:name="risk-categories"/>
      <w:r>
        <w:t xml:space="preserve">9.2 Risk categories</w:t>
      </w:r>
      <w:bookmarkEnd w:id="23"/>
    </w:p>
    <w:p>
      <w:pPr>
        <w:pStyle w:val="FirstParagraph"/>
      </w:pPr>
      <w:r>
        <w:rPr>
          <w:b/>
        </w:rPr>
        <w:t xml:space="preserve">Commercial — HIGH.</w:t>
      </w:r>
      <w:r>
        <w:t xml:space="preserve"> </w:t>
      </w:r>
      <w:r>
        <w:t xml:space="preserve">~59% of Organon revenue is established brands in secular decline. Faster erosion directly cuts the EBITDA that services the debt. Mitigant: mix shift to Women’s Health/Biosimilars; the low ~6.2x entry multiple prices in decline.</w:t>
      </w:r>
    </w:p>
    <w:p>
      <w:pPr>
        <w:pStyle w:val="BodyText"/>
      </w:pPr>
      <w:r>
        <w:rPr>
          <w:b/>
        </w:rPr>
        <w:t xml:space="preserve">Regulatory — LOW/MEDIUM.</w:t>
      </w:r>
      <w:r>
        <w:t xml:space="preserve"> </w:t>
      </w:r>
      <w:r>
        <w:t xml:space="preserve">Antitrust risk is low (limited product overlap). The live items are multi-jurisdiction competition filings and India outbound-investment approvals; both are process, not existential.</w:t>
      </w:r>
    </w:p>
    <w:p>
      <w:pPr>
        <w:pStyle w:val="BodyText"/>
      </w:pPr>
      <w:r>
        <w:rPr>
          <w:b/>
        </w:rPr>
        <w:t xml:space="preserve">Execution — MEDIUM.</w:t>
      </w:r>
      <w:r>
        <w:t xml:space="preserve"> </w:t>
      </w:r>
      <w:r>
        <w:t xml:space="preserve">Delivering &gt;$350m of synergies on schedule. Mitigant: procurement-led quick wins; conservative 30/70/100 phasing.</w:t>
      </w:r>
    </w:p>
    <w:p>
      <w:pPr>
        <w:pStyle w:val="BodyText"/>
      </w:pPr>
      <w:r>
        <w:rPr>
          <w:b/>
        </w:rPr>
        <w:t xml:space="preserve">Integration — MEDIUM.</w:t>
      </w:r>
      <w:r>
        <w:t xml:space="preserve"> </w:t>
      </w:r>
      <w:r>
        <w:t xml:space="preserve">An Indian acquirer integrating a large US-listed multinational — systems, talent retention, governance. Mitigant: dedicated integration office; retain Organon’s commercial organisation.</w:t>
      </w:r>
    </w:p>
    <w:p>
      <w:pPr>
        <w:pStyle w:val="BodyText"/>
      </w:pPr>
      <w:r>
        <w:rPr>
          <w:b/>
        </w:rPr>
        <w:t xml:space="preserve">Macroeconomic — LOW/MEDIUM.</w:t>
      </w:r>
      <w:r>
        <w:t xml:space="preserve"> </w:t>
      </w:r>
      <w:r>
        <w:t xml:space="preserve">Pharma demand is defensive; geographic diversification cushions. Rate cycle matters mainly via financing (below).</w:t>
      </w:r>
    </w:p>
    <w:p>
      <w:pPr>
        <w:pStyle w:val="BodyText"/>
      </w:pPr>
      <w:r>
        <w:rPr>
          <w:b/>
        </w:rPr>
        <w:t xml:space="preserve">Currency — MEDIUM.</w:t>
      </w:r>
      <w:r>
        <w:t xml:space="preserve"> </w:t>
      </w:r>
      <w:r>
        <w:t xml:space="preserve">USD/INR and EUR exposure. Mitigant: USD-denominated debt is largely matched to Organon’s USD cash flows (natural hedge); residual INR exposure at the parent.</w:t>
      </w:r>
    </w:p>
    <w:p>
      <w:pPr>
        <w:pStyle w:val="BodyText"/>
      </w:pPr>
      <w:r>
        <w:rPr>
          <w:b/>
        </w:rPr>
        <w:t xml:space="preserve">Financing — HIGH.</w:t>
      </w:r>
      <w:r>
        <w:t xml:space="preserve"> </w:t>
      </w:r>
      <w:r>
        <w:t xml:space="preserve">The ~$9.5bn bridge must be termed out into bonds/loans. A rate or spread shock between signing and take-out raises blended cost toward Organon’s asset yield and compresses returns. Mitigant: committed bridge de-risks closing; term out early; hedge.</w:t>
      </w:r>
    </w:p>
    <w:p>
      <w:pPr>
        <w:pStyle w:val="BodyText"/>
      </w:pPr>
      <w:r>
        <w:rPr>
          <w:b/>
        </w:rPr>
        <w:t xml:space="preserve">Litigation — MEDIUM/HIGH.</w:t>
      </w:r>
      <w:r>
        <w:t xml:space="preserve"> </w:t>
      </w:r>
      <w:r>
        <w:t xml:space="preserve">The Nexplanon sales-practice probe (Ch.3) casts doubt on Women’s Health revenue quality and carries legal/reputational exposure. Mitigant: diligence, reps &amp; warranties, indemnity/escrow, price protection.</w:t>
      </w:r>
    </w:p>
    <w:p>
      <w:pPr>
        <w:pStyle w:val="BodyText"/>
      </w:pPr>
      <w:r>
        <w:rPr>
          <w:b/>
        </w:rPr>
        <w:t xml:space="preserve">Competition — HIGH.</w:t>
      </w:r>
      <w:r>
        <w:t xml:space="preserve"> </w:t>
      </w:r>
      <w:r>
        <w:t xml:space="preserve">Biosimilars are a price-erosion business; more entrants compress margins. Mitigant: Sun’s low-cost, API-integrated manufacturing is the structural edge.</w:t>
      </w:r>
    </w:p>
    <w:p>
      <w:pPr>
        <w:pStyle w:val="BodyText"/>
      </w:pPr>
      <w:r>
        <w:rPr>
          <w:b/>
        </w:rPr>
        <w:t xml:space="preserve">Technology — LOW.</w:t>
      </w:r>
      <w:r>
        <w:t xml:space="preserve"> </w:t>
      </w:r>
      <w:r>
        <w:t xml:space="preserve">Limited reliance on unproven pipeline; the portfolio is established. Manageable.</w:t>
      </w:r>
    </w:p>
    <w:p>
      <w:pPr>
        <w:pStyle w:val="Heading2"/>
      </w:pPr>
      <w:bookmarkStart w:id="24" w:name="value-sensitivity-tornado"/>
      <w:r>
        <w:t xml:space="preserve">9.3 Value sensitivity — tornado</w:t>
      </w:r>
      <w:bookmarkEnd w:id="24"/>
    </w:p>
    <w:p>
      <w:pPr>
        <w:pStyle w:val="CaptionedFigure"/>
      </w:pPr>
      <w:r>
        <w:drawing>
          <wp:inline>
            <wp:extent cx="5577840" cy="2820433"/>
            <wp:effectExtent b="0" l="0" r="0" t="0"/>
            <wp:docPr descr="Tornado — sensitivity of value to key drivers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9_fig2_tornad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20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Tornado — sensitivity of value to key drivers</w:t>
      </w:r>
    </w:p>
    <w:p>
      <w:pPr>
        <w:pStyle w:val="BodyText"/>
      </w:pPr>
      <w:r>
        <w:t xml:space="preserve">Standalone equity value (base ~$16.5/share) is most sensitive to the</w:t>
      </w:r>
      <w:r>
        <w:t xml:space="preserve"> </w:t>
      </w:r>
      <w:r>
        <w:rPr>
          <w:b/>
        </w:rPr>
        <w:t xml:space="preserve">terminal exit multiple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revenue trajectory</w:t>
      </w:r>
      <w:r>
        <w:t xml:space="preserve"> </w:t>
      </w:r>
      <w:r>
        <w:t xml:space="preserve">— i.e., to how the market ultimately capitalises a declining-brands business and how fast that base erodes. Margin and WACC matter less. This confirms the commercial risk (decline) as the binding variable, not the discount rate.</w:t>
      </w:r>
    </w:p>
    <w:p>
      <w:pPr>
        <w:pStyle w:val="Heading2"/>
      </w:pPr>
      <w:bookmarkStart w:id="26" w:name="key-risk-deep-dives"/>
      <w:r>
        <w:t xml:space="preserve">9.4 Key-risk deep dives</w:t>
      </w:r>
      <w:bookmarkEnd w:id="26"/>
    </w:p>
    <w:p>
      <w:pPr>
        <w:pStyle w:val="FirstParagraph"/>
      </w:pPr>
      <w:r>
        <w:rPr>
          <w:b/>
        </w:rPr>
        <w:t xml:space="preserve">(1) Established-brands decline.</w:t>
      </w:r>
      <w:r>
        <w:t xml:space="preserve"> </w:t>
      </w:r>
      <w:r>
        <w:t xml:space="preserve">At −4%/yr (vs ~flat base), standalone value falls toward the low end of the football field and combined FCF weakens — the case that most threatens the deleveraging path. This is the single risk to underwrite hardest.</w:t>
      </w:r>
    </w:p>
    <w:p>
      <w:pPr>
        <w:pStyle w:val="BodyText"/>
      </w:pPr>
      <w:r>
        <w:rPr>
          <w:b/>
        </w:rPr>
        <w:t xml:space="preserve">(2) Refinancing the bridge.</w:t>
      </w:r>
      <w:r>
        <w:t xml:space="preserve"> </w:t>
      </w:r>
      <w:r>
        <w:t xml:space="preserve">~$9.5bn must be refinanced. Every +100 bps on the permanent debt is ~$95m of pre-tax interest (~$77m after-tax) — meaningful against combined earnings and the deleveraging schedule. The committed bridge removes closing risk but not take-out-pricing risk.</w:t>
      </w:r>
    </w:p>
    <w:p>
      <w:pPr>
        <w:pStyle w:val="BodyText"/>
      </w:pPr>
      <w:r>
        <w:rPr>
          <w:b/>
        </w:rPr>
        <w:t xml:space="preserve">(3) Nexplanon probe.</w:t>
      </w:r>
      <w:r>
        <w:t xml:space="preserve"> </w:t>
      </w:r>
      <w:r>
        <w:t xml:space="preserve">Channel-stuffing findings imply some reported Women’s Health revenue was pulled forward. If underlying demand is lower, both the growth franchise and the valuation base are weaker than they appear — hence the emphasis on reps, warranties and indemnities.</w:t>
      </w:r>
    </w:p>
    <w:p>
      <w:pPr>
        <w:pStyle w:val="Heading2"/>
      </w:pPr>
      <w:bookmarkStart w:id="27" w:name="risk-conclusion"/>
      <w:r>
        <w:t xml:space="preserve">9.5 Risk conclusion</w:t>
      </w:r>
      <w:bookmarkEnd w:id="27"/>
    </w:p>
    <w:p>
      <w:pPr>
        <w:pStyle w:val="FirstParagraph"/>
      </w:pPr>
      <w:r>
        <w:t xml:space="preserve">The risk profile is concentrated, not diffuse: get the established-brands decline and the bridge refinancing right and the deal works; miss on either and the leverage that made it accretive becomes the problem. The mitigants — a low entry multiple, high cash conversion, a committed bridge, and contractual protection on the Nexplanon issue — are adequate but not abundant. Net: an acceptable, underwrite-able risk profile, conditional on disciplined diligence and financing execution.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assumptions-sources"/>
      <w:r>
        <w:t xml:space="preserve">Assumptions &amp; sources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Probability/impact scores (1–5) are analyst judgement; register and scores in</w:t>
      </w:r>
      <w:r>
        <w:t xml:space="preserve"> </w:t>
      </w:r>
      <w:r>
        <w:rPr>
          <w:rStyle w:val="VerbatimChar"/>
        </w:rPr>
        <w:t xml:space="preserve">Risk_Register.xlsx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Tornado computed from the Ch.7 DCF: exit multiple 5.5–6.5x, revenue −4%/yr to +1.5%/yr, margin 28–32%, WACC 8.5–9.5%; base $16.5/share.</w:t>
      </w:r>
    </w:p>
    <w:p>
      <w:pPr>
        <w:numPr>
          <w:ilvl w:val="0"/>
          <w:numId w:val="1001"/>
        </w:numPr>
        <w:pStyle w:val="Compact"/>
      </w:pPr>
      <w:r>
        <w:t xml:space="preserve">Refinancing sensitivity: +100 bps on ~$9.5bn ≈ $95m pre-tax / ~$77m after-tax.</w:t>
      </w:r>
    </w:p>
    <w:p>
      <w:pPr>
        <w:numPr>
          <w:ilvl w:val="0"/>
          <w:numId w:val="1001"/>
        </w:numPr>
        <w:pStyle w:val="Compact"/>
      </w:pPr>
      <w:r>
        <w:t xml:space="preserve">Nexplanon probe per company disclosure (Oct 2025) and reporting.</w:t>
      </w:r>
    </w:p>
    <w:p>
      <w:pPr>
        <w:pStyle w:val="FirstParagraph"/>
      </w:pPr>
      <w:r>
        <w:rPr>
          <w:i/>
        </w:rPr>
        <w:t xml:space="preserve">Sources: prior chapters; Organon disclosures (Nexplanon probe); FRED (rates). Full map in</w:t>
      </w:r>
      <w:r>
        <w:rPr>
          <w:i/>
        </w:rPr>
        <w:t xml:space="preserve"> </w:t>
      </w:r>
      <w:r>
        <w:rPr>
          <w:rStyle w:val="VerbatimChar"/>
          <w:i/>
        </w:rPr>
        <w:t xml:space="preserve">05_Data/DATA_SOURCES.docx</w:t>
      </w:r>
      <w:r>
        <w:rPr>
          <w:i/>
        </w:rPr>
        <w:t xml:space="preserve">.</w:t>
      </w:r>
    </w:p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eader" Id="rId9" Target="header1.xml" /><Relationship Type="http://schemas.openxmlformats.org/officeDocument/2006/relationships/footer" Id="rId10" Target="footer1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2026-07-27T09:25:51Z</dcterms:created>
  <dcterms:modified xsi:type="dcterms:W3CDTF">2026-07-27T09:25:51Z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