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art-4-data-sourcing-map"/>
      <w:r>
        <w:t xml:space="preserve">Part 4 — Data Sourcing Map</w:t>
      </w:r>
      <w:bookmarkEnd w:id="20"/>
    </w:p>
    <w:p>
      <w:pPr>
        <w:pStyle w:val="FirstParagraph"/>
      </w:pPr>
      <w:r>
        <w:t xml:space="preserve">Every dataset needed to build this deal book, tiered by necessity. For each:</w:t>
      </w:r>
      <w:r>
        <w:t xml:space="preserve"> </w:t>
      </w:r>
      <w:r>
        <w:rPr>
          <w:b/>
        </w:rPr>
        <w:t xml:space="preserve">source · URL · reliability · free/paid · update frequency · data fields</w:t>
      </w:r>
      <w:r>
        <w:t xml:space="preserve">. Where an institutional source (Capital IQ, Bloomberg) is normally used, a free alternative is given so the whole project is reproducible with zero paid subscriptions.</w:t>
      </w:r>
    </w:p>
    <w:p>
      <w:pPr>
        <w:pStyle w:val="BodyText"/>
      </w:pPr>
      <w:r>
        <w:t xml:space="preserve">Convention:</w:t>
      </w:r>
      <w:r>
        <w:t xml:space="preserve"> </w:t>
      </w:r>
      <w:r>
        <w:rPr>
          <w:b/>
        </w:rPr>
        <w:t xml:space="preserve">Reliability</w:t>
      </w:r>
      <w:r>
        <w:t xml:space="preserve"> </w:t>
      </w:r>
      <w:r>
        <w:t xml:space="preserve">= Primary (regulatory/company filing), High (reputable aggregator tied to filings), Medium (third-party estimate). Prefer Primary for anything that goes into the model; use aggregators only for speed then tie back to the filing.</w:t>
      </w:r>
    </w:p>
    <w:p>
      <w:pPr>
        <w:pStyle w:val="Heading2"/>
      </w:pPr>
      <w:bookmarkStart w:id="21" w:name="X249f32b02ae51879e3ed1171ef892a09ab3f818"/>
      <w:r>
        <w:t xml:space="preserve">A. MANDATORY — the model cannot be built without these</w:t>
      </w:r>
      <w:bookmarkEnd w:id="21"/>
    </w:p>
    <w:p>
      <w:pPr>
        <w:pStyle w:val="Heading3"/>
      </w:pPr>
      <w:bookmarkStart w:id="22" w:name="Xffc87d4f5472c65984c323f5198113fde5ebc7a"/>
      <w:r>
        <w:t xml:space="preserve">1. Organon &amp; Co. — SEC filings (10-K, 10-Q, DEF 14A, 8-K, merger proxy)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t xml:space="preserve">SEC EDGAR (Organon &amp; Co., CIK 0001821825)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URL:</w:t>
      </w:r>
      <w:r>
        <w:t xml:space="preserve"> </w:t>
      </w:r>
      <w:r>
        <w:t xml:space="preserve">https://www.sec.gov/cgi-bin/browse-edgar?action=getcompany&amp;CIK=0001821825&amp;type=&amp;dateb=&amp;owner=include&amp;count=100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Reliability:</w:t>
      </w:r>
      <w:r>
        <w:t xml:space="preserve"> </w:t>
      </w:r>
      <w:r>
        <w:t xml:space="preserve">Primary ·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Free ·</w:t>
      </w:r>
      <w:r>
        <w:t xml:space="preserve"> </w:t>
      </w:r>
      <w:r>
        <w:rPr>
          <w:b/>
        </w:rPr>
        <w:t xml:space="preserve">Frequency:</w:t>
      </w:r>
      <w:r>
        <w:t xml:space="preserve"> </w:t>
      </w:r>
      <w:r>
        <w:t xml:space="preserve">Quarterly (10-Q), Annual (10-K), event-driven (8-K)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Fields:</w:t>
      </w:r>
      <w:r>
        <w:t xml:space="preserve"> </w:t>
      </w:r>
      <w:r>
        <w:t xml:space="preserve">Full income statement, balance sheet, cash-flow statement; segment revenue (Women’s Health / Biosimilars / Established Brands); geographic revenue; debt schedule &amp; maturities; share count; management discussion; risk factors.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Deal-specific: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PREM14A / DEFM14A merger proxy</w:t>
      </w:r>
      <w:r>
        <w:t xml:space="preserve"> </w:t>
      </w:r>
      <w:r>
        <w:t xml:space="preserve">— banker fairness opinion, background of the merger, management projections, deal terms, $120m termination fee.</w:t>
      </w:r>
    </w:p>
    <w:p>
      <w:pPr>
        <w:pStyle w:val="Heading3"/>
      </w:pPr>
      <w:bookmarkStart w:id="23" w:name="X5e3087e47397b2ff8576ade0cb63dc7afb4563b"/>
      <w:r>
        <w:t xml:space="preserve">2. Sun Pharmaceutical Industries Ltd. — annual report &amp; results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t xml:space="preserve">Sun Pharma Investor Relations + BSE/NSE filings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URL:</w:t>
      </w:r>
      <w:r>
        <w:t xml:space="preserve"> </w:t>
      </w:r>
      <w:r>
        <w:t xml:space="preserve">https://sunpharma.com/investors/ · quarterly PDFs at https://sunpharma.com/wp-content/uploads/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Reliability:</w:t>
      </w:r>
      <w:r>
        <w:t xml:space="preserve"> </w:t>
      </w:r>
      <w:r>
        <w:t xml:space="preserve">Primary ·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Free ·</w:t>
      </w:r>
      <w:r>
        <w:t xml:space="preserve"> </w:t>
      </w:r>
      <w:r>
        <w:rPr>
          <w:b/>
        </w:rPr>
        <w:t xml:space="preserve">Frequency:</w:t>
      </w:r>
      <w:r>
        <w:t xml:space="preserve"> </w:t>
      </w:r>
      <w:r>
        <w:t xml:space="preserve">Quarterly + Annual (Mar-YE)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Fields:</w:t>
      </w:r>
      <w:r>
        <w:t xml:space="preserve"> </w:t>
      </w:r>
      <w:r>
        <w:t xml:space="preserve">Consolidated P&amp;L, balance sheet, cash flow (Ind-AS); segment/geographic revenue (US, India, EM, RoW, API); R&amp;D spend; net cash; EPS; shareholding pattern.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Note:</w:t>
      </w:r>
      <w:r>
        <w:t xml:space="preserve"> </w:t>
      </w:r>
      <w:r>
        <w:t xml:space="preserve">Reports in INR to a</w:t>
      </w:r>
      <w:r>
        <w:t xml:space="preserve"> </w:t>
      </w:r>
      <w:r>
        <w:rPr>
          <w:b/>
        </w:rPr>
        <w:t xml:space="preserve">March 31</w:t>
      </w:r>
      <w:r>
        <w:t xml:space="preserve"> </w:t>
      </w:r>
      <w:r>
        <w:t xml:space="preserve">year-end — requires FX and calendarisation to compare with Organon.</w:t>
      </w:r>
    </w:p>
    <w:p>
      <w:pPr>
        <w:pStyle w:val="Heading3"/>
      </w:pPr>
      <w:bookmarkStart w:id="24" w:name="deal-primary-documents"/>
      <w:r>
        <w:t xml:space="preserve">3. Deal primary documents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t xml:space="preserve">Organon &amp; Sun Pharma press releases + Organon 8-K / merger proxy on EDGAR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URLs:</w:t>
      </w:r>
      <w:r>
        <w:t xml:space="preserve"> </w:t>
      </w:r>
      <w:r>
        <w:t xml:space="preserve">Organon deal release https://www.organon.com/news/sun-pharma-signs-definitive-agreement-to-acquire-organon/ · merger proxy via EDGAR (item A1)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Reliability:</w:t>
      </w:r>
      <w:r>
        <w:t xml:space="preserve"> </w:t>
      </w:r>
      <w:r>
        <w:t xml:space="preserve">Primary ·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Free ·</w:t>
      </w:r>
      <w:r>
        <w:t xml:space="preserve"> </w:t>
      </w:r>
      <w:r>
        <w:rPr>
          <w:b/>
        </w:rPr>
        <w:t xml:space="preserve">Frequency:</w:t>
      </w:r>
      <w:r>
        <w:t xml:space="preserve"> </w:t>
      </w:r>
      <w:r>
        <w:t xml:space="preserve">Event-driven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Fields:</w:t>
      </w:r>
      <w:r>
        <w:t xml:space="preserve"> </w:t>
      </w:r>
      <w:r>
        <w:t xml:space="preserve">$14.00/share consideration, $11.75bn EV, financing (bridge/commitment), leverage target, break fee, conditions, expected timeline, regulatory jurisdictions.</w:t>
      </w:r>
    </w:p>
    <w:p>
      <w:pPr>
        <w:pStyle w:val="Heading3"/>
      </w:pPr>
      <w:bookmarkStart w:id="25" w:name="Xa92255e2fb71560ffff1e5a2d9babc5290853d5"/>
      <w:r>
        <w:t xml:space="preserve">4. Share prices &amp; shares outstanding (for equity value, beta, comps)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t xml:space="preserve">Yahoo Finance (OGN; SUNPHARMA.NS)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URL:</w:t>
      </w:r>
      <w:r>
        <w:t xml:space="preserve"> </w:t>
      </w:r>
      <w:r>
        <w:t xml:space="preserve">https://finance.yahoo.com/quote/OGN/ · https://finance.yahoo.com/quote/SUNPHARMA.NS/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Reliability:</w:t>
      </w:r>
      <w:r>
        <w:t xml:space="preserve"> </w:t>
      </w:r>
      <w:r>
        <w:t xml:space="preserve">High ·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Free ·</w:t>
      </w:r>
      <w:r>
        <w:t xml:space="preserve"> </w:t>
      </w:r>
      <w:r>
        <w:rPr>
          <w:b/>
        </w:rPr>
        <w:t xml:space="preserve">Frequency:</w:t>
      </w:r>
      <w:r>
        <w:t xml:space="preserve"> </w:t>
      </w:r>
      <w:r>
        <w:t xml:space="preserve">Daily (delayed) / historical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Fields:</w:t>
      </w:r>
      <w:r>
        <w:t xml:space="preserve"> </w:t>
      </w:r>
      <w:r>
        <w:t xml:space="preserve">Daily OHLCV, shares outstanding, market cap, unaffected price, dividend history.</w:t>
      </w:r>
      <w:r>
        <w:t xml:space="preserve"> </w:t>
      </w:r>
      <w:r>
        <w:rPr>
          <w:b/>
        </w:rPr>
        <w:t xml:space="preserve">Programmatic:</w:t>
      </w:r>
      <w:r>
        <w:t xml:space="preserve"> </w:t>
      </w:r>
      <w:r>
        <w:rPr>
          <w:rStyle w:val="VerbatimChar"/>
        </w:rPr>
        <w:t xml:space="preserve">yfinance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04_Python</w:t>
      </w:r>
      <w:r>
        <w:t xml:space="preserve">).</w:t>
      </w:r>
    </w:p>
    <w:p>
      <w:pPr>
        <w:pStyle w:val="Heading2"/>
      </w:pPr>
      <w:bookmarkStart w:id="26" w:name="Xe4debed368ea645b87b42fff0c106c0ef829c0b"/>
      <w:r>
        <w:t xml:space="preserve">B. RECOMMENDED — materially improve quality, comps, and cross-checks</w:t>
      </w:r>
      <w:bookmarkEnd w:id="26"/>
    </w:p>
    <w:p>
      <w:pPr>
        <w:pStyle w:val="Heading3"/>
      </w:pPr>
      <w:bookmarkStart w:id="27" w:name="Xd65c699e330fc12531d80da2907b11d3e2df190"/>
      <w:r>
        <w:t xml:space="preserve">5. Comparable companies — pharma / women’s health / biosimilars peers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t xml:space="preserve">Yahoo Finance / Macrotrends / company filings for each peer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Peers to pull:</w:t>
      </w:r>
      <w:r>
        <w:t xml:space="preserve"> </w:t>
      </w:r>
      <w:r>
        <w:t xml:space="preserve">Organon; Viatris (VTRS); Teva (TEVA); Hikma; Dr Reddy’s (RDY); Cipla; Lupin; Zoetis (women’s/animal adjacency only as context); Mylan-legacy comps. Biosimilars: Coherus, Celltrion, Samsung Biologics.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URL:</w:t>
      </w:r>
      <w:r>
        <w:t xml:space="preserve"> </w:t>
      </w:r>
      <w:r>
        <w:t xml:space="preserve">https://www.macrotrends.net/stocks/ · per-ticker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Reliability:</w:t>
      </w:r>
      <w:r>
        <w:t xml:space="preserve"> </w:t>
      </w:r>
      <w:r>
        <w:t xml:space="preserve">High ·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Free ·</w:t>
      </w:r>
      <w:r>
        <w:t xml:space="preserve"> </w:t>
      </w:r>
      <w:r>
        <w:rPr>
          <w:b/>
        </w:rPr>
        <w:t xml:space="preserve">Fields:</w:t>
      </w:r>
      <w:r>
        <w:t xml:space="preserve"> </w:t>
      </w:r>
      <w:r>
        <w:t xml:space="preserve">EV/EBITDA, EV/Revenue, P/E, EBITDA margin, net debt/EBITDA, revenue growth. Tie each multiple back to the peer’s latest 10-K/20-F.</w:t>
      </w:r>
    </w:p>
    <w:p>
      <w:pPr>
        <w:pStyle w:val="Heading3"/>
      </w:pPr>
      <w:bookmarkStart w:id="28" w:name="Xe6007d837c67fb28fd6059826df0d0641bffa0e"/>
      <w:r>
        <w:t xml:space="preserve">6. Comparable transactions — pharma M&amp;A precedents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t xml:space="preserve">Company press releases + acquirer/target filings; news (Fierce Pharma, C&amp;EN, Reuters)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Precedents to include:</w:t>
      </w:r>
      <w:r>
        <w:t xml:space="preserve"> </w:t>
      </w:r>
      <w:r>
        <w:t xml:space="preserve">Pfizer/Seagen; Amgen/Horizon; Teva-type carve-outs; generic/biosimilar deals; Viatris formation (Mylan/Upjohn) as a structural comp for a spin-merge of mature brands.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Reliability:</w:t>
      </w:r>
      <w:r>
        <w:t xml:space="preserve"> </w:t>
      </w:r>
      <w:r>
        <w:t xml:space="preserve">Primary (filings) / High (news) ·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Free ·</w:t>
      </w:r>
      <w:r>
        <w:t xml:space="preserve"> </w:t>
      </w:r>
      <w:r>
        <w:rPr>
          <w:b/>
        </w:rPr>
        <w:t xml:space="preserve">Fields:</w:t>
      </w:r>
      <w:r>
        <w:t xml:space="preserve"> </w:t>
      </w:r>
      <w:r>
        <w:t xml:space="preserve">Announced EV, EV/EBITDA, EV/Revenue, premium, date, structure, strategic rationale.</w:t>
      </w:r>
    </w:p>
    <w:p>
      <w:pPr>
        <w:pStyle w:val="Heading3"/>
      </w:pPr>
      <w:bookmarkStart w:id="29" w:name="macro-rates-for-wacc-fx"/>
      <w:r>
        <w:t xml:space="preserve">7. Macro / rates for WACC &amp; FX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t xml:space="preserve">FRED (US Treasury yields, credit spreads); RBI (India rates); ECB (euro rates for euro bond leg)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URL:</w:t>
      </w:r>
      <w:r>
        <w:t xml:space="preserve"> </w:t>
      </w:r>
      <w:r>
        <w:t xml:space="preserve">https://fred.stlouisfed.org/ (e.g., DGS10, BAMLH0A0HYM2) ·</w:t>
      </w:r>
      <w:r>
        <w:t xml:space="preserve"> </w:t>
      </w:r>
      <w:r>
        <w:rPr>
          <w:b/>
        </w:rPr>
        <w:t xml:space="preserve">Reliability:</w:t>
      </w:r>
      <w:r>
        <w:t xml:space="preserve"> </w:t>
      </w:r>
      <w:r>
        <w:t xml:space="preserve">Primary ·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Free ·</w:t>
      </w:r>
      <w:r>
        <w:t xml:space="preserve"> </w:t>
      </w:r>
      <w:r>
        <w:rPr>
          <w:b/>
        </w:rPr>
        <w:t xml:space="preserve">Frequency:</w:t>
      </w:r>
      <w:r>
        <w:t xml:space="preserve"> </w:t>
      </w:r>
      <w:r>
        <w:t xml:space="preserve">Daily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Fields:</w:t>
      </w:r>
      <w:r>
        <w:t xml:space="preserve"> </w:t>
      </w:r>
      <w:r>
        <w:t xml:space="preserve">Risk-free rate, HY/IG credit spreads (for bridge &amp; bond pricing), USD/INR &amp; EUR/USD FX.</w:t>
      </w:r>
      <w:r>
        <w:t xml:space="preserve"> </w:t>
      </w:r>
      <w:r>
        <w:rPr>
          <w:b/>
        </w:rPr>
        <w:t xml:space="preserve">Programmatic:</w:t>
      </w:r>
      <w:r>
        <w:t xml:space="preserve"> </w:t>
      </w:r>
      <w:r>
        <w:t xml:space="preserve">FRED API /</w:t>
      </w:r>
      <w:r>
        <w:t xml:space="preserve"> </w:t>
      </w:r>
      <w:r>
        <w:rPr>
          <w:rStyle w:val="VerbatimChar"/>
        </w:rPr>
        <w:t xml:space="preserve">pandas_datareader</w:t>
      </w:r>
      <w:r>
        <w:t xml:space="preserve">.</w:t>
      </w:r>
    </w:p>
    <w:p>
      <w:pPr>
        <w:pStyle w:val="Heading3"/>
      </w:pPr>
      <w:bookmarkStart w:id="30" w:name="X90416d8a8f6b8fe4aa352edf37b19bec7384dc6"/>
      <w:r>
        <w:t xml:space="preserve">8. Industry sizing — pharma / women’s health / biosimilars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Source:</w:t>
      </w:r>
      <w:r>
        <w:t xml:space="preserve"> </w:t>
      </w:r>
      <w:r>
        <w:t xml:space="preserve">IQVIA, EvaluatePharma summaries; company investor decks; World Bank/OECD health-spend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URL:</w:t>
      </w:r>
      <w:r>
        <w:t xml:space="preserve"> </w:t>
      </w:r>
      <w:r>
        <w:t xml:space="preserve">https://www.iqvia.com/insights · World Bank https://data.worldbank.org/ · OECD https://data.oecd.org/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Reliability:</w:t>
      </w:r>
      <w:r>
        <w:t xml:space="preserve"> </w:t>
      </w:r>
      <w:r>
        <w:t xml:space="preserve">Medium–High ·</w:t>
      </w:r>
      <w:r>
        <w:t xml:space="preserve"> </w:t>
      </w:r>
      <w:r>
        <w:rPr>
          <w:b/>
        </w:rPr>
        <w:t xml:space="preserve">Cost:</w:t>
      </w:r>
      <w:r>
        <w:t xml:space="preserve"> </w:t>
      </w:r>
      <w:r>
        <w:t xml:space="preserve">Free summaries (full reports paid) ·</w:t>
      </w:r>
      <w:r>
        <w:t xml:space="preserve"> </w:t>
      </w:r>
      <w:r>
        <w:rPr>
          <w:b/>
        </w:rPr>
        <w:t xml:space="preserve">Fields:</w:t>
      </w:r>
      <w:r>
        <w:t xml:space="preserve"> </w:t>
      </w:r>
      <w:r>
        <w:t xml:space="preserve">Market size, CAGR, therapy-area growth, biosimilar penetration curves. Use public summaries; cite the year and definition.</w:t>
      </w:r>
    </w:p>
    <w:p>
      <w:pPr>
        <w:pStyle w:val="Heading2"/>
      </w:pPr>
      <w:bookmarkStart w:id="31" w:name="Xe04ba71e02ad6c14ef8f9f7775846bbbd6c2904"/>
      <w:r>
        <w:t xml:space="preserve">C. OPTIONAL — nice-to-have, only where public summaries suffice</w:t>
      </w:r>
      <w:bookmarkEnd w:id="31"/>
    </w:p>
    <w:tbl>
      <w:tblPr>
        <w:tblStyle w:val="Table"/>
        <w:tblW w:type="pct" w:w="5000"/>
        <w:tblLayout w:type="fixed"/>
        <w:tblLook w:firstRow="1"/>
      </w:tblPr>
      <w:tblGrid>
        <w:gridCol w:w="2374"/>
        <w:gridCol w:w="1397"/>
        <w:gridCol w:w="1397"/>
        <w:gridCol w:w="1397"/>
        <w:gridCol w:w="1397"/>
        <w:gridCol w:w="13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Financial Modeling Prep API</w:t>
            </w:r>
          </w:p>
        </w:tc>
        <w:tc>
          <w:p>
            <w:pPr>
              <w:pStyle w:val="Compact"/>
              <w:jc w:val="left"/>
            </w:pPr>
            <w:r>
              <w:t xml:space="preserve">https://site.financialmodelingprep.com/developer/docs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p>
            <w:pPr>
              <w:pStyle w:val="Compact"/>
              <w:jc w:val="left"/>
            </w:pPr>
            <w:r>
              <w:t xml:space="preserve">Statements, ratios, DCF inputs (programmatic)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Alpha Vantage</w:t>
            </w:r>
          </w:p>
        </w:tc>
        <w:tc>
          <w:p>
            <w:pPr>
              <w:pStyle w:val="Compact"/>
              <w:jc w:val="left"/>
            </w:pPr>
            <w:r>
              <w:t xml:space="preserve">https://www.alphavantage.co/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p>
            <w:pPr>
              <w:pStyle w:val="Compact"/>
              <w:jc w:val="left"/>
            </w:pPr>
            <w:r>
              <w:t xml:space="preserve">Prices, FX, fundamentals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CompaniesMarketCap</w:t>
            </w:r>
          </w:p>
        </w:tc>
        <w:tc>
          <w:p>
            <w:pPr>
              <w:pStyle w:val="Compact"/>
              <w:jc w:val="left"/>
            </w:pPr>
            <w:r>
              <w:t xml:space="preserve">https://companiesmarketcap.com/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Quick market-cap / ranking sanity 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Statista (public summaries)</w:t>
            </w:r>
          </w:p>
        </w:tc>
        <w:tc>
          <w:p>
            <w:pPr>
              <w:pStyle w:val="Compact"/>
              <w:jc w:val="left"/>
            </w:pPr>
            <w:r>
              <w:t xml:space="preserve">https://www.statista.com/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Free previews</w:t>
            </w:r>
          </w:p>
        </w:tc>
        <w:tc>
          <w:p>
            <w:pPr>
              <w:pStyle w:val="Compact"/>
              <w:jc w:val="left"/>
            </w:pPr>
            <w:r>
              <w:t xml:space="preserve">Headline market-size stats (cite cautiously)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S&amp;P Capital IQ / Bloomberg</w:t>
            </w:r>
          </w:p>
        </w:tc>
        <w:tc>
          <w:p>
            <w:pPr>
              <w:pStyle w:val="Compact"/>
              <w:jc w:val="left"/>
            </w:pPr>
            <w:r>
              <w:t xml:space="preserve">(institutional)</w:t>
            </w:r>
          </w:p>
        </w:tc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Paid</w:t>
            </w:r>
          </w:p>
        </w:tc>
        <w:tc>
          <w:p>
            <w:pPr>
              <w:pStyle w:val="Compact"/>
              <w:jc w:val="left"/>
            </w:pPr>
            <w:r>
              <w:t xml:space="preserve">Gold-standard comps/precedents —</w:t>
            </w:r>
            <w:r>
              <w:t xml:space="preserve"> </w:t>
            </w:r>
            <w:r>
              <w:rPr>
                <w:b/>
              </w:rPr>
              <w:t xml:space="preserve">free substitute: items 5, 6,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Screener.in</w:t>
            </w:r>
          </w:p>
        </w:tc>
        <w:tc>
          <w:p>
            <w:pPr>
              <w:pStyle w:val="Compact"/>
              <w:jc w:val="left"/>
            </w:pPr>
            <w:r>
              <w:t xml:space="preserve">https://www.screener.in/company/SUNPHARMA/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Fast Indian-company financials &amp; ratios (tie back to AR)</w:t>
            </w:r>
          </w:p>
        </w:tc>
      </w:tr>
    </w:tbl>
    <w:p>
      <w:pPr>
        <w:pStyle w:val="Heading2"/>
      </w:pPr>
      <w:bookmarkStart w:id="32" w:name="sourcing-rules-for-this-project"/>
      <w:r>
        <w:t xml:space="preserve">Sourcing rules for this project</w:t>
      </w:r>
      <w:bookmarkEnd w:id="3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Anything entering the model must trace to a Primary source</w:t>
      </w:r>
      <w:r>
        <w:t xml:space="preserve"> </w:t>
      </w:r>
      <w:r>
        <w:t xml:space="preserve">(items 1–4). Aggregators (Macrotrends, Screener, Yahoo) are for speed and cross-checks only.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Flag every gap.</w:t>
      </w:r>
      <w:r>
        <w:t xml:space="preserve"> </w:t>
      </w:r>
      <w:r>
        <w:t xml:space="preserve">Where a number isn’t disclosed (e.g., Organon debt tranche-level pricing), state the assumption and its basis in</w:t>
      </w:r>
      <w:r>
        <w:t xml:space="preserve"> </w:t>
      </w:r>
      <w:r>
        <w:rPr>
          <w:rStyle w:val="VerbatimChar"/>
        </w:rPr>
        <w:t xml:space="preserve">docs/assumptions_log.md</w:t>
      </w:r>
      <w:r>
        <w:t xml:space="preserve"> </w:t>
      </w:r>
      <w:r>
        <w:t xml:space="preserve">rather than inventing it.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No paid data required.</w:t>
      </w:r>
      <w:r>
        <w:t xml:space="preserve"> </w:t>
      </w:r>
      <w:r>
        <w:t xml:space="preserve">Item 13 is listed for completeness; the free substitutes reproduce it.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Version the raw pulls.</w:t>
      </w:r>
      <w:r>
        <w:t xml:space="preserve"> </w:t>
      </w:r>
      <w:r>
        <w:t xml:space="preserve">Save downloaded filings to</w:t>
      </w:r>
      <w:r>
        <w:t xml:space="preserve"> </w:t>
      </w:r>
      <w:r>
        <w:rPr>
          <w:rStyle w:val="VerbatimChar"/>
        </w:rPr>
        <w:t xml:space="preserve">05_Data/raw/</w:t>
      </w:r>
      <w:r>
        <w:t xml:space="preserve"> </w:t>
      </w:r>
      <w:r>
        <w:t xml:space="preserve">with date-stamped filenames; cleaned outputs to</w:t>
      </w:r>
      <w:r>
        <w:t xml:space="preserve"> </w:t>
      </w:r>
      <w:r>
        <w:rPr>
          <w:rStyle w:val="VerbatimChar"/>
        </w:rPr>
        <w:t xml:space="preserve">05_Data/processed/</w:t>
      </w:r>
      <w:r>
        <w:t xml:space="preserve">.</w:t>
      </w:r>
    </w:p>
    <w:p>
      <w:pPr>
        <w:pStyle w:val="Heading2"/>
      </w:pPr>
      <w:bookmarkStart w:id="33" w:name="retrieval-status-this-build"/>
      <w:r>
        <w:t xml:space="preserve">Retrieval status (this build)</w:t>
      </w:r>
      <w:bookmarkEnd w:id="33"/>
    </w:p>
    <w:tbl>
      <w:tblPr>
        <w:tblStyle w:val="Table"/>
        <w:tblW w:type="pct" w:w="5000"/>
        <w:tblLayout w:type="fixed"/>
        <w:tblLook w:firstRow="1"/>
      </w:tblPr>
      <w:tblGrid>
        <w:gridCol w:w="4300"/>
        <w:gridCol w:w="2529"/>
        <w:gridCol w:w="25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Retrieved?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Organon FY2025 headline financials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Revenue $6.2bn, EBITDA $1.91bn, net debt ~$8.1bn, segments captured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Sun Pharma FY2025 headline financials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>₹520.4bn revenue from operations (total income incl. other income ~₹545bn), ₹153bn EBITDA, net cash ~$3.1bn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Deal terms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$14.00/sh, $11.75bn EV, $12bn bridge, 2.3x target leverage, $120m break fee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Organon 10-K detail (5-yr statements, maturities)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To pull from EDGAR for the model historicals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Sun Pharma 5-yr statements &amp; segments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To pull from AR / Screener, tie to 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comps set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To assemble in Part 2/3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Merger proxy (fairness opinion, projections)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To pull from EDGAR PREM14A/DEFM14A</w:t>
            </w:r>
          </w:p>
        </w:tc>
      </w:tr>
    </w:tbl>
    <w:sectPr>
      <w:footerReference w:type="default" r:id="rId10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BFBFBF"/>
      </w:pBdr>
      <w:tabs>
        <w:tab w:val="right" w:pos="9360"/>
      </w:tabs>
      <w:spacing w:before="60" w:after="0"/>
    </w:pPr>
    <w:r>
      <w:rPr>
        <w:rFonts w:ascii="Arial" w:hAnsi="Arial"/>
        <w:b/>
        <w:color w:val="404040"/>
        <w:sz w:val="15"/>
      </w:rPr>
      <w:t>Sun Pharma – Organon Acquisition Analysis</w:t>
    </w:r>
    <w:r>
      <w:rPr>
        <w:rFonts w:ascii="Arial" w:hAnsi="Arial"/>
        <w:color w:val="7F7F7F"/>
        <w:sz w:val="15"/>
      </w:rPr>
      <w:tab/>
      <w:t xml:space="preserve">Page </w:t>
    </w:r>
    <w:r>
      <w:rPr>
        <w:rFonts w:ascii="Arial" w:hAnsi="Arial"/>
        <w:color w:val="7F7F7F"/>
        <w:sz w:val="15"/>
      </w:rPr>
      <w:fldChar w:fldCharType="begin"/>
    </w:r>
    <w:r>
      <w:rPr>
        <w:rFonts w:ascii="Arial" w:hAnsi="Arial"/>
        <w:color w:val="7F7F7F"/>
        <w:sz w:val="15"/>
      </w:rPr>
      <w:instrText xml:space="preserve"> PAGE </w:instrText>
    </w:r>
    <w:r>
      <w:rPr>
        <w:rFonts w:ascii="Arial" w:hAnsi="Arial"/>
        <w:color w:val="7F7F7F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</v:formulas>
          <v:path textpathok="t" o:connecttype="custom"/>
          <v:textpath on="t" fitshape="t"/>
        </v:shapetype>
        <v:shape id="wm1" type="#_x0000_t136" style="position:absolute;margin-left:0;margin-top:0;width:520pt;height:130pt;rotation:-40;z-index:-251658240;mso-position-horizontal:center;mso-position-horizontal-relative:margin;mso-position-vertical:center;mso-position-vertical-relative:margin" fillcolor="#E4E4E4" stroked="f">
          <v:textpath style="font-family:&quot;Arial&quot;;font-weight:bold" string="CONFIDENTIAL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sz w:val="20"/>
        <w:szCs w:val="20"/>
        <w:lang w:val="en-US" w:eastAsia="en-US" w:bidi="ar-SA"/>
      </w:rPr>
    </w:rPrDefault>
    <w:pPrDefault>
      <w:pPr>
        <w:spacing w:after="1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0" w:after="14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80"/>
      <w:jc w:val="left"/>
    </w:pPr>
    <w:rPr>
      <w:rFonts w:ascii="Arial" w:eastAsia="Arial" w:hAnsi="Arial" w:cs="Arial"/>
      <w:b/>
      <w:bCs/>
      <w:color w:val="000000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000000"/>
      </w:pBdr>
      <w:spacing w:before="360" w:after="120"/>
      <w:jc w:val="left"/>
      <w:outlineLvl w:val="0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60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jc w:val="left"/>
      <w:outlineLvl w:val="2"/>
    </w:pPr>
    <w:rPr>
      <w:rFonts w:ascii="Arial" w:eastAsia="Arial" w:hAnsi="Arial" w:cs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qFormat/>
    <w:pPr>
      <w:spacing w:before="20" w:after="20"/>
      <w:jc w:val="left"/>
    </w:pPr>
    <w:rPr>
      <w:rFonts w:ascii="Arial" w:hAnsi="Arial"/>
      <w:sz w:val="19"/>
      <w:szCs w:val="19"/>
    </w:rPr>
    <w:tblPr>
      <w:tblInd w:w="0" w:type="dxa"/>
      <w:tblBorders>
        <w:top w:val="single" w:sz="4" w:space="0" w:color="BFBFBF"/>
        <w:bottom w:val="single" w:sz="4" w:space="0" w:color="BFBFBF"/>
        <w:insideH w:val="single" w:sz="4" w:space="0" w:color="DDDDDD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ascii="Arial" w:hAnsi="Arial"/>
        <w:b/>
        <w:color w:val="000000"/>
        <w:sz w:val="18"/>
      </w:rPr>
      <w:tcPr>
        <w:shd w:val="clear" w:color="auto" w:fill="E6E6E6"/>
        <w:tcBorders>
          <w:bottom w:val="single" w:sz="8" w:space="0" w:color="000000"/>
        </w:tcBorders>
      </w:tcPr>
    </w:tblStylePr>
    <w:tblStylePr w:type="band2Horz">
      <w:tcPr>
        <w:shd w:val="clear" w:color="auto" w:fill="F4F4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2026-07-27T05:15:46Z</dcterms:created>
  <dcterms:modified xsi:type="dcterms:W3CDTF">2026-07-27T05:15:46Z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