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79e59952c7825a539ece7ef10050b00cc8a0e9"/>
      <w:r>
        <w:t xml:space="preserve">Organon &amp; Co. — Primary-Source Verification (SEC EDGAR)</w:t>
      </w:r>
      <w:bookmarkEnd w:id="20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validate the key model inputs against Organon’s</w:t>
      </w:r>
      <w:r>
        <w:t xml:space="preserve"> </w:t>
      </w:r>
      <w:r>
        <w:rPr>
          <w:i/>
        </w:rPr>
        <w:t xml:space="preserve">actual</w:t>
      </w:r>
      <w:r>
        <w:t xml:space="preserve"> </w:t>
      </w:r>
      <w:r>
        <w:t xml:space="preserve">SEC filings, replacing the earlier estimates. All figures below are from Organon’s structured XBRL data on SEC EDGAR (CIK 0001821825), cross-checked to the filing that reported them.</w:t>
      </w:r>
    </w:p>
    <w:p>
      <w:pPr>
        <w:pStyle w:val="Heading2"/>
      </w:pPr>
      <w:bookmarkStart w:id="21" w:name="Xc457e01d2d7e4766c5573b2231f8fcb21bece37"/>
      <w:r>
        <w:t xml:space="preserve">Verified anchor figures (FY2025, year ended 31 Dec 2025)</w:t>
      </w:r>
      <w:bookmarkEnd w:id="21"/>
    </w:p>
    <w:tbl>
      <w:tblPr>
        <w:tblStyle w:val="Table"/>
        <w:tblW w:type="pct" w:w="5000"/>
        <w:tblLayout w:type="fixed"/>
        <w:tblLook w:firstRow="1"/>
      </w:tblPr>
      <w:tblGrid>
        <w:gridCol w:w="2791"/>
        <w:gridCol w:w="1642"/>
        <w:gridCol w:w="1642"/>
        <w:gridCol w:w="1642"/>
        <w:gridCol w:w="164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Model used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10-K actual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(accession / form)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Match?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Shares outstanding</w:t>
            </w:r>
          </w:p>
        </w:tc>
        <w:tc>
          <w:p>
            <w:pPr>
              <w:pStyle w:val="Compact"/>
              <w:jc w:val="right"/>
            </w:pPr>
            <w:r>
              <w:t xml:space="preserve">~260m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260,315,650</w:t>
            </w:r>
            <w:r>
              <w:t xml:space="preserve"> </w:t>
            </w:r>
            <w:r>
              <w:t xml:space="preserve">(as of 17 Feb 2026)</w:t>
            </w:r>
          </w:p>
        </w:tc>
        <w:tc>
          <w:p>
            <w:pPr>
              <w:pStyle w:val="Compact"/>
              <w:jc w:val="left"/>
            </w:pPr>
            <w:r>
              <w:t xml:space="preserve">0001628280-26-011125 · FY2025 10-K (filed 24 Feb 2026)</w:t>
            </w:r>
          </w:p>
        </w:tc>
        <w:tc>
          <w:p>
            <w:pPr>
              <w:pStyle w:val="Compact"/>
              <w:jc w:val="center"/>
            </w:pPr>
            <w:r>
              <w:t xml:space="preserve">✅ exact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Cash &amp; equivalents</w:t>
            </w:r>
          </w:p>
        </w:tc>
        <w:tc>
          <w:p>
            <w:pPr>
              <w:pStyle w:val="Compact"/>
              <w:jc w:val="right"/>
            </w:pPr>
            <w:r>
              <w:t xml:space="preserve">$574m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$574m</w:t>
            </w:r>
            <w:r>
              <w:t xml:space="preserve"> </w:t>
            </w:r>
            <w:r>
              <w:t xml:space="preserve">(31 Dec 2025)</w:t>
            </w:r>
          </w:p>
        </w:tc>
        <w:tc>
          <w:p>
            <w:pPr>
              <w:pStyle w:val="Compact"/>
              <w:jc w:val="left"/>
            </w:pPr>
            <w:r>
              <w:t xml:space="preserve">0001628280-26-011125 · FY2025 10-K</w:t>
            </w:r>
          </w:p>
        </w:tc>
        <w:tc>
          <w:p>
            <w:pPr>
              <w:pStyle w:val="Compact"/>
              <w:jc w:val="center"/>
            </w:pPr>
            <w:r>
              <w:t xml:space="preserve">✅ exact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Long-term debt (noncurrent)</w:t>
            </w:r>
          </w:p>
        </w:tc>
        <w:tc>
          <w:p>
            <w:pPr>
              <w:pStyle w:val="Compact"/>
              <w:jc w:val="right"/>
            </w:pPr>
            <w:r>
              <w:t xml:space="preserve">~$8.64bn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$8,628m</w:t>
            </w:r>
            <w:r>
              <w:t xml:space="preserve"> </w:t>
            </w:r>
            <w:r>
              <w:t xml:space="preserve">(31 Dec 2025)</w:t>
            </w:r>
          </w:p>
        </w:tc>
        <w:tc>
          <w:p>
            <w:pPr>
              <w:pStyle w:val="Compact"/>
              <w:jc w:val="left"/>
            </w:pPr>
            <w:r>
              <w:t xml:space="preserve">0001628280-26-011125 · FY2025 10-K</w:t>
            </w:r>
          </w:p>
        </w:tc>
        <w:tc>
          <w:p>
            <w:pPr>
              <w:pStyle w:val="Compact"/>
              <w:jc w:val="center"/>
            </w:pPr>
            <w:r>
              <w:t xml:space="preserve">✅ ~exact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Net debt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~$8.1bn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~$8.05bn</w:t>
            </w:r>
            <w:r>
              <w:t xml:space="preserve"> </w:t>
            </w:r>
            <w:r>
              <w:t xml:space="preserve">($8,628m − $574m)</w:t>
            </w:r>
          </w:p>
        </w:tc>
        <w:tc>
          <w:p>
            <w:pPr>
              <w:pStyle w:val="Compact"/>
              <w:jc w:val="left"/>
            </w:pPr>
            <w:r>
              <w:t xml:space="preserve">derived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Conclusion:</w:t>
      </w:r>
      <w:r>
        <w:t xml:space="preserve"> </w:t>
      </w:r>
      <w:r>
        <w:t xml:space="preserve">every headline input in the DCF, merger model, and valuation (shares 260m; net debt ~$8.1bn) is confirmed against the primary 10-K. No model change required; the earlier</w:t>
      </w:r>
      <w:r>
        <w:t xml:space="preserve"> </w:t>
      </w:r>
      <w:r>
        <w:t xml:space="preserve">“</w:t>
      </w:r>
      <w:r>
        <w:t xml:space="preserve">to be confirmed from proxy</w:t>
      </w:r>
      <w:r>
        <w:t xml:space="preserve">”</w:t>
      </w:r>
      <w:r>
        <w:t xml:space="preserve"> </w:t>
      </w:r>
      <w:r>
        <w:t xml:space="preserve">flags are now resolved.</w:t>
      </w:r>
    </w:p>
    <w:p>
      <w:pPr>
        <w:pStyle w:val="Heading2"/>
      </w:pPr>
      <w:bookmarkStart w:id="22" w:name="X0cea39b54ca671eac12e1398efcba5ba97dcd93"/>
      <w:r>
        <w:t xml:space="preserve">Verified 5-year balance-sheet series (US$ m, per 10-K/10-Q XBRL)</w:t>
      </w:r>
      <w:bookmarkEnd w:id="22"/>
    </w:p>
    <w:tbl>
      <w:tblPr>
        <w:tblStyle w:val="Table"/>
        <w:tblW w:type="pct" w:w="5000"/>
        <w:tblLayout w:type="fixed"/>
        <w:tblLook w:firstRow="1"/>
      </w:tblPr>
      <w:tblGrid>
        <w:gridCol w:w="3385"/>
        <w:gridCol w:w="1991"/>
        <w:gridCol w:w="1991"/>
        <w:gridCol w:w="199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Year-end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Cash &amp; equiv.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Long-term debt (noncurrent)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Net debt (approx.)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p>
            <w:pPr>
              <w:pStyle w:val="Compact"/>
              <w:jc w:val="right"/>
            </w:pPr>
            <w:r>
              <w:t xml:space="preserve">737</w:t>
            </w:r>
          </w:p>
        </w:tc>
        <w:tc>
          <w:p>
            <w:pPr>
              <w:pStyle w:val="Compact"/>
              <w:jc w:val="right"/>
            </w:pPr>
            <w:r>
              <w:t xml:space="preserve">9,125</w:t>
            </w:r>
          </w:p>
        </w:tc>
        <w:tc>
          <w:p>
            <w:pPr>
              <w:pStyle w:val="Compact"/>
              <w:jc w:val="right"/>
            </w:pPr>
            <w:r>
              <w:t xml:space="preserve">8,388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p>
            <w:pPr>
              <w:pStyle w:val="Compact"/>
              <w:jc w:val="right"/>
            </w:pPr>
            <w:r>
              <w:t xml:space="preserve">706</w:t>
            </w:r>
          </w:p>
        </w:tc>
        <w:tc>
          <w:p>
            <w:pPr>
              <w:pStyle w:val="Compact"/>
              <w:jc w:val="right"/>
            </w:pPr>
            <w:r>
              <w:t xml:space="preserve">8,905</w:t>
            </w:r>
          </w:p>
        </w:tc>
        <w:tc>
          <w:p>
            <w:pPr>
              <w:pStyle w:val="Compact"/>
              <w:jc w:val="right"/>
            </w:pPr>
            <w:r>
              <w:t xml:space="preserve">8,199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p>
            <w:pPr>
              <w:pStyle w:val="Compact"/>
              <w:jc w:val="right"/>
            </w:pPr>
            <w:r>
              <w:t xml:space="preserve">693</w:t>
            </w:r>
          </w:p>
        </w:tc>
        <w:tc>
          <w:p>
            <w:pPr>
              <w:pStyle w:val="Compact"/>
              <w:jc w:val="right"/>
            </w:pPr>
            <w:r>
              <w:t xml:space="preserve">8,751</w:t>
            </w:r>
          </w:p>
        </w:tc>
        <w:tc>
          <w:p>
            <w:pPr>
              <w:pStyle w:val="Compact"/>
              <w:jc w:val="right"/>
            </w:pPr>
            <w:r>
              <w:t xml:space="preserve">8,058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p>
            <w:pPr>
              <w:pStyle w:val="Compact"/>
              <w:jc w:val="right"/>
            </w:pPr>
            <w:r>
              <w:t xml:space="preserve">675</w:t>
            </w:r>
          </w:p>
        </w:tc>
        <w:tc>
          <w:p>
            <w:pPr>
              <w:pStyle w:val="Compact"/>
              <w:jc w:val="right"/>
            </w:pPr>
            <w:r>
              <w:t xml:space="preserve">8,860</w:t>
            </w:r>
          </w:p>
        </w:tc>
        <w:tc>
          <w:p>
            <w:pPr>
              <w:pStyle w:val="Compact"/>
              <w:jc w:val="right"/>
            </w:pPr>
            <w:r>
              <w:t xml:space="preserve">8,185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p>
            <w:pPr>
              <w:pStyle w:val="Compact"/>
              <w:jc w:val="right"/>
            </w:pPr>
            <w:r>
              <w:t xml:space="preserve">574</w:t>
            </w:r>
          </w:p>
        </w:tc>
        <w:tc>
          <w:p>
            <w:pPr>
              <w:pStyle w:val="Compact"/>
              <w:jc w:val="right"/>
            </w:pPr>
            <w:r>
              <w:t xml:space="preserve">8,628</w:t>
            </w:r>
          </w:p>
        </w:tc>
        <w:tc>
          <w:p>
            <w:pPr>
              <w:pStyle w:val="Compact"/>
              <w:jc w:val="right"/>
            </w:pPr>
            <w:r>
              <w:t xml:space="preserve">8,054</w:t>
            </w:r>
          </w:p>
        </w:tc>
      </w:tr>
    </w:tbl>
    <w:p>
      <w:pPr>
        <w:pStyle w:val="BodyText"/>
      </w:pPr>
      <w:r>
        <w:rPr>
          <w:i/>
        </w:rPr>
        <w:t xml:space="preserve">(Chapter 6 used lightly rounded figures for 2023–24 cash; the differences are &lt;$40m and immaterial. The FY2025 anchors are exact.)</w:t>
      </w:r>
    </w:p>
    <w:p>
      <w:pPr>
        <w:pStyle w:val="Heading2"/>
      </w:pPr>
      <w:bookmarkStart w:id="23" w:name="source-urls-sec-edgar-cik-0001821825"/>
      <w:r>
        <w:t xml:space="preserve">Source URLs (SEC EDGAR, CIK 0001821825)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Filing index (all Organon filings): https://www.sec.gov/cgi-bin/browse-edgar?action=getcompany&amp;CIK=0001821825&amp;type=&amp;dateb=&amp;owner=include&amp;count=100</w:t>
      </w:r>
    </w:p>
    <w:p>
      <w:pPr>
        <w:numPr>
          <w:ilvl w:val="0"/>
          <w:numId w:val="1001"/>
        </w:numPr>
        <w:pStyle w:val="Compact"/>
      </w:pPr>
      <w:r>
        <w:t xml:space="preserve">Shares outstanding (XBRL): https://data.sec.gov/api/xbrl/companyconcept/CIK0001821825/dei/EntityCommonStockSharesOutstanding.json</w:t>
      </w:r>
    </w:p>
    <w:p>
      <w:pPr>
        <w:numPr>
          <w:ilvl w:val="0"/>
          <w:numId w:val="1001"/>
        </w:numPr>
        <w:pStyle w:val="Compact"/>
      </w:pPr>
      <w:r>
        <w:t xml:space="preserve">Cash (XBRL): https://data.sec.gov/api/xbrl/companyconcept/CIK0001821825/us-gaap/CashAndCashEquivalentsAtCarryingValue.json</w:t>
      </w:r>
    </w:p>
    <w:p>
      <w:pPr>
        <w:numPr>
          <w:ilvl w:val="0"/>
          <w:numId w:val="1001"/>
        </w:numPr>
        <w:pStyle w:val="Compact"/>
      </w:pPr>
      <w:r>
        <w:t xml:space="preserve">Long-term debt (XBRL): https://data.sec.gov/api/xbrl/companyconcept/CIK0001821825/us-gaap/LongTermDebtNoncurrent.json</w:t>
      </w:r>
    </w:p>
    <w:p>
      <w:pPr>
        <w:numPr>
          <w:ilvl w:val="0"/>
          <w:numId w:val="1001"/>
        </w:numPr>
        <w:pStyle w:val="Compact"/>
      </w:pPr>
      <w:r>
        <w:t xml:space="preserve">FY2025 10-K accession: 0001628280-26-011125 (filed 24 Feb 2026)</w:t>
      </w:r>
    </w:p>
    <w:p>
      <w:pPr>
        <w:pStyle w:val="FirstParagraph"/>
      </w:pPr>
      <w:r>
        <w:rPr>
          <w:i/>
        </w:rPr>
        <w:t xml:space="preserve">Still to pull for a full upgrade: the Sun/Organon merger proxy (PREM14A/DEFM14A) for the deal’s exact diluted-share and net-debt bridge and any fairness-opinion projections. The above confirms the balance-sheet anchors used throughout the book.</w:t>
      </w:r>
    </w:p>
    <w:sectPr>
      <w:footerReference w:type="default" r:id="rId10"/>
      <w:pgSz w:w="12240" w:h="15840"/>
      <w:pgMar w:top="1440" w:right="1440" w:bottom="1440" w:left="1440" w:header="720" w:footer="576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6" w:color="BFBFBF"/>
      </w:pBdr>
      <w:tabs>
        <w:tab w:val="right" w:pos="9360"/>
      </w:tabs>
      <w:spacing w:before="60" w:after="0"/>
    </w:pPr>
    <w:r>
      <w:rPr>
        <w:rFonts w:ascii="Arial" w:hAnsi="Arial"/>
        <w:b/>
        <w:color w:val="404040"/>
        <w:sz w:val="15"/>
      </w:rPr>
      <w:t>Sun Pharma – Organon Acquisition Analysis</w:t>
    </w:r>
    <w:r>
      <w:rPr>
        <w:rFonts w:ascii="Arial" w:hAnsi="Arial"/>
        <w:color w:val="7F7F7F"/>
        <w:sz w:val="15"/>
      </w:rPr>
      <w:tab/>
      <w:t xml:space="preserve">Page </w:t>
    </w:r>
    <w:r>
      <w:rPr>
        <w:rFonts w:ascii="Arial" w:hAnsi="Arial"/>
        <w:color w:val="7F7F7F"/>
        <w:sz w:val="15"/>
      </w:rPr>
      <w:fldChar w:fldCharType="begin"/>
    </w:r>
    <w:r>
      <w:rPr>
        <w:rFonts w:ascii="Arial" w:hAnsi="Arial"/>
        <w:color w:val="7F7F7F"/>
        <w:sz w:val="15"/>
      </w:rPr>
      <w:instrText xml:space="preserve"> PAGE </w:instrText>
    </w:r>
    <w:r>
      <w:rPr>
        <w:rFonts w:ascii="Arial" w:hAnsi="Arial"/>
        <w:color w:val="7F7F7F"/>
        <w:sz w:val="15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</v:formulas>
          <v:path textpathok="t" o:connecttype="custom"/>
          <v:textpath on="t" fitshape="t"/>
        </v:shapetype>
        <v:shape id="wm1" type="#_x0000_t136" style="position:absolute;margin-left:0;margin-top:0;width:520pt;height:130pt;rotation:-40;z-index:-251658240;mso-position-horizontal:center;mso-position-horizontal-relative:margin;mso-position-vertical:center;mso-position-vertical-relative:margin" fillcolor="#E4E4E4" stroked="f">
          <v:textpath style="font-family:&quot;Arial&quot;;font-weight:bold" string="CONFIDENTIAL"/>
        </v:shape>
      </w:pic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222222"/>
        <w:sz w:val="20"/>
        <w:szCs w:val="20"/>
        <w:lang w:val="en-US" w:eastAsia="en-US" w:bidi="ar-SA"/>
      </w:rPr>
    </w:rPrDefault>
    <w:pPrDefault>
      <w:pPr>
        <w:spacing w:after="140" w:line="264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</w:pPr>
  </w:style>
  <w:style w:type="paragraph" w:styleId="BodyText">
    <w:name w:val="Body Text"/>
    <w:basedOn w:val="Normal"/>
    <w:link w:val="BodyTextChar"/>
    <w:qFormat/>
    <w:pPr>
      <w:spacing w:before="0" w:after="14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240" w:after="80"/>
      <w:jc w:val="left"/>
    </w:pPr>
    <w:rPr>
      <w:rFonts w:ascii="Arial" w:eastAsia="Arial" w:hAnsi="Arial" w:cs="Arial"/>
      <w:b/>
      <w:bCs/>
      <w:color w:val="000000"/>
      <w:sz w:val="40"/>
      <w:szCs w:val="40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Bdr>
        <w:bottom w:val="single" w:sz="6" w:space="4" w:color="000000"/>
      </w:pBdr>
      <w:spacing w:before="360" w:after="120"/>
      <w:jc w:val="left"/>
      <w:outlineLvl w:val="0"/>
    </w:pPr>
    <w:rPr>
      <w:rFonts w:ascii="Arial" w:eastAsia="Arial" w:hAnsi="Arial" w:cs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60" w:after="60"/>
      <w:jc w:val="left"/>
      <w:outlineLvl w:val="1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40"/>
      <w:jc w:val="left"/>
      <w:outlineLvl w:val="2"/>
    </w:pPr>
    <w:rPr>
      <w:rFonts w:ascii="Arial" w:eastAsia="Arial" w:hAnsi="Arial" w:cs="Arial"/>
      <w:b/>
      <w:bCs/>
      <w:color w:val="000000"/>
      <w:sz w:val="21"/>
      <w:szCs w:val="2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99"/>
    <w:qFormat/>
    <w:pPr>
      <w:spacing w:before="20" w:after="20"/>
      <w:jc w:val="left"/>
    </w:pPr>
    <w:rPr>
      <w:rFonts w:ascii="Arial" w:hAnsi="Arial"/>
      <w:sz w:val="19"/>
      <w:szCs w:val="19"/>
    </w:rPr>
    <w:tblPr>
      <w:tblInd w:w="0" w:type="dxa"/>
      <w:tblBorders>
        <w:top w:val="single" w:sz="4" w:space="0" w:color="BFBFBF"/>
        <w:bottom w:val="single" w:sz="4" w:space="0" w:color="BFBFBF"/>
        <w:insideH w:val="single" w:sz="4" w:space="0" w:color="DDDDDD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rFonts w:ascii="Arial" w:hAnsi="Arial"/>
        <w:b/>
        <w:color w:val="000000"/>
        <w:sz w:val="18"/>
      </w:rPr>
      <w:tcPr>
        <w:shd w:val="clear" w:color="auto" w:fill="E6E6E6"/>
        <w:tcBorders>
          <w:bottom w:val="single" w:sz="8" w:space="0" w:color="000000"/>
        </w:tcBorders>
      </w:tcPr>
    </w:tblStylePr>
    <w:tblStylePr w:type="band2Horz">
      <w:tcPr>
        <w:shd w:val="clear" w:color="auto" w:fill="F4F4F4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eader" Id="rId9" Target="header1.xml" /><Relationship Type="http://schemas.openxmlformats.org/officeDocument/2006/relationships/footer" Id="rId10" Target="footer1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2026-07-27T16:57:38Z</dcterms:created>
  <dcterms:modified xsi:type="dcterms:W3CDTF">2026-07-27T16:57:38Z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